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B428" w14:textId="30063F84" w:rsidR="00233FFF" w:rsidRPr="0014767E" w:rsidRDefault="00233FFF" w:rsidP="00233FFF">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２</w:t>
      </w:r>
    </w:p>
    <w:p w14:paraId="64A05AD9" w14:textId="77777777" w:rsidR="00233FFF" w:rsidRDefault="00233FFF" w:rsidP="0096404F">
      <w:pPr>
        <w:rPr>
          <w:rFonts w:ascii="ＭＳ Ｐゴシック" w:eastAsia="ＭＳ Ｐゴシック" w:hAnsi="ＭＳ Ｐゴシック"/>
          <w:b/>
          <w:bCs/>
          <w:sz w:val="24"/>
          <w:szCs w:val="24"/>
        </w:rPr>
      </w:pPr>
    </w:p>
    <w:p w14:paraId="3C02825F" w14:textId="5DE63C33" w:rsidR="0096404F" w:rsidRPr="005947DB" w:rsidRDefault="0096404F" w:rsidP="0096404F">
      <w:pPr>
        <w:rPr>
          <w:rFonts w:ascii="ＭＳ Ｐゴシック" w:eastAsia="ＭＳ Ｐゴシック" w:hAnsi="ＭＳ Ｐゴシック"/>
          <w:b/>
          <w:bCs/>
          <w:sz w:val="24"/>
          <w:szCs w:val="24"/>
        </w:rPr>
      </w:pPr>
      <w:r w:rsidRPr="005947DB">
        <w:rPr>
          <w:rFonts w:ascii="ＭＳ Ｐゴシック" w:eastAsia="ＭＳ Ｐゴシック" w:hAnsi="ＭＳ Ｐゴシック" w:hint="eastAsia"/>
          <w:b/>
          <w:bCs/>
          <w:sz w:val="24"/>
          <w:szCs w:val="24"/>
        </w:rPr>
        <w:t>障害者権利委員会の障害のある人の労働と雇用の権利に関する第27条についての一般的意見案に関する意見提出</w:t>
      </w:r>
    </w:p>
    <w:p w14:paraId="610D53FD" w14:textId="7BE47054" w:rsidR="0096404F" w:rsidRPr="005947DB" w:rsidRDefault="0096404F">
      <w:r w:rsidRPr="005947DB">
        <w:rPr>
          <w:rFonts w:hint="eastAsia"/>
        </w:rPr>
        <w:t>CERMI女性財団</w:t>
      </w:r>
      <w:r w:rsidR="00FC36A9" w:rsidRPr="005947DB">
        <w:rPr>
          <w:rFonts w:hint="eastAsia"/>
        </w:rPr>
        <w:t>（スペインの非営利団体</w:t>
      </w:r>
      <w:r w:rsidR="00FC36A9" w:rsidRPr="005947DB">
        <w:t>）</w:t>
      </w:r>
    </w:p>
    <w:p w14:paraId="15AA2CE4" w14:textId="2FD7950C" w:rsidR="0096404F" w:rsidRPr="005947DB" w:rsidRDefault="0096404F" w:rsidP="0096404F">
      <w:pPr>
        <w:jc w:val="right"/>
      </w:pPr>
      <w:r w:rsidRPr="005947DB">
        <w:rPr>
          <w:rFonts w:hint="eastAsia"/>
        </w:rPr>
        <w:t>（JD仮訳）</w:t>
      </w:r>
    </w:p>
    <w:p w14:paraId="7C049C86" w14:textId="3ABE12A0" w:rsidR="0096404F" w:rsidRPr="005947DB" w:rsidRDefault="0096404F">
      <w:pPr>
        <w:rPr>
          <w:b/>
          <w:bCs/>
        </w:rPr>
      </w:pPr>
      <w:r w:rsidRPr="005947DB">
        <w:rPr>
          <w:b/>
          <w:bCs/>
        </w:rPr>
        <w:t>Submission concerning the Committee on the Rights of Persons with Disabilities’ draft General Comment on article 27 on the right of persons with disabilities to work and employment</w:t>
      </w:r>
    </w:p>
    <w:p w14:paraId="32F94F3F" w14:textId="28DD604A" w:rsidR="00CE3357" w:rsidRPr="005947DB" w:rsidRDefault="001D202B">
      <w:r w:rsidRPr="005947DB">
        <w:t>CERMI Women’s Foundation</w:t>
      </w:r>
    </w:p>
    <w:p w14:paraId="34C31210" w14:textId="77777777" w:rsidR="004D49AB" w:rsidRPr="005947DB" w:rsidRDefault="004D49AB" w:rsidP="0096404F"/>
    <w:p w14:paraId="09F03760" w14:textId="6B22E549" w:rsidR="0096404F" w:rsidRPr="005947DB" w:rsidRDefault="0096404F" w:rsidP="0096404F">
      <w:pPr>
        <w:rPr>
          <w:b/>
          <w:bCs/>
        </w:rPr>
      </w:pPr>
      <w:r w:rsidRPr="005947DB">
        <w:rPr>
          <w:b/>
          <w:bCs/>
        </w:rPr>
        <w:t>I 私たち</w:t>
      </w:r>
      <w:r w:rsidR="00FC36A9" w:rsidRPr="005947DB">
        <w:rPr>
          <w:rFonts w:hint="eastAsia"/>
          <w:b/>
          <w:bCs/>
        </w:rPr>
        <w:t>の紹介</w:t>
      </w:r>
      <w:r w:rsidRPr="005947DB">
        <w:rPr>
          <w:b/>
          <w:bCs/>
        </w:rPr>
        <w:t>。</w:t>
      </w:r>
    </w:p>
    <w:p w14:paraId="5F89068F" w14:textId="1E665C7C" w:rsidR="0096404F" w:rsidRPr="005947DB" w:rsidRDefault="0096404F" w:rsidP="008E4565">
      <w:pPr>
        <w:ind w:firstLineChars="100" w:firstLine="210"/>
      </w:pPr>
      <w:r w:rsidRPr="005947DB">
        <w:t>CERMI女性財団は、2014年にスペイン障害者代表委員会（CERMI）によって設立されたスペインの非営利団体で、スペインに約250万人いる市民である障害のある女性</w:t>
      </w:r>
      <w:r w:rsidR="00C468B5" w:rsidRPr="005947DB">
        <w:rPr>
          <w:rFonts w:hint="eastAsia"/>
        </w:rPr>
        <w:t>と</w:t>
      </w:r>
      <w:r w:rsidRPr="005947DB">
        <w:t>少女がすべての人権と基本的自由を十分に行使できるよう擁護することを目的としてい</w:t>
      </w:r>
      <w:r w:rsidR="00FC36A9" w:rsidRPr="005947DB">
        <w:t>る</w:t>
      </w:r>
      <w:r w:rsidRPr="005947DB">
        <w:t>。この目的のために、CERMI女性財団は、障害とジェンダーに基づく交差的アプローチから、国連の</w:t>
      </w:r>
      <w:r w:rsidRPr="005947DB">
        <w:rPr>
          <w:i/>
          <w:iCs/>
        </w:rPr>
        <w:t>障害者権利条約</w:t>
      </w:r>
      <w:r w:rsidRPr="005947DB">
        <w:t>と</w:t>
      </w:r>
      <w:r w:rsidRPr="005947DB">
        <w:rPr>
          <w:i/>
          <w:iCs/>
        </w:rPr>
        <w:t>女性差別撤廃条約</w:t>
      </w:r>
      <w:r w:rsidRPr="005947DB">
        <w:t>を主な</w:t>
      </w:r>
      <w:r w:rsidR="00297144" w:rsidRPr="005947DB">
        <w:rPr>
          <w:rFonts w:hint="eastAsia"/>
        </w:rPr>
        <w:t>参照</w:t>
      </w:r>
      <w:r w:rsidRPr="005947DB">
        <w:t>資料としてい</w:t>
      </w:r>
      <w:r w:rsidR="00FC36A9" w:rsidRPr="005947DB">
        <w:t>る</w:t>
      </w:r>
      <w:r w:rsidRPr="005947DB">
        <w:t>。</w:t>
      </w:r>
      <w:r w:rsidR="00297144" w:rsidRPr="005947DB">
        <w:t>CERMI</w:t>
      </w:r>
      <w:r w:rsidRPr="005947DB">
        <w:t>女性財団は、多重差別と闘い、障害</w:t>
      </w:r>
      <w:r w:rsidR="00C468B5" w:rsidRPr="005947DB">
        <w:t>のある</w:t>
      </w:r>
      <w:r w:rsidRPr="005947DB">
        <w:t>女性や少女の完全な発展、進歩、エンパワーメントを促進することを目的</w:t>
      </w:r>
      <w:r w:rsidRPr="005947DB">
        <w:rPr>
          <w:rFonts w:hint="eastAsia"/>
        </w:rPr>
        <w:t>として、</w:t>
      </w:r>
      <w:r w:rsidR="0059227B" w:rsidRPr="005947DB">
        <w:rPr>
          <w:rFonts w:hint="eastAsia"/>
        </w:rPr>
        <w:t>障害のある人</w:t>
      </w:r>
      <w:r w:rsidR="00297144" w:rsidRPr="005947DB">
        <w:rPr>
          <w:rFonts w:hint="eastAsia"/>
        </w:rPr>
        <w:t>の</w:t>
      </w:r>
      <w:r w:rsidRPr="005947DB">
        <w:rPr>
          <w:rFonts w:hint="eastAsia"/>
        </w:rPr>
        <w:t>固有の尊厳の尊重、個人の選択の自由を含む個人の自律、無差別、機会</w:t>
      </w:r>
      <w:r w:rsidR="00297144" w:rsidRPr="005947DB">
        <w:rPr>
          <w:rFonts w:hint="eastAsia"/>
        </w:rPr>
        <w:t>均等</w:t>
      </w:r>
      <w:r w:rsidRPr="005947DB">
        <w:rPr>
          <w:rFonts w:hint="eastAsia"/>
        </w:rPr>
        <w:t>、</w:t>
      </w:r>
      <w:r w:rsidR="009D0799" w:rsidRPr="005947DB">
        <w:rPr>
          <w:rFonts w:hint="eastAsia"/>
        </w:rPr>
        <w:t>地域社会</w:t>
      </w:r>
      <w:r w:rsidRPr="005947DB">
        <w:rPr>
          <w:rFonts w:hint="eastAsia"/>
        </w:rPr>
        <w:t>への</w:t>
      </w:r>
      <w:r w:rsidR="00297144" w:rsidRPr="005947DB">
        <w:rPr>
          <w:rFonts w:hint="eastAsia"/>
        </w:rPr>
        <w:t>包摂</w:t>
      </w:r>
      <w:r w:rsidRPr="005947DB">
        <w:rPr>
          <w:rFonts w:hint="eastAsia"/>
        </w:rPr>
        <w:t>、自立生活、ポジティブ・アクション</w:t>
      </w:r>
      <w:r w:rsidR="00C468B5" w:rsidRPr="005947DB">
        <w:rPr>
          <w:rFonts w:hint="eastAsia"/>
        </w:rPr>
        <w:t>（肯定的行動）</w:t>
      </w:r>
      <w:r w:rsidRPr="005947DB">
        <w:rPr>
          <w:rFonts w:hint="eastAsia"/>
        </w:rPr>
        <w:t>の原則を特に重視している。</w:t>
      </w:r>
    </w:p>
    <w:p w14:paraId="26CD8DFE" w14:textId="5AAC6528" w:rsidR="0096404F" w:rsidRPr="005947DB" w:rsidRDefault="0096404F" w:rsidP="008E4565">
      <w:pPr>
        <w:ind w:firstLineChars="100" w:firstLine="210"/>
      </w:pPr>
      <w:r w:rsidRPr="005947DB">
        <w:rPr>
          <w:rFonts w:hint="eastAsia"/>
        </w:rPr>
        <w:t>また、当財団は、障害者団体や障害</w:t>
      </w:r>
      <w:r w:rsidR="0059227B" w:rsidRPr="005947DB">
        <w:rPr>
          <w:rFonts w:hint="eastAsia"/>
        </w:rPr>
        <w:t>のある</w:t>
      </w:r>
      <w:r w:rsidRPr="005947DB">
        <w:rPr>
          <w:rFonts w:hint="eastAsia"/>
        </w:rPr>
        <w:t>女性</w:t>
      </w:r>
      <w:r w:rsidR="009D0799" w:rsidRPr="005947DB">
        <w:rPr>
          <w:rFonts w:hint="eastAsia"/>
        </w:rPr>
        <w:t>に特化した</w:t>
      </w:r>
      <w:r w:rsidRPr="005947DB">
        <w:rPr>
          <w:rFonts w:hint="eastAsia"/>
        </w:rPr>
        <w:t>団体を代表する組織を通じて、スペインのすべての障害</w:t>
      </w:r>
      <w:r w:rsidR="0059227B" w:rsidRPr="005947DB">
        <w:rPr>
          <w:rFonts w:hint="eastAsia"/>
        </w:rPr>
        <w:t>のある</w:t>
      </w:r>
      <w:r w:rsidRPr="005947DB">
        <w:rPr>
          <w:rFonts w:hint="eastAsia"/>
        </w:rPr>
        <w:t>女性や少女</w:t>
      </w:r>
      <w:r w:rsidR="009D0799" w:rsidRPr="005947DB">
        <w:rPr>
          <w:rFonts w:hint="eastAsia"/>
        </w:rPr>
        <w:t>が</w:t>
      </w:r>
      <w:r w:rsidRPr="005947DB">
        <w:rPr>
          <w:rFonts w:hint="eastAsia"/>
        </w:rPr>
        <w:t>直接声を</w:t>
      </w:r>
      <w:r w:rsidR="009D0799" w:rsidRPr="005947DB">
        <w:rPr>
          <w:rFonts w:hint="eastAsia"/>
        </w:rPr>
        <w:t>あげる</w:t>
      </w:r>
      <w:r w:rsidRPr="005947DB">
        <w:rPr>
          <w:rFonts w:hint="eastAsia"/>
        </w:rPr>
        <w:t>協議機関である障害女性参画評議会を</w:t>
      </w:r>
      <w:r w:rsidR="009D0799" w:rsidRPr="005947DB">
        <w:rPr>
          <w:rFonts w:hint="eastAsia"/>
        </w:rPr>
        <w:t>持って</w:t>
      </w:r>
      <w:r w:rsidRPr="005947DB">
        <w:rPr>
          <w:rFonts w:hint="eastAsia"/>
        </w:rPr>
        <w:t>いることも重要な点である。この協議会は、</w:t>
      </w:r>
      <w:r w:rsidRPr="005947DB">
        <w:rPr>
          <w:rFonts w:hint="eastAsia"/>
          <w:i/>
          <w:iCs/>
        </w:rPr>
        <w:t>特に</w:t>
      </w:r>
      <w:r w:rsidRPr="005947DB">
        <w:rPr>
          <w:rFonts w:hint="eastAsia"/>
        </w:rPr>
        <w:t>次のような機能を持ってい</w:t>
      </w:r>
      <w:r w:rsidR="00FC36A9" w:rsidRPr="005947DB">
        <w:rPr>
          <w:rFonts w:hint="eastAsia"/>
        </w:rPr>
        <w:t>る</w:t>
      </w:r>
      <w:r w:rsidRPr="005947DB">
        <w:rPr>
          <w:rFonts w:hint="eastAsia"/>
        </w:rPr>
        <w:t>。</w:t>
      </w:r>
      <w:r w:rsidR="008665AF" w:rsidRPr="005947DB">
        <w:rPr>
          <w:rFonts w:hint="eastAsia"/>
        </w:rPr>
        <w:t>それは、</w:t>
      </w:r>
      <w:r w:rsidRPr="005947DB">
        <w:rPr>
          <w:rFonts w:hint="eastAsia"/>
        </w:rPr>
        <w:t>事前に相談を受け、必要に応じてあらゆる事柄について財団に助言を与えること、障害のある女性や少女、また</w:t>
      </w:r>
      <w:r w:rsidR="0059227B" w:rsidRPr="005947DB">
        <w:rPr>
          <w:rFonts w:hint="eastAsia"/>
        </w:rPr>
        <w:t>障害のある人</w:t>
      </w:r>
      <w:r w:rsidRPr="005947DB">
        <w:rPr>
          <w:rFonts w:hint="eastAsia"/>
        </w:rPr>
        <w:t>の母親や女性介護者の社会的現実に関する経験の交換や討論・議論を促進すること、調査や研究の起草を</w:t>
      </w:r>
      <w:r w:rsidR="001970E1" w:rsidRPr="005947DB">
        <w:rPr>
          <w:rFonts w:hint="eastAsia"/>
        </w:rPr>
        <w:t>示唆</w:t>
      </w:r>
      <w:r w:rsidRPr="005947DB">
        <w:rPr>
          <w:rFonts w:hint="eastAsia"/>
        </w:rPr>
        <w:t>・提案</w:t>
      </w:r>
      <w:r w:rsidR="008665AF" w:rsidRPr="005947DB">
        <w:rPr>
          <w:rFonts w:hint="eastAsia"/>
        </w:rPr>
        <w:t>すること、</w:t>
      </w:r>
      <w:r w:rsidRPr="005947DB">
        <w:rPr>
          <w:rFonts w:hint="eastAsia"/>
        </w:rPr>
        <w:t>必要と思われる場合には提案や勧告を策定すること、</w:t>
      </w:r>
      <w:r w:rsidR="0039677B" w:rsidRPr="005947DB">
        <w:rPr>
          <w:rFonts w:hint="eastAsia"/>
        </w:rPr>
        <w:t>である</w:t>
      </w:r>
      <w:r w:rsidRPr="005947DB">
        <w:rPr>
          <w:rFonts w:hint="eastAsia"/>
        </w:rPr>
        <w:t>。</w:t>
      </w:r>
    </w:p>
    <w:p w14:paraId="00BBBFB7" w14:textId="591DE952" w:rsidR="0096404F" w:rsidRPr="005947DB" w:rsidRDefault="008665AF" w:rsidP="008E4565">
      <w:pPr>
        <w:ind w:firstLineChars="100" w:firstLine="210"/>
      </w:pPr>
      <w:r w:rsidRPr="005947DB">
        <w:t>障害</w:t>
      </w:r>
      <w:r w:rsidR="00435533" w:rsidRPr="005947DB">
        <w:rPr>
          <w:rFonts w:hint="eastAsia"/>
        </w:rPr>
        <w:t>のある</w:t>
      </w:r>
      <w:r w:rsidRPr="005947DB">
        <w:t>女性の</w:t>
      </w:r>
      <w:r w:rsidRPr="005947DB">
        <w:rPr>
          <w:rFonts w:hint="eastAsia"/>
        </w:rPr>
        <w:t>労働と雇用の権利</w:t>
      </w:r>
      <w:r w:rsidRPr="005947DB">
        <w:t>について</w:t>
      </w:r>
      <w:r w:rsidRPr="005947DB">
        <w:rPr>
          <w:rFonts w:hint="eastAsia"/>
        </w:rPr>
        <w:t>のこの文</w:t>
      </w:r>
      <w:r w:rsidR="0096404F" w:rsidRPr="005947DB">
        <w:rPr>
          <w:rFonts w:hint="eastAsia"/>
        </w:rPr>
        <w:t>書は、国連障害者権利委員会による</w:t>
      </w:r>
      <w:r w:rsidR="0096404F" w:rsidRPr="005947DB">
        <w:t>CRPD第27条に関する一般的意見案に関する</w:t>
      </w:r>
      <w:r w:rsidRPr="005947DB">
        <w:rPr>
          <w:rFonts w:hint="eastAsia"/>
        </w:rPr>
        <w:t>意見</w:t>
      </w:r>
      <w:r w:rsidR="0096404F" w:rsidRPr="005947DB">
        <w:t>提出要請を受け、作成された。この寄稿は、CERMI女性財団が、委員会が発表</w:t>
      </w:r>
      <w:r w:rsidR="002210E2" w:rsidRPr="005947DB">
        <w:rPr>
          <w:rFonts w:hint="eastAsia"/>
        </w:rPr>
        <w:t>する</w:t>
      </w:r>
      <w:r w:rsidRPr="005947DB">
        <w:rPr>
          <w:rFonts w:hint="eastAsia"/>
        </w:rPr>
        <w:t>労働</w:t>
      </w:r>
      <w:r w:rsidR="0096404F" w:rsidRPr="005947DB">
        <w:t>と雇用に関する一般的意見に反映させたいと考えている内容の概略を示すものである。</w:t>
      </w:r>
    </w:p>
    <w:p w14:paraId="52FD8A0A" w14:textId="63A57ADF" w:rsidR="0096404F" w:rsidRPr="005947DB" w:rsidRDefault="0096404F" w:rsidP="0096404F"/>
    <w:p w14:paraId="11038252" w14:textId="5516C8EE" w:rsidR="00B40647" w:rsidRPr="005947DB" w:rsidRDefault="00B40647" w:rsidP="00B40647">
      <w:pPr>
        <w:rPr>
          <w:b/>
          <w:bCs/>
        </w:rPr>
      </w:pPr>
      <w:r w:rsidRPr="005947DB">
        <w:rPr>
          <w:b/>
          <w:bCs/>
        </w:rPr>
        <w:t>II 一般</w:t>
      </w:r>
      <w:r w:rsidR="002210E2" w:rsidRPr="005947DB">
        <w:rPr>
          <w:rFonts w:hint="eastAsia"/>
          <w:b/>
          <w:bCs/>
        </w:rPr>
        <w:t>的意見</w:t>
      </w:r>
      <w:r w:rsidRPr="005947DB">
        <w:rPr>
          <w:b/>
          <w:bCs/>
        </w:rPr>
        <w:t>案の修正提案。</w:t>
      </w:r>
    </w:p>
    <w:p w14:paraId="4EAB3DC8" w14:textId="2882C0BC" w:rsidR="00B40647" w:rsidRPr="005947DB" w:rsidRDefault="00B40647" w:rsidP="00B40647">
      <w:pPr>
        <w:rPr>
          <w:b/>
          <w:bCs/>
        </w:rPr>
      </w:pPr>
      <w:r w:rsidRPr="005947DB">
        <w:rPr>
          <w:b/>
          <w:bCs/>
        </w:rPr>
        <w:t>1 パラグラフ2</w:t>
      </w:r>
    </w:p>
    <w:p w14:paraId="1A6E1220" w14:textId="77777777" w:rsidR="00B40647" w:rsidRPr="005947DB" w:rsidRDefault="00B40647" w:rsidP="00B40647">
      <w:pPr>
        <w:rPr>
          <w:b/>
          <w:bCs/>
        </w:rPr>
      </w:pPr>
      <w:r w:rsidRPr="005947DB">
        <w:rPr>
          <w:rFonts w:hint="eastAsia"/>
          <w:b/>
          <w:bCs/>
        </w:rPr>
        <w:t>現在の文言を以下のように修正する（修正箇所は</w:t>
      </w:r>
      <w:r w:rsidRPr="005947DB">
        <w:rPr>
          <w:rFonts w:hint="eastAsia"/>
          <w:b/>
          <w:bCs/>
          <w:color w:val="FF0000"/>
        </w:rPr>
        <w:t>赤</w:t>
      </w:r>
      <w:r w:rsidRPr="005947DB">
        <w:rPr>
          <w:rFonts w:hint="eastAsia"/>
          <w:b/>
          <w:bCs/>
        </w:rPr>
        <w:t>で表示）。</w:t>
      </w:r>
    </w:p>
    <w:p w14:paraId="0BBA21C1" w14:textId="41D1A3CB" w:rsidR="00B40647" w:rsidRPr="005947DB" w:rsidRDefault="00B40647" w:rsidP="00B40647">
      <w:r w:rsidRPr="005947DB">
        <w:lastRenderedPageBreak/>
        <w:t>2. [</w:t>
      </w:r>
      <w:r w:rsidR="002210E2" w:rsidRPr="005947DB">
        <w:t>…</w:t>
      </w:r>
      <w:r w:rsidR="002210E2" w:rsidRPr="005947DB">
        <w:rPr>
          <w:rFonts w:hint="eastAsia"/>
        </w:rPr>
        <w:t>]</w:t>
      </w:r>
      <w:r w:rsidRPr="005947DB">
        <w:t>委員会は、この一般的意見を作成するために、委員会自身の法理、経済的・社会的・文化的権利委員会（CESCR）、</w:t>
      </w:r>
      <w:r w:rsidRPr="005947DB">
        <w:rPr>
          <w:color w:val="FF0000"/>
        </w:rPr>
        <w:t>女子差別撤廃委員会（CEDAW）、</w:t>
      </w:r>
      <w:r w:rsidRPr="005947DB">
        <w:t>およびその他の人権条約</w:t>
      </w:r>
      <w:r w:rsidR="002210E2" w:rsidRPr="005947DB">
        <w:rPr>
          <w:rFonts w:hint="eastAsia"/>
        </w:rPr>
        <w:t>体</w:t>
      </w:r>
      <w:r w:rsidRPr="005947DB">
        <w:t>の法理を参考にしている。</w:t>
      </w:r>
    </w:p>
    <w:p w14:paraId="7EADB191" w14:textId="77777777" w:rsidR="00B40647" w:rsidRPr="005947DB" w:rsidRDefault="00B40647" w:rsidP="00B40647">
      <w:pPr>
        <w:rPr>
          <w:b/>
          <w:bCs/>
        </w:rPr>
      </w:pPr>
      <w:r w:rsidRPr="005947DB">
        <w:rPr>
          <w:rFonts w:hint="eastAsia"/>
          <w:b/>
          <w:bCs/>
        </w:rPr>
        <w:t>理由</w:t>
      </w:r>
      <w:r w:rsidRPr="005947DB">
        <w:rPr>
          <w:b/>
          <w:bCs/>
        </w:rPr>
        <w:t xml:space="preserve"> </w:t>
      </w:r>
    </w:p>
    <w:p w14:paraId="6881FA50" w14:textId="592FE263" w:rsidR="00B40647" w:rsidRPr="005947DB" w:rsidRDefault="0059227B" w:rsidP="00AD7426">
      <w:pPr>
        <w:ind w:firstLineChars="100" w:firstLine="210"/>
      </w:pPr>
      <w:r w:rsidRPr="005947DB">
        <w:rPr>
          <w:rFonts w:hint="eastAsia"/>
        </w:rPr>
        <w:t>障害のある人</w:t>
      </w:r>
      <w:r w:rsidR="00AD7426" w:rsidRPr="005947DB">
        <w:rPr>
          <w:rFonts w:hint="eastAsia"/>
        </w:rPr>
        <w:t>の</w:t>
      </w:r>
      <w:r w:rsidR="00B40647" w:rsidRPr="005947DB">
        <w:rPr>
          <w:rFonts w:hint="eastAsia"/>
        </w:rPr>
        <w:t>全体の</w:t>
      </w:r>
      <w:r w:rsidR="00B40647" w:rsidRPr="005947DB">
        <w:t>6割が女性であることを考えると、一般的意見</w:t>
      </w:r>
      <w:r w:rsidR="00AD7426" w:rsidRPr="005947DB">
        <w:rPr>
          <w:rFonts w:hint="eastAsia"/>
        </w:rPr>
        <w:t>全体に</w:t>
      </w:r>
      <w:r w:rsidR="00B40647" w:rsidRPr="005947DB">
        <w:t>ジェンダー・アプローチを適用することが極めて重要である。</w:t>
      </w:r>
    </w:p>
    <w:p w14:paraId="5A4D88C4" w14:textId="77777777" w:rsidR="00B94999" w:rsidRPr="005947DB" w:rsidRDefault="00B94999" w:rsidP="00B40647"/>
    <w:p w14:paraId="5D6CCBF7" w14:textId="27B5B461" w:rsidR="00B40647" w:rsidRPr="005947DB" w:rsidRDefault="00B40647" w:rsidP="00B40647">
      <w:pPr>
        <w:rPr>
          <w:b/>
          <w:bCs/>
        </w:rPr>
      </w:pPr>
      <w:r w:rsidRPr="005947DB">
        <w:rPr>
          <w:b/>
          <w:bCs/>
        </w:rPr>
        <w:t xml:space="preserve">2 </w:t>
      </w:r>
      <w:r w:rsidR="002F2A86" w:rsidRPr="005947DB">
        <w:rPr>
          <w:b/>
          <w:bCs/>
        </w:rPr>
        <w:t>パラグラフ</w:t>
      </w:r>
      <w:r w:rsidRPr="005947DB">
        <w:rPr>
          <w:b/>
          <w:bCs/>
        </w:rPr>
        <w:t>3</w:t>
      </w:r>
      <w:r w:rsidR="00AD7426" w:rsidRPr="005947DB">
        <w:rPr>
          <w:rFonts w:hint="eastAsia"/>
          <w:b/>
          <w:bCs/>
        </w:rPr>
        <w:t>の後に</w:t>
      </w:r>
      <w:r w:rsidRPr="005947DB">
        <w:rPr>
          <w:b/>
          <w:bCs/>
        </w:rPr>
        <w:t>パラグラフ</w:t>
      </w:r>
      <w:r w:rsidR="00AD7426" w:rsidRPr="005947DB">
        <w:rPr>
          <w:rFonts w:hint="eastAsia"/>
          <w:b/>
          <w:bCs/>
        </w:rPr>
        <w:t>を</w:t>
      </w:r>
      <w:r w:rsidR="00AD7426" w:rsidRPr="005947DB">
        <w:rPr>
          <w:b/>
          <w:bCs/>
        </w:rPr>
        <w:t>追加</w:t>
      </w:r>
    </w:p>
    <w:p w14:paraId="31D9BB11" w14:textId="77777777" w:rsidR="00B40647" w:rsidRPr="005947DB" w:rsidRDefault="00B40647" w:rsidP="00B40647">
      <w:pPr>
        <w:rPr>
          <w:b/>
          <w:bCs/>
        </w:rPr>
      </w:pPr>
      <w:r w:rsidRPr="005947DB">
        <w:rPr>
          <w:rFonts w:hint="eastAsia"/>
          <w:b/>
          <w:bCs/>
        </w:rPr>
        <w:t>次の新しいパラグラフを追加する。</w:t>
      </w:r>
    </w:p>
    <w:p w14:paraId="08EA4A14" w14:textId="4D35AF6B" w:rsidR="00B40647" w:rsidRPr="005947DB" w:rsidRDefault="00B40647" w:rsidP="00436B19">
      <w:pPr>
        <w:widowControl/>
        <w:spacing w:line="360" w:lineRule="exact"/>
        <w:ind w:firstLineChars="100" w:firstLine="210"/>
        <w:jc w:val="left"/>
        <w:rPr>
          <w:color w:val="FF0000"/>
        </w:rPr>
      </w:pPr>
      <w:r w:rsidRPr="005947DB">
        <w:rPr>
          <w:rFonts w:hint="eastAsia"/>
          <w:color w:val="FF0000"/>
        </w:rPr>
        <w:t>障害のある女性と少女に関する一般的意見第</w:t>
      </w:r>
      <w:r w:rsidRPr="005947DB">
        <w:rPr>
          <w:color w:val="FF0000"/>
        </w:rPr>
        <w:t>3号</w:t>
      </w:r>
      <w:r w:rsidR="0048643F" w:rsidRPr="005947DB">
        <w:rPr>
          <w:rFonts w:hint="eastAsia"/>
          <w:color w:val="FF0000"/>
        </w:rPr>
        <w:t>は</w:t>
      </w:r>
      <w:r w:rsidRPr="005947DB">
        <w:rPr>
          <w:color w:val="FF0000"/>
        </w:rPr>
        <w:t>、委員会は、障害のある人が働く権利を行使する際に直面する一般的な障壁のほかに、障害のある女性は、とりわけ、否定的な</w:t>
      </w:r>
      <w:r w:rsidR="00AD7426" w:rsidRPr="005947DB">
        <w:rPr>
          <w:rFonts w:hint="eastAsia"/>
          <w:color w:val="FF0000"/>
        </w:rPr>
        <w:t>固定観念</w:t>
      </w:r>
      <w:r w:rsidRPr="005947DB">
        <w:rPr>
          <w:color w:val="FF0000"/>
        </w:rPr>
        <w:t>、セクハラ、不平等な賃金、</w:t>
      </w:r>
      <w:r w:rsidR="00436B19" w:rsidRPr="005947DB">
        <w:rPr>
          <w:rFonts w:hint="eastAsia"/>
          <w:color w:val="FF0000"/>
        </w:rPr>
        <w:t>補償</w:t>
      </w:r>
      <w:r w:rsidRPr="005947DB">
        <w:rPr>
          <w:color w:val="FF0000"/>
        </w:rPr>
        <w:t>へのアクセスの欠如といった、職場における彼ら</w:t>
      </w:r>
      <w:r w:rsidR="00436B19" w:rsidRPr="005947DB">
        <w:rPr>
          <w:rFonts w:hint="eastAsia"/>
          <w:color w:val="FF0000"/>
        </w:rPr>
        <w:t>への</w:t>
      </w:r>
      <w:r w:rsidRPr="005947DB">
        <w:rPr>
          <w:color w:val="FF0000"/>
        </w:rPr>
        <w:t>差別をさらに</w:t>
      </w:r>
      <w:r w:rsidR="00AD7426" w:rsidRPr="005947DB">
        <w:rPr>
          <w:rFonts w:hint="eastAsia"/>
          <w:color w:val="FF0000"/>
        </w:rPr>
        <w:t>強め</w:t>
      </w:r>
      <w:r w:rsidRPr="005947DB">
        <w:rPr>
          <w:color w:val="FF0000"/>
        </w:rPr>
        <w:t>る</w:t>
      </w:r>
      <w:r w:rsidR="00AD7426" w:rsidRPr="005947DB">
        <w:rPr>
          <w:rFonts w:hint="eastAsia"/>
          <w:color w:val="FF0000"/>
        </w:rPr>
        <w:t>追加的な</w:t>
      </w:r>
      <w:r w:rsidRPr="005947DB">
        <w:rPr>
          <w:color w:val="FF0000"/>
        </w:rPr>
        <w:t>障壁に直面していると強調している</w:t>
      </w:r>
      <w:r w:rsidR="00436B19" w:rsidRPr="005947DB">
        <w:rPr>
          <w:rStyle w:val="aa"/>
          <w:color w:val="FF0000"/>
          <w:sz w:val="24"/>
          <w:szCs w:val="24"/>
        </w:rPr>
        <w:footnoteReference w:id="1"/>
      </w:r>
      <w:r w:rsidRPr="005947DB">
        <w:rPr>
          <w:color w:val="FF0000"/>
        </w:rPr>
        <w:t xml:space="preserve">。  </w:t>
      </w:r>
    </w:p>
    <w:p w14:paraId="0600C094" w14:textId="77777777" w:rsidR="008E4565" w:rsidRPr="005947DB" w:rsidRDefault="008E4565" w:rsidP="008E4565">
      <w:pPr>
        <w:rPr>
          <w:b/>
          <w:bCs/>
        </w:rPr>
      </w:pPr>
      <w:r w:rsidRPr="005947DB">
        <w:rPr>
          <w:rFonts w:hint="eastAsia"/>
          <w:b/>
          <w:bCs/>
        </w:rPr>
        <w:t>理由</w:t>
      </w:r>
      <w:r w:rsidRPr="005947DB">
        <w:rPr>
          <w:b/>
          <w:bCs/>
        </w:rPr>
        <w:t xml:space="preserve"> </w:t>
      </w:r>
    </w:p>
    <w:p w14:paraId="7468DCFA" w14:textId="1C22AE76" w:rsidR="00B40647" w:rsidRPr="005947DB" w:rsidRDefault="00B40647" w:rsidP="00B94999">
      <w:pPr>
        <w:ind w:firstLineChars="100" w:firstLine="210"/>
      </w:pPr>
      <w:r w:rsidRPr="005947DB">
        <w:rPr>
          <w:rFonts w:hint="eastAsia"/>
        </w:rPr>
        <w:t>この新しいパラグラフは、</w:t>
      </w:r>
      <w:r w:rsidRPr="005947DB">
        <w:t>CRPD委員会の法理におけるジェンダー・アプローチとその根拠を強調する。</w:t>
      </w:r>
    </w:p>
    <w:p w14:paraId="5DCC0A82" w14:textId="77777777" w:rsidR="00B94999" w:rsidRPr="005947DB" w:rsidRDefault="00B94999" w:rsidP="00B40647"/>
    <w:p w14:paraId="75F24712" w14:textId="0B092FC9" w:rsidR="00B40647" w:rsidRPr="005947DB" w:rsidRDefault="00B40647" w:rsidP="00B40647">
      <w:pPr>
        <w:rPr>
          <w:b/>
          <w:bCs/>
        </w:rPr>
      </w:pPr>
      <w:r w:rsidRPr="005947DB">
        <w:rPr>
          <w:b/>
          <w:bCs/>
        </w:rPr>
        <w:t>3 パラグラフ4</w:t>
      </w:r>
    </w:p>
    <w:p w14:paraId="6A9D7F3D" w14:textId="77777777" w:rsidR="00B40647" w:rsidRPr="005947DB" w:rsidRDefault="00B40647" w:rsidP="00B40647">
      <w:pPr>
        <w:rPr>
          <w:b/>
          <w:bCs/>
        </w:rPr>
      </w:pPr>
      <w:r w:rsidRPr="005947DB">
        <w:rPr>
          <w:rFonts w:hint="eastAsia"/>
          <w:b/>
          <w:bCs/>
        </w:rPr>
        <w:t>現在の文言を以下のように修正する。</w:t>
      </w:r>
    </w:p>
    <w:p w14:paraId="3727312F" w14:textId="065A0049" w:rsidR="00B40647" w:rsidRPr="005947DB" w:rsidRDefault="00B40647" w:rsidP="00E23E3A">
      <w:pPr>
        <w:widowControl/>
        <w:spacing w:line="360" w:lineRule="exact"/>
        <w:jc w:val="left"/>
        <w:rPr>
          <w:rFonts w:ascii="ＭＳ Ｐゴシック" w:eastAsia="ＭＳ Ｐゴシック" w:hAnsi="ＭＳ Ｐゴシック" w:cs="ＭＳ Ｐゴシック"/>
          <w:sz w:val="24"/>
          <w:szCs w:val="24"/>
        </w:rPr>
      </w:pPr>
      <w:r w:rsidRPr="005947DB">
        <w:t>4 [...] データと証拠は、これらの差異が、年齢、</w:t>
      </w:r>
      <w:r w:rsidR="00436B19" w:rsidRPr="005947DB">
        <w:rPr>
          <w:rFonts w:hint="eastAsia"/>
        </w:rPr>
        <w:t>ジェンダー</w:t>
      </w:r>
      <w:r w:rsidRPr="005947DB">
        <w:t>、性、民族、居住地、その他の理由によ</w:t>
      </w:r>
      <w:r w:rsidR="00436B19" w:rsidRPr="005947DB">
        <w:rPr>
          <w:rFonts w:hint="eastAsia"/>
        </w:rPr>
        <w:t>り</w:t>
      </w:r>
      <w:r w:rsidR="0059227B" w:rsidRPr="005947DB">
        <w:t>障害のある人</w:t>
      </w:r>
      <w:r w:rsidRPr="005947DB">
        <w:t>に特に影響を与えることを示している。</w:t>
      </w:r>
      <w:r w:rsidRPr="005947DB">
        <w:rPr>
          <w:color w:val="FF0000"/>
        </w:rPr>
        <w:t>より正確には、2019年版「障害と開発報告書」でも、世界のすべての地域において、障害</w:t>
      </w:r>
      <w:r w:rsidR="001C481F" w:rsidRPr="005947DB">
        <w:rPr>
          <w:rFonts w:hint="eastAsia"/>
          <w:color w:val="FF0000"/>
        </w:rPr>
        <w:t>のある</w:t>
      </w:r>
      <w:r w:rsidRPr="005947DB">
        <w:rPr>
          <w:color w:val="FF0000"/>
        </w:rPr>
        <w:t>女性は障害</w:t>
      </w:r>
      <w:r w:rsidR="001C481F" w:rsidRPr="005947DB">
        <w:rPr>
          <w:rFonts w:hint="eastAsia"/>
          <w:color w:val="FF0000"/>
        </w:rPr>
        <w:t>のある</w:t>
      </w:r>
      <w:r w:rsidRPr="005947DB">
        <w:rPr>
          <w:color w:val="FF0000"/>
        </w:rPr>
        <w:t>男性や</w:t>
      </w:r>
      <w:r w:rsidR="0059227B" w:rsidRPr="005947DB">
        <w:rPr>
          <w:color w:val="FF0000"/>
        </w:rPr>
        <w:t>障害の</w:t>
      </w:r>
      <w:r w:rsidRPr="005947DB">
        <w:rPr>
          <w:color w:val="FF0000"/>
        </w:rPr>
        <w:t>ない人に比べて雇用される可能性が低いと指摘されている</w:t>
      </w:r>
      <w:r w:rsidR="00F3755C" w:rsidRPr="005947DB">
        <w:rPr>
          <w:rStyle w:val="aa"/>
          <w:color w:val="FF0000"/>
          <w:sz w:val="24"/>
          <w:szCs w:val="24"/>
        </w:rPr>
        <w:footnoteReference w:id="2"/>
      </w:r>
      <w:r w:rsidRPr="005947DB">
        <w:rPr>
          <w:color w:val="FF0000"/>
        </w:rPr>
        <w:t>。</w:t>
      </w:r>
    </w:p>
    <w:p w14:paraId="00D41AEC" w14:textId="77777777" w:rsidR="00B94999" w:rsidRPr="005947DB" w:rsidRDefault="00B94999" w:rsidP="00B40647"/>
    <w:p w14:paraId="7596B2BC" w14:textId="7A7AF560" w:rsidR="00B40647" w:rsidRPr="005947DB" w:rsidRDefault="00B40647" w:rsidP="00B40647">
      <w:pPr>
        <w:rPr>
          <w:b/>
          <w:bCs/>
        </w:rPr>
      </w:pPr>
      <w:r w:rsidRPr="005947DB">
        <w:rPr>
          <w:b/>
          <w:bCs/>
        </w:rPr>
        <w:t>4 パラグラフ6</w:t>
      </w:r>
    </w:p>
    <w:p w14:paraId="3153CE42" w14:textId="77777777" w:rsidR="00B40647" w:rsidRPr="005947DB" w:rsidRDefault="00B40647" w:rsidP="00B40647">
      <w:pPr>
        <w:rPr>
          <w:b/>
          <w:bCs/>
        </w:rPr>
      </w:pPr>
      <w:r w:rsidRPr="005947DB">
        <w:rPr>
          <w:rFonts w:hint="eastAsia"/>
          <w:b/>
          <w:bCs/>
        </w:rPr>
        <w:t>現在の文言に以下を追加する。</w:t>
      </w:r>
    </w:p>
    <w:p w14:paraId="771C8C78" w14:textId="0DCF8F86" w:rsidR="00B40647" w:rsidRPr="005947DB" w:rsidRDefault="00B40647" w:rsidP="00B40647">
      <w:r w:rsidRPr="005947DB">
        <w:t>6 [...] 本</w:t>
      </w:r>
      <w:r w:rsidR="00F3755C" w:rsidRPr="005947DB">
        <w:rPr>
          <w:rFonts w:hint="eastAsia"/>
        </w:rPr>
        <w:t>一般的意見</w:t>
      </w:r>
      <w:r w:rsidRPr="005947DB">
        <w:t>は、第27条の義務について包括的に概観し、一方では、</w:t>
      </w:r>
      <w:r w:rsidR="00C8429E" w:rsidRPr="005947DB">
        <w:rPr>
          <w:rFonts w:hint="eastAsia"/>
        </w:rPr>
        <w:t>労働の</w:t>
      </w:r>
      <w:r w:rsidRPr="005947DB">
        <w:t>権利を達成するために第27条に掲げられた措置の相互依存性を考慮し、他方では、</w:t>
      </w:r>
      <w:r w:rsidR="00C8429E" w:rsidRPr="005947DB">
        <w:rPr>
          <w:rFonts w:hint="eastAsia"/>
        </w:rPr>
        <w:t>労働と</w:t>
      </w:r>
      <w:r w:rsidRPr="005947DB">
        <w:t>雇用</w:t>
      </w:r>
      <w:r w:rsidR="00C8429E" w:rsidRPr="005947DB">
        <w:rPr>
          <w:rFonts w:hint="eastAsia"/>
        </w:rPr>
        <w:t>の</w:t>
      </w:r>
      <w:r w:rsidR="00C8429E" w:rsidRPr="005947DB">
        <w:t>権利</w:t>
      </w:r>
      <w:r w:rsidR="00C8429E" w:rsidRPr="005947DB">
        <w:rPr>
          <w:rFonts w:hint="eastAsia"/>
        </w:rPr>
        <w:t>と</w:t>
      </w:r>
      <w:r w:rsidRPr="005947DB">
        <w:t>条約の他の規定、例えば</w:t>
      </w:r>
      <w:r w:rsidRPr="005947DB">
        <w:rPr>
          <w:color w:val="FF0000"/>
        </w:rPr>
        <w:t>女性のための</w:t>
      </w:r>
      <w:r w:rsidR="00C8429E" w:rsidRPr="005947DB">
        <w:rPr>
          <w:rFonts w:hint="eastAsia"/>
          <w:color w:val="FF0000"/>
        </w:rPr>
        <w:t>ジェンダー</w:t>
      </w:r>
      <w:r w:rsidRPr="005947DB">
        <w:rPr>
          <w:color w:val="FF0000"/>
        </w:rPr>
        <w:t>平等（第6条）</w:t>
      </w:r>
      <w:r w:rsidRPr="005947DB">
        <w:t>、アクセ</w:t>
      </w:r>
      <w:r w:rsidR="00C8429E" w:rsidRPr="005947DB">
        <w:rPr>
          <w:rFonts w:hint="eastAsia"/>
        </w:rPr>
        <w:t>シ</w:t>
      </w:r>
      <w:r w:rsidRPr="005947DB">
        <w:t>ビリティ（第</w:t>
      </w:r>
      <w:r w:rsidR="00C8429E" w:rsidRPr="005947DB">
        <w:rPr>
          <w:rFonts w:hint="eastAsia"/>
        </w:rPr>
        <w:t>9</w:t>
      </w:r>
      <w:r w:rsidRPr="005947DB">
        <w:t>条）、法の下での平等な承認（12条）、司法へのアクセス（13条）、拷問又は残虐な、</w:t>
      </w:r>
      <w:r w:rsidRPr="005947DB">
        <w:lastRenderedPageBreak/>
        <w:t>非人道的な若しくは品位を傷つける取扱い若しくは刑罰からの自由（15条）、</w:t>
      </w:r>
      <w:r w:rsidRPr="005947DB">
        <w:rPr>
          <w:color w:val="FF0000"/>
        </w:rPr>
        <w:t>搾取、暴力及び虐待からの自由（16条）、</w:t>
      </w:r>
      <w:r w:rsidRPr="005947DB">
        <w:t>リハビリテーション及び回復（26条）、</w:t>
      </w:r>
      <w:r w:rsidR="00487AFB" w:rsidRPr="005947DB">
        <w:rPr>
          <w:rFonts w:hint="eastAsia"/>
        </w:rPr>
        <w:t>相当な生活水準及び社会的な保障</w:t>
      </w:r>
      <w:r w:rsidRPr="005947DB">
        <w:t>（28条）、</w:t>
      </w:r>
      <w:r w:rsidRPr="005947DB">
        <w:rPr>
          <w:color w:val="FF0000"/>
        </w:rPr>
        <w:t>政治</w:t>
      </w:r>
      <w:r w:rsidR="00487AFB" w:rsidRPr="005947DB">
        <w:rPr>
          <w:rFonts w:hint="eastAsia"/>
          <w:color w:val="FF0000"/>
        </w:rPr>
        <w:t>的</w:t>
      </w:r>
      <w:r w:rsidRPr="005947DB">
        <w:rPr>
          <w:color w:val="FF0000"/>
        </w:rPr>
        <w:t>及び公的生活への参加（29条）、</w:t>
      </w:r>
      <w:r w:rsidRPr="005947DB">
        <w:t>など、この条約の他の規定</w:t>
      </w:r>
      <w:r w:rsidR="00C8429E" w:rsidRPr="005947DB">
        <w:t>との相互関連性を考慮するものである。</w:t>
      </w:r>
    </w:p>
    <w:p w14:paraId="65E8A297" w14:textId="77777777" w:rsidR="008E4565" w:rsidRPr="005947DB" w:rsidRDefault="008E4565" w:rsidP="008E4565">
      <w:pPr>
        <w:rPr>
          <w:b/>
          <w:bCs/>
        </w:rPr>
      </w:pPr>
      <w:r w:rsidRPr="005947DB">
        <w:rPr>
          <w:rFonts w:hint="eastAsia"/>
          <w:b/>
          <w:bCs/>
        </w:rPr>
        <w:t>理由</w:t>
      </w:r>
      <w:r w:rsidRPr="005947DB">
        <w:rPr>
          <w:b/>
          <w:bCs/>
        </w:rPr>
        <w:t xml:space="preserve"> </w:t>
      </w:r>
    </w:p>
    <w:p w14:paraId="1B605FB0" w14:textId="176B7042" w:rsidR="00B40647" w:rsidRPr="005947DB" w:rsidRDefault="00B40647" w:rsidP="00B94999">
      <w:pPr>
        <w:ind w:firstLineChars="100" w:firstLine="210"/>
      </w:pPr>
      <w:r w:rsidRPr="005947DB">
        <w:rPr>
          <w:rFonts w:hint="eastAsia"/>
        </w:rPr>
        <w:t>こ</w:t>
      </w:r>
      <w:r w:rsidR="00C8429E" w:rsidRPr="005947DB">
        <w:rPr>
          <w:rFonts w:hint="eastAsia"/>
        </w:rPr>
        <w:t>れら</w:t>
      </w:r>
      <w:r w:rsidRPr="005947DB">
        <w:rPr>
          <w:rFonts w:hint="eastAsia"/>
        </w:rPr>
        <w:t>の</w:t>
      </w:r>
      <w:r w:rsidR="00023365" w:rsidRPr="005947DB">
        <w:rPr>
          <w:rFonts w:hint="eastAsia"/>
        </w:rPr>
        <w:t>修正</w:t>
      </w:r>
      <w:r w:rsidRPr="005947DB">
        <w:rPr>
          <w:rFonts w:hint="eastAsia"/>
        </w:rPr>
        <w:t>は、ジェンダー・アプローチと、職場における搾取、暴力、虐待および労働組合への参加</w:t>
      </w:r>
      <w:r w:rsidR="00023365" w:rsidRPr="005947DB">
        <w:rPr>
          <w:rFonts w:hint="eastAsia"/>
        </w:rPr>
        <w:t>への</w:t>
      </w:r>
      <w:r w:rsidRPr="005947DB">
        <w:rPr>
          <w:rFonts w:hint="eastAsia"/>
        </w:rPr>
        <w:t>対処を強</w:t>
      </w:r>
      <w:r w:rsidR="00023365" w:rsidRPr="005947DB">
        <w:rPr>
          <w:rFonts w:hint="eastAsia"/>
        </w:rPr>
        <w:t>める</w:t>
      </w:r>
      <w:r w:rsidRPr="005947DB">
        <w:rPr>
          <w:rFonts w:hint="eastAsia"/>
        </w:rPr>
        <w:t>ことを目的としてい</w:t>
      </w:r>
      <w:r w:rsidR="00FC36A9" w:rsidRPr="005947DB">
        <w:rPr>
          <w:rFonts w:hint="eastAsia"/>
        </w:rPr>
        <w:t>る</w:t>
      </w:r>
      <w:r w:rsidRPr="005947DB">
        <w:rPr>
          <w:rFonts w:hint="eastAsia"/>
        </w:rPr>
        <w:t>。</w:t>
      </w:r>
    </w:p>
    <w:p w14:paraId="4022136E" w14:textId="77777777" w:rsidR="00B94999" w:rsidRPr="005947DB" w:rsidRDefault="00B94999" w:rsidP="00B40647"/>
    <w:p w14:paraId="5B43B2CF" w14:textId="5A246F64" w:rsidR="00B40647" w:rsidRPr="005947DB" w:rsidRDefault="00B40647" w:rsidP="00B40647">
      <w:pPr>
        <w:rPr>
          <w:b/>
          <w:bCs/>
        </w:rPr>
      </w:pPr>
      <w:r w:rsidRPr="005947DB">
        <w:rPr>
          <w:b/>
          <w:bCs/>
        </w:rPr>
        <w:t>5 パラグラフ8</w:t>
      </w:r>
    </w:p>
    <w:p w14:paraId="4F2FA12A" w14:textId="77777777" w:rsidR="00B40647" w:rsidRPr="005947DB" w:rsidRDefault="00B40647" w:rsidP="00B40647">
      <w:pPr>
        <w:rPr>
          <w:b/>
          <w:bCs/>
        </w:rPr>
      </w:pPr>
      <w:r w:rsidRPr="005947DB">
        <w:rPr>
          <w:rFonts w:hint="eastAsia"/>
          <w:b/>
          <w:bCs/>
        </w:rPr>
        <w:t>現在の文言に以下を追加する。</w:t>
      </w:r>
    </w:p>
    <w:p w14:paraId="7146ACA9" w14:textId="0B3831C5" w:rsidR="00B40647" w:rsidRPr="005947DB" w:rsidRDefault="00B40647" w:rsidP="00E23E3A">
      <w:pPr>
        <w:widowControl/>
        <w:spacing w:line="-360" w:lineRule="auto"/>
        <w:jc w:val="left"/>
      </w:pPr>
      <w:r w:rsidRPr="005947DB">
        <w:t>8. この条約</w:t>
      </w:r>
      <w:r w:rsidR="00023365" w:rsidRPr="005947DB">
        <w:rPr>
          <w:rFonts w:hint="eastAsia"/>
        </w:rPr>
        <w:t>の</w:t>
      </w:r>
      <w:r w:rsidRPr="005947DB">
        <w:t>権利を実現するために、締約国は、人権モデルを適用し、</w:t>
      </w:r>
      <w:r w:rsidR="0059227B" w:rsidRPr="005947DB">
        <w:t>障害のある人</w:t>
      </w:r>
      <w:r w:rsidRPr="005947DB">
        <w:t>に働きかける必要がある。</w:t>
      </w:r>
      <w:r w:rsidR="0059227B" w:rsidRPr="005947DB">
        <w:t>障害のある人</w:t>
      </w:r>
      <w:r w:rsidRPr="005947DB">
        <w:t>は、その代表組織を通じて、労働および雇用の権利に関連して</w:t>
      </w:r>
      <w:r w:rsidR="0059227B" w:rsidRPr="005947DB">
        <w:t>障害のある人</w:t>
      </w:r>
      <w:r w:rsidRPr="005947DB">
        <w:t>が直面する差別および疎外に対処するための立法および政策改革の策定において中心的役割を果たす。</w:t>
      </w:r>
      <w:r w:rsidRPr="005947DB">
        <w:rPr>
          <w:color w:val="FF0000"/>
        </w:rPr>
        <w:t>この人権に基づくアプローチは、</w:t>
      </w:r>
      <w:r w:rsidR="0059227B" w:rsidRPr="005947DB">
        <w:rPr>
          <w:color w:val="FF0000"/>
        </w:rPr>
        <w:t>障害のある人</w:t>
      </w:r>
      <w:r w:rsidRPr="005947DB">
        <w:rPr>
          <w:color w:val="FF0000"/>
        </w:rPr>
        <w:t>が持つ他のアイデンティティ条件（特に、性別、年齢、農村環境での生活、移民であること、先住民族であること等）と交差するものでなければならない</w:t>
      </w:r>
      <w:r w:rsidR="006920DC" w:rsidRPr="005947DB">
        <w:rPr>
          <w:color w:val="FF0000"/>
          <w:sz w:val="24"/>
          <w:szCs w:val="24"/>
          <w:vertAlign w:val="superscript"/>
        </w:rPr>
        <w:footnoteReference w:id="3"/>
      </w:r>
      <w:r w:rsidRPr="005947DB">
        <w:rPr>
          <w:color w:val="FF0000"/>
        </w:rPr>
        <w:t>。</w:t>
      </w:r>
      <w:r w:rsidRPr="005947DB">
        <w:t xml:space="preserve"> </w:t>
      </w:r>
    </w:p>
    <w:p w14:paraId="28B256DF" w14:textId="77777777" w:rsidR="008E4565" w:rsidRPr="005947DB" w:rsidRDefault="008E4565" w:rsidP="008E4565">
      <w:pPr>
        <w:rPr>
          <w:b/>
          <w:bCs/>
        </w:rPr>
      </w:pPr>
      <w:r w:rsidRPr="005947DB">
        <w:rPr>
          <w:rFonts w:hint="eastAsia"/>
          <w:b/>
          <w:bCs/>
        </w:rPr>
        <w:t>理由</w:t>
      </w:r>
      <w:r w:rsidRPr="005947DB">
        <w:rPr>
          <w:b/>
          <w:bCs/>
        </w:rPr>
        <w:t xml:space="preserve"> </w:t>
      </w:r>
    </w:p>
    <w:p w14:paraId="5E67A3A9" w14:textId="1654FA9F" w:rsidR="0096404F" w:rsidRPr="005947DB" w:rsidRDefault="00B40647" w:rsidP="006920DC">
      <w:pPr>
        <w:ind w:firstLineChars="100" w:firstLine="210"/>
      </w:pPr>
      <w:r w:rsidRPr="005947DB">
        <w:rPr>
          <w:rFonts w:hint="eastAsia"/>
        </w:rPr>
        <w:t>経済的、社会的、文化的権利に関する委員会が採用した、労働条件の平等に関する交差的な見方を取り入れる。</w:t>
      </w:r>
    </w:p>
    <w:p w14:paraId="42B3BD07" w14:textId="04678C2A" w:rsidR="00B40647" w:rsidRPr="005947DB" w:rsidRDefault="00B40647" w:rsidP="00B40647"/>
    <w:p w14:paraId="3FE01813" w14:textId="42D2318F" w:rsidR="00CC2BF6" w:rsidRPr="005947DB" w:rsidRDefault="00CC2BF6" w:rsidP="00CC2BF6">
      <w:pPr>
        <w:rPr>
          <w:b/>
          <w:bCs/>
        </w:rPr>
      </w:pPr>
      <w:r w:rsidRPr="005947DB">
        <w:rPr>
          <w:b/>
          <w:bCs/>
        </w:rPr>
        <w:t>6 パラグラフ10</w:t>
      </w:r>
    </w:p>
    <w:p w14:paraId="13086340" w14:textId="77777777" w:rsidR="00CC2BF6" w:rsidRPr="005947DB" w:rsidRDefault="00CC2BF6" w:rsidP="00CC2BF6">
      <w:pPr>
        <w:rPr>
          <w:b/>
          <w:bCs/>
        </w:rPr>
      </w:pPr>
      <w:r w:rsidRPr="005947DB">
        <w:rPr>
          <w:rFonts w:hint="eastAsia"/>
          <w:b/>
          <w:bCs/>
        </w:rPr>
        <w:t>現在の文言を以下のように修正する。</w:t>
      </w:r>
    </w:p>
    <w:p w14:paraId="43D459A1" w14:textId="40825608" w:rsidR="00CC2BF6" w:rsidRPr="005947DB" w:rsidRDefault="00CC2BF6" w:rsidP="00CC2BF6">
      <w:r w:rsidRPr="005947DB">
        <w:t>10. 働く権利は、基本的人権であり、人間の尊厳の本質的要素である。世界人権宣言は、第23条で労働の権利を認めている。国際レベルでは、労働の権利は、市民的及び政治的</w:t>
      </w:r>
      <w:r w:rsidR="006920DC" w:rsidRPr="005947DB">
        <w:rPr>
          <w:rFonts w:hint="eastAsia"/>
        </w:rPr>
        <w:t>権利</w:t>
      </w:r>
      <w:r w:rsidRPr="005947DB">
        <w:t>に関する国際規約（ICCPR）第8条3（a）、</w:t>
      </w:r>
      <w:r w:rsidR="006920DC" w:rsidRPr="005947DB">
        <w:rPr>
          <w:rFonts w:hint="eastAsia"/>
          <w:color w:val="FF0000"/>
        </w:rPr>
        <w:t>女性</w:t>
      </w:r>
      <w:r w:rsidRPr="005947DB">
        <w:rPr>
          <w:color w:val="FF0000"/>
        </w:rPr>
        <w:t>差別撤廃条約（CEDAW）第11条、</w:t>
      </w:r>
      <w:r w:rsidRPr="005947DB">
        <w:t>あらゆる形態の人種差別の撤廃に関する国際条約（CERD）第5条（e）（</w:t>
      </w:r>
      <w:proofErr w:type="spellStart"/>
      <w:r w:rsidRPr="005947DB">
        <w:t>i</w:t>
      </w:r>
      <w:proofErr w:type="spellEnd"/>
      <w:r w:rsidRPr="005947DB">
        <w:t>）</w:t>
      </w:r>
      <w:r w:rsidR="004A55FA" w:rsidRPr="005947DB">
        <w:rPr>
          <w:rFonts w:hint="eastAsia"/>
        </w:rPr>
        <w:t>、</w:t>
      </w:r>
      <w:r w:rsidRPr="005947DB">
        <w:t>（ii）</w:t>
      </w:r>
      <w:r w:rsidR="004A55FA" w:rsidRPr="005947DB">
        <w:rPr>
          <w:rFonts w:hint="eastAsia"/>
        </w:rPr>
        <w:t>、</w:t>
      </w:r>
      <w:r w:rsidRPr="005947DB">
        <w:rPr>
          <w:dstrike/>
        </w:rPr>
        <w:t>女子差別撤</w:t>
      </w:r>
      <w:r w:rsidRPr="005947DB">
        <w:rPr>
          <w:dstrike/>
        </w:rPr>
        <w:lastRenderedPageBreak/>
        <w:t>廃条約（CEDAW）第11条、</w:t>
      </w:r>
      <w:r w:rsidR="004A55FA" w:rsidRPr="005947DB">
        <w:rPr>
          <w:rFonts w:hint="eastAsia"/>
        </w:rPr>
        <w:t>子ども</w:t>
      </w:r>
      <w:r w:rsidRPr="005947DB">
        <w:t>の権利条約（CRC）第32条、</w:t>
      </w:r>
      <w:r w:rsidR="004D073C" w:rsidRPr="005947DB">
        <w:rPr>
          <w:rFonts w:hint="eastAsia"/>
        </w:rPr>
        <w:t>すべての移住労働者とその家族の権利の保護に関する国際条約</w:t>
      </w:r>
      <w:r w:rsidRPr="005947DB">
        <w:rPr>
          <w:rFonts w:hint="eastAsia"/>
        </w:rPr>
        <w:t>（</w:t>
      </w:r>
      <w:r w:rsidRPr="005947DB">
        <w:t>CMW）第25、26、40、52及び54条に規定されている。</w:t>
      </w:r>
    </w:p>
    <w:p w14:paraId="5CBB5E96" w14:textId="77777777" w:rsidR="008E4565" w:rsidRPr="005947DB" w:rsidRDefault="008E4565" w:rsidP="008E4565">
      <w:pPr>
        <w:rPr>
          <w:b/>
          <w:bCs/>
        </w:rPr>
      </w:pPr>
      <w:r w:rsidRPr="005947DB">
        <w:rPr>
          <w:rFonts w:hint="eastAsia"/>
          <w:b/>
          <w:bCs/>
        </w:rPr>
        <w:t>理由</w:t>
      </w:r>
      <w:r w:rsidRPr="005947DB">
        <w:rPr>
          <w:b/>
          <w:bCs/>
        </w:rPr>
        <w:t xml:space="preserve"> </w:t>
      </w:r>
    </w:p>
    <w:p w14:paraId="61866D08" w14:textId="4C1FE27C" w:rsidR="00CC2BF6" w:rsidRPr="005947DB" w:rsidRDefault="00CC2BF6" w:rsidP="004A55FA">
      <w:pPr>
        <w:ind w:firstLineChars="100" w:firstLine="210"/>
      </w:pPr>
      <w:r w:rsidRPr="005947DB">
        <w:rPr>
          <w:rFonts w:hint="eastAsia"/>
        </w:rPr>
        <w:t>女性差別撤廃条約の対象者は、他の条約よりもはるかに広く、より多くの</w:t>
      </w:r>
      <w:r w:rsidR="0059227B" w:rsidRPr="005947DB">
        <w:rPr>
          <w:rFonts w:hint="eastAsia"/>
        </w:rPr>
        <w:t>障害のある人</w:t>
      </w:r>
      <w:r w:rsidRPr="005947DB">
        <w:rPr>
          <w:rFonts w:hint="eastAsia"/>
        </w:rPr>
        <w:t>に影響を与える。このため、パラグラフの前</w:t>
      </w:r>
      <w:r w:rsidR="002416FB" w:rsidRPr="005947DB">
        <w:rPr>
          <w:rFonts w:hint="eastAsia"/>
        </w:rPr>
        <w:t>の方で</w:t>
      </w:r>
      <w:r w:rsidRPr="005947DB">
        <w:rPr>
          <w:rFonts w:hint="eastAsia"/>
        </w:rPr>
        <w:t>言及すべきである。</w:t>
      </w:r>
    </w:p>
    <w:p w14:paraId="004A69DD" w14:textId="77777777" w:rsidR="00B94999" w:rsidRPr="005947DB" w:rsidRDefault="00B94999" w:rsidP="00CC2BF6"/>
    <w:p w14:paraId="7D11C4E9" w14:textId="14C419D0" w:rsidR="00CC2BF6" w:rsidRPr="005947DB" w:rsidRDefault="00CC2BF6" w:rsidP="00CC2BF6">
      <w:pPr>
        <w:rPr>
          <w:b/>
          <w:bCs/>
        </w:rPr>
      </w:pPr>
      <w:r w:rsidRPr="005947DB">
        <w:rPr>
          <w:b/>
          <w:bCs/>
        </w:rPr>
        <w:t>7 パラグラフ12</w:t>
      </w:r>
    </w:p>
    <w:p w14:paraId="2DBC2C43" w14:textId="77777777" w:rsidR="00CC2BF6" w:rsidRPr="005947DB" w:rsidRDefault="00CC2BF6" w:rsidP="00CC2BF6">
      <w:pPr>
        <w:rPr>
          <w:b/>
          <w:bCs/>
        </w:rPr>
      </w:pPr>
      <w:r w:rsidRPr="005947DB">
        <w:rPr>
          <w:rFonts w:hint="eastAsia"/>
          <w:b/>
          <w:bCs/>
        </w:rPr>
        <w:t>現在の文言に以下を追加する。</w:t>
      </w:r>
    </w:p>
    <w:p w14:paraId="26FAC582" w14:textId="51751FF7" w:rsidR="00CC2BF6" w:rsidRPr="005947DB" w:rsidRDefault="00CC2BF6" w:rsidP="00CC2BF6">
      <w:r w:rsidRPr="005947DB">
        <w:t xml:space="preserve">12. </w:t>
      </w:r>
      <w:r w:rsidR="002416FB" w:rsidRPr="005947DB">
        <w:rPr>
          <w:rFonts w:hint="eastAsia"/>
        </w:rPr>
        <w:t>国際労働機関（</w:t>
      </w:r>
      <w:r w:rsidR="002416FB" w:rsidRPr="005947DB">
        <w:t>ILO）は、労働の権利に関連する8つの「基本」条約を定めている。それらの主題はCRPD</w:t>
      </w:r>
      <w:r w:rsidR="00AE3C09" w:rsidRPr="005947DB">
        <w:rPr>
          <w:rFonts w:hint="eastAsia"/>
        </w:rPr>
        <w:t>第</w:t>
      </w:r>
      <w:r w:rsidR="002416FB" w:rsidRPr="005947DB">
        <w:t>27条にとって基本的なもので、結社の自由及び団体交渉の権利の効果的な承認、あらゆる形態の強制労働の撤廃、児童労働の効果的な廃止、雇用及び職業に関する差別の撤廃である。これらのILO条約は、強制労働条約（1930年29号）及びその2014年議定書、結社の自由及び団結権の保護に関する条約（1948年87号）、団結権及び団体交渉権に関する条約（1949年98号）、</w:t>
      </w:r>
      <w:r w:rsidR="00B724A4" w:rsidRPr="005947DB">
        <w:rPr>
          <w:rFonts w:hint="eastAsia"/>
        </w:rPr>
        <w:t>同一報酬</w:t>
      </w:r>
      <w:r w:rsidR="002100ED" w:rsidRPr="005947DB">
        <w:rPr>
          <w:rFonts w:hint="eastAsia"/>
        </w:rPr>
        <w:t>条約</w:t>
      </w:r>
      <w:r w:rsidR="002416FB" w:rsidRPr="005947DB">
        <w:t>（1951年100号）、強制労働廃止条</w:t>
      </w:r>
      <w:r w:rsidR="002416FB" w:rsidRPr="005947DB">
        <w:rPr>
          <w:rFonts w:hint="eastAsia"/>
        </w:rPr>
        <w:t>約（</w:t>
      </w:r>
      <w:r w:rsidR="002416FB" w:rsidRPr="005947DB">
        <w:t>1957年105号）、</w:t>
      </w:r>
      <w:r w:rsidR="00B724A4" w:rsidRPr="005947DB">
        <w:rPr>
          <w:rFonts w:hint="eastAsia"/>
        </w:rPr>
        <w:t>差別待遇（雇用及び職業）条約</w:t>
      </w:r>
      <w:r w:rsidR="002416FB" w:rsidRPr="005947DB">
        <w:t>（1958年111号）、</w:t>
      </w:r>
      <w:r w:rsidR="00B724A4" w:rsidRPr="005947DB">
        <w:rPr>
          <w:rFonts w:hint="eastAsia"/>
        </w:rPr>
        <w:t>最低年齢</w:t>
      </w:r>
      <w:r w:rsidR="0023464A" w:rsidRPr="005947DB">
        <w:rPr>
          <w:rFonts w:hint="eastAsia"/>
        </w:rPr>
        <w:t>条約</w:t>
      </w:r>
      <w:r w:rsidR="002416FB" w:rsidRPr="005947DB">
        <w:t>（1973年138号）、最悪の形態の児童労働条約</w:t>
      </w:r>
      <w:r w:rsidR="00B724A4" w:rsidRPr="005947DB">
        <w:rPr>
          <w:rFonts w:hint="eastAsia"/>
        </w:rPr>
        <w:t>（</w:t>
      </w:r>
      <w:r w:rsidR="002416FB" w:rsidRPr="005947DB">
        <w:t>1999年182号）である。また、職業リハビリテーション及び雇用（障害者）条約（1983年159号）、</w:t>
      </w:r>
      <w:r w:rsidR="00B724A4" w:rsidRPr="005947DB">
        <w:rPr>
          <w:rFonts w:hint="eastAsia"/>
        </w:rPr>
        <w:t>暴力及びハラスメント条約</w:t>
      </w:r>
      <w:r w:rsidR="002416FB" w:rsidRPr="005947DB">
        <w:t>（2019年190号）、</w:t>
      </w:r>
      <w:r w:rsidR="005A098F" w:rsidRPr="005947DB">
        <w:rPr>
          <w:rFonts w:hint="eastAsia"/>
        </w:rPr>
        <w:t>非公式な経済から公式な経済への移行勧告</w:t>
      </w:r>
      <w:r w:rsidR="002416FB" w:rsidRPr="005947DB">
        <w:t>（2015年204号）も重要である。</w:t>
      </w:r>
      <w:r w:rsidRPr="005947DB">
        <w:rPr>
          <w:color w:val="FF0000"/>
        </w:rPr>
        <w:t>さらに、1981年の</w:t>
      </w:r>
      <w:r w:rsidR="005A098F" w:rsidRPr="005947DB">
        <w:rPr>
          <w:rFonts w:hint="eastAsia"/>
          <w:color w:val="FF0000"/>
        </w:rPr>
        <w:t>家族的責任を有する労働者条約</w:t>
      </w:r>
      <w:r w:rsidRPr="005947DB">
        <w:rPr>
          <w:color w:val="FF0000"/>
        </w:rPr>
        <w:t>（156号）、2011年の家事労働者条約（189号）も考慮する</w:t>
      </w:r>
      <w:r w:rsidRPr="005947DB">
        <w:rPr>
          <w:rFonts w:hint="eastAsia"/>
          <w:color w:val="FF0000"/>
        </w:rPr>
        <w:t>必要がある。</w:t>
      </w:r>
    </w:p>
    <w:p w14:paraId="1B287577" w14:textId="77777777" w:rsidR="008E4565" w:rsidRPr="005947DB" w:rsidRDefault="008E4565" w:rsidP="008E4565">
      <w:pPr>
        <w:rPr>
          <w:b/>
          <w:bCs/>
        </w:rPr>
      </w:pPr>
      <w:r w:rsidRPr="005947DB">
        <w:rPr>
          <w:rFonts w:hint="eastAsia"/>
          <w:b/>
          <w:bCs/>
        </w:rPr>
        <w:t>理由</w:t>
      </w:r>
      <w:r w:rsidRPr="005947DB">
        <w:rPr>
          <w:b/>
          <w:bCs/>
        </w:rPr>
        <w:t xml:space="preserve"> </w:t>
      </w:r>
    </w:p>
    <w:p w14:paraId="76B745E9" w14:textId="77777777" w:rsidR="00CC2BF6" w:rsidRPr="005947DB" w:rsidRDefault="00CC2BF6" w:rsidP="00B57E37">
      <w:pPr>
        <w:ind w:firstLineChars="100" w:firstLine="210"/>
      </w:pPr>
      <w:r w:rsidRPr="005947DB">
        <w:t>ILOとの関係で、ジェンダーアプローチを強調する。</w:t>
      </w:r>
    </w:p>
    <w:p w14:paraId="478A36BD" w14:textId="77777777" w:rsidR="00B94999" w:rsidRPr="005947DB" w:rsidRDefault="00B94999" w:rsidP="00CC2BF6"/>
    <w:p w14:paraId="70020463" w14:textId="1CA19572" w:rsidR="00CC2BF6" w:rsidRPr="005947DB" w:rsidRDefault="00CC2BF6" w:rsidP="00CC2BF6">
      <w:pPr>
        <w:rPr>
          <w:b/>
          <w:bCs/>
        </w:rPr>
      </w:pPr>
      <w:r w:rsidRPr="005947DB">
        <w:rPr>
          <w:b/>
          <w:bCs/>
        </w:rPr>
        <w:t xml:space="preserve">8 </w:t>
      </w:r>
      <w:r w:rsidR="002F2A86" w:rsidRPr="005947DB">
        <w:rPr>
          <w:b/>
          <w:bCs/>
        </w:rPr>
        <w:t>パラグラフ</w:t>
      </w:r>
      <w:r w:rsidRPr="005947DB">
        <w:rPr>
          <w:b/>
          <w:bCs/>
        </w:rPr>
        <w:t>12の後に新たな</w:t>
      </w:r>
      <w:r w:rsidR="00B57E37" w:rsidRPr="005947DB">
        <w:rPr>
          <w:rFonts w:hint="eastAsia"/>
          <w:b/>
          <w:bCs/>
        </w:rPr>
        <w:t>パラグラフ</w:t>
      </w:r>
      <w:r w:rsidRPr="005947DB">
        <w:rPr>
          <w:b/>
          <w:bCs/>
        </w:rPr>
        <w:t>を設ける</w:t>
      </w:r>
    </w:p>
    <w:p w14:paraId="186F36D7" w14:textId="3B1101D0" w:rsidR="00CC2BF6" w:rsidRPr="005947DB" w:rsidRDefault="00CC2BF6" w:rsidP="00CC2BF6">
      <w:pPr>
        <w:rPr>
          <w:b/>
          <w:bCs/>
        </w:rPr>
      </w:pPr>
      <w:r w:rsidRPr="005947DB">
        <w:rPr>
          <w:rFonts w:hint="eastAsia"/>
          <w:b/>
          <w:bCs/>
        </w:rPr>
        <w:t>以下の新</w:t>
      </w:r>
      <w:r w:rsidR="00B57E37" w:rsidRPr="005947DB">
        <w:rPr>
          <w:rFonts w:hint="eastAsia"/>
          <w:b/>
          <w:bCs/>
        </w:rPr>
        <w:t>パラグラフ</w:t>
      </w:r>
      <w:r w:rsidRPr="005947DB">
        <w:rPr>
          <w:rFonts w:hint="eastAsia"/>
          <w:b/>
          <w:bCs/>
        </w:rPr>
        <w:t>を追加する。</w:t>
      </w:r>
    </w:p>
    <w:p w14:paraId="7D9786BB" w14:textId="668953D1" w:rsidR="00CC2BF6" w:rsidRPr="005947DB" w:rsidRDefault="0059227B" w:rsidP="00881C20">
      <w:pPr>
        <w:widowControl/>
        <w:spacing w:line="-360" w:lineRule="auto"/>
        <w:ind w:firstLineChars="100" w:firstLine="210"/>
        <w:jc w:val="left"/>
        <w:rPr>
          <w:rFonts w:ascii="ＭＳ Ｐゴシック" w:eastAsia="ＭＳ Ｐゴシック" w:hAnsi="ＭＳ Ｐゴシック" w:cs="ＭＳ Ｐゴシック"/>
          <w:sz w:val="24"/>
          <w:szCs w:val="24"/>
        </w:rPr>
      </w:pPr>
      <w:r w:rsidRPr="005947DB">
        <w:rPr>
          <w:rFonts w:hint="eastAsia"/>
          <w:color w:val="FF0000"/>
        </w:rPr>
        <w:t>障害のある人</w:t>
      </w:r>
      <w:r w:rsidR="00CC2BF6" w:rsidRPr="005947DB">
        <w:rPr>
          <w:rFonts w:hint="eastAsia"/>
          <w:color w:val="FF0000"/>
        </w:rPr>
        <w:t>の</w:t>
      </w:r>
      <w:r w:rsidR="00B57E37" w:rsidRPr="005947DB">
        <w:rPr>
          <w:rFonts w:hint="eastAsia"/>
          <w:color w:val="FF0000"/>
        </w:rPr>
        <w:t>出現率</w:t>
      </w:r>
      <w:r w:rsidR="00CC2BF6" w:rsidRPr="005947DB">
        <w:rPr>
          <w:rFonts w:hint="eastAsia"/>
          <w:color w:val="FF0000"/>
        </w:rPr>
        <w:t>は男性よりも女性の方が高い（男性</w:t>
      </w:r>
      <w:r w:rsidR="00CC2BF6" w:rsidRPr="005947DB">
        <w:rPr>
          <w:color w:val="FF0000"/>
        </w:rPr>
        <w:t>12％に対し女性19.2％）</w:t>
      </w:r>
      <w:r w:rsidR="00B57E37" w:rsidRPr="005947DB">
        <w:rPr>
          <w:rStyle w:val="aa"/>
          <w:rFonts w:cstheme="minorHAnsi"/>
          <w:color w:val="FF0000"/>
          <w:sz w:val="24"/>
          <w:szCs w:val="24"/>
        </w:rPr>
        <w:footnoteReference w:id="4"/>
      </w:r>
      <w:r w:rsidR="00CC2BF6" w:rsidRPr="005947DB">
        <w:rPr>
          <w:color w:val="FF0000"/>
        </w:rPr>
        <w:t>ことを念頭に置き、CRPD</w:t>
      </w:r>
      <w:r w:rsidR="00B57E37" w:rsidRPr="005947DB">
        <w:rPr>
          <w:rFonts w:hint="eastAsia"/>
          <w:color w:val="FF0000"/>
        </w:rPr>
        <w:t>第</w:t>
      </w:r>
      <w:r w:rsidR="00CC2BF6" w:rsidRPr="005947DB">
        <w:rPr>
          <w:color w:val="FF0000"/>
        </w:rPr>
        <w:t>27条及びCEDAW</w:t>
      </w:r>
      <w:r w:rsidR="00B57E37" w:rsidRPr="005947DB">
        <w:rPr>
          <w:rFonts w:hint="eastAsia"/>
          <w:color w:val="FF0000"/>
        </w:rPr>
        <w:t>第</w:t>
      </w:r>
      <w:r w:rsidR="00CC2BF6" w:rsidRPr="005947DB">
        <w:rPr>
          <w:color w:val="FF0000"/>
        </w:rPr>
        <w:t>11条に基づき、障害</w:t>
      </w:r>
      <w:r w:rsidR="001C481F" w:rsidRPr="005947DB">
        <w:rPr>
          <w:rFonts w:hint="eastAsia"/>
          <w:color w:val="FF0000"/>
        </w:rPr>
        <w:t>のある</w:t>
      </w:r>
      <w:r w:rsidR="00CC2BF6" w:rsidRPr="005947DB">
        <w:rPr>
          <w:color w:val="FF0000"/>
        </w:rPr>
        <w:t>女性の</w:t>
      </w:r>
      <w:r w:rsidR="00B57E37" w:rsidRPr="005947DB">
        <w:rPr>
          <w:rFonts w:hint="eastAsia"/>
          <w:color w:val="FF0000"/>
        </w:rPr>
        <w:t>労働と</w:t>
      </w:r>
      <w:r w:rsidR="00CC2BF6" w:rsidRPr="005947DB">
        <w:rPr>
          <w:color w:val="FF0000"/>
        </w:rPr>
        <w:t>雇用</w:t>
      </w:r>
      <w:r w:rsidR="00B57E37" w:rsidRPr="005947DB">
        <w:rPr>
          <w:rFonts w:hint="eastAsia"/>
          <w:color w:val="FF0000"/>
        </w:rPr>
        <w:t>の権利</w:t>
      </w:r>
      <w:r w:rsidR="00CC2BF6" w:rsidRPr="005947DB">
        <w:rPr>
          <w:color w:val="FF0000"/>
        </w:rPr>
        <w:t>に関してツイントラック</w:t>
      </w:r>
      <w:r w:rsidR="00B57E37" w:rsidRPr="005947DB">
        <w:rPr>
          <w:rFonts w:hint="eastAsia"/>
          <w:color w:val="FF0000"/>
        </w:rPr>
        <w:t>・</w:t>
      </w:r>
      <w:r w:rsidR="00CC2BF6" w:rsidRPr="005947DB">
        <w:rPr>
          <w:color w:val="FF0000"/>
        </w:rPr>
        <w:t>アプローチを採用することが必要である。</w:t>
      </w:r>
    </w:p>
    <w:p w14:paraId="7A2F08F4" w14:textId="77777777" w:rsidR="008E4565" w:rsidRPr="005947DB" w:rsidRDefault="008E4565" w:rsidP="008E4565">
      <w:pPr>
        <w:rPr>
          <w:b/>
          <w:bCs/>
        </w:rPr>
      </w:pPr>
      <w:r w:rsidRPr="005947DB">
        <w:rPr>
          <w:rFonts w:hint="eastAsia"/>
          <w:b/>
          <w:bCs/>
        </w:rPr>
        <w:t>理由</w:t>
      </w:r>
      <w:r w:rsidRPr="005947DB">
        <w:rPr>
          <w:b/>
          <w:bCs/>
        </w:rPr>
        <w:t xml:space="preserve"> </w:t>
      </w:r>
    </w:p>
    <w:p w14:paraId="41A4EB76" w14:textId="63A39239" w:rsidR="00CC2BF6" w:rsidRPr="005947DB" w:rsidRDefault="00CC2BF6" w:rsidP="00B94999">
      <w:pPr>
        <w:ind w:firstLineChars="100" w:firstLine="210"/>
      </w:pPr>
      <w:r w:rsidRPr="005947DB">
        <w:rPr>
          <w:rFonts w:hint="eastAsia"/>
        </w:rPr>
        <w:t>障害のある女性が</w:t>
      </w:r>
      <w:r w:rsidR="00971DB1" w:rsidRPr="005947DB">
        <w:rPr>
          <w:rFonts w:hint="eastAsia"/>
        </w:rPr>
        <w:t>労働</w:t>
      </w:r>
      <w:r w:rsidRPr="005947DB">
        <w:rPr>
          <w:rFonts w:hint="eastAsia"/>
        </w:rPr>
        <w:t>と雇用にアクセスする際に受ける複数の形態の差別に効果的に対処するために、障害のある</w:t>
      </w:r>
      <w:r w:rsidR="00971DB1" w:rsidRPr="005947DB">
        <w:rPr>
          <w:rFonts w:hint="eastAsia"/>
        </w:rPr>
        <w:t>人</w:t>
      </w:r>
      <w:r w:rsidRPr="005947DB">
        <w:rPr>
          <w:rFonts w:hint="eastAsia"/>
        </w:rPr>
        <w:t>としてだけでなく、女性としても直面する</w:t>
      </w:r>
      <w:r w:rsidR="008E39CB" w:rsidRPr="005947DB">
        <w:rPr>
          <w:rFonts w:hint="eastAsia"/>
        </w:rPr>
        <w:t>障壁</w:t>
      </w:r>
      <w:r w:rsidRPr="005947DB">
        <w:rPr>
          <w:rFonts w:hint="eastAsia"/>
        </w:rPr>
        <w:t>を考慮した交差的方法論が適用されなければならない。</w:t>
      </w:r>
    </w:p>
    <w:p w14:paraId="1607D647" w14:textId="77777777" w:rsidR="00B94999" w:rsidRPr="005947DB" w:rsidRDefault="00B94999" w:rsidP="00CC2BF6"/>
    <w:p w14:paraId="6EE9D57F" w14:textId="4756CF45" w:rsidR="00CC2BF6" w:rsidRPr="005947DB" w:rsidRDefault="00CC2BF6" w:rsidP="00CC2BF6">
      <w:pPr>
        <w:rPr>
          <w:b/>
          <w:bCs/>
        </w:rPr>
      </w:pPr>
      <w:r w:rsidRPr="005947DB">
        <w:rPr>
          <w:b/>
          <w:bCs/>
        </w:rPr>
        <w:lastRenderedPageBreak/>
        <w:t>9 パラグラフ14の後</w:t>
      </w:r>
      <w:r w:rsidR="008E39CB" w:rsidRPr="005947DB">
        <w:rPr>
          <w:rFonts w:hint="eastAsia"/>
          <w:b/>
          <w:bCs/>
        </w:rPr>
        <w:t>に</w:t>
      </w:r>
      <w:r w:rsidRPr="005947DB">
        <w:rPr>
          <w:b/>
          <w:bCs/>
        </w:rPr>
        <w:t>新しいパラグラフ</w:t>
      </w:r>
      <w:r w:rsidR="008E39CB" w:rsidRPr="005947DB">
        <w:rPr>
          <w:rFonts w:hint="eastAsia"/>
          <w:b/>
          <w:bCs/>
        </w:rPr>
        <w:t>を追加</w:t>
      </w:r>
    </w:p>
    <w:p w14:paraId="1BB05BDB" w14:textId="77777777" w:rsidR="00CC2BF6" w:rsidRPr="005947DB" w:rsidRDefault="00CC2BF6" w:rsidP="00CC2BF6">
      <w:pPr>
        <w:rPr>
          <w:b/>
          <w:bCs/>
        </w:rPr>
      </w:pPr>
      <w:r w:rsidRPr="005947DB">
        <w:rPr>
          <w:rFonts w:hint="eastAsia"/>
          <w:b/>
          <w:bCs/>
        </w:rPr>
        <w:t>次の新しい段落を追加する。</w:t>
      </w:r>
    </w:p>
    <w:p w14:paraId="57C097A1" w14:textId="178E21B6" w:rsidR="00CC2BF6" w:rsidRPr="005947DB" w:rsidRDefault="00CC2BF6" w:rsidP="00881C20">
      <w:pPr>
        <w:widowControl/>
        <w:spacing w:line="-360" w:lineRule="auto"/>
        <w:ind w:firstLineChars="100" w:firstLine="210"/>
        <w:jc w:val="left"/>
        <w:rPr>
          <w:rFonts w:ascii="ＭＳ Ｐゴシック" w:eastAsia="ＭＳ Ｐゴシック" w:hAnsi="ＭＳ Ｐゴシック" w:cs="ＭＳ Ｐゴシック"/>
          <w:sz w:val="24"/>
          <w:szCs w:val="24"/>
        </w:rPr>
      </w:pPr>
      <w:r w:rsidRPr="005947DB">
        <w:rPr>
          <w:color w:val="FF0000"/>
        </w:rPr>
        <w:t>CEDAW委員会は、その法理において、障害のある女性が労働市場に参加し、</w:t>
      </w:r>
      <w:r w:rsidR="003F1DF2" w:rsidRPr="005947DB">
        <w:rPr>
          <w:rFonts w:hint="eastAsia"/>
          <w:color w:val="FF0000"/>
        </w:rPr>
        <w:t>そこに</w:t>
      </w:r>
      <w:r w:rsidRPr="005947DB">
        <w:rPr>
          <w:color w:val="FF0000"/>
        </w:rPr>
        <w:t>とどまることが特に困難であること、および、一部の特殊雇用センターにおいて、すべての労働者が同じ労働権を享受しているわけではないという事実を取り上げている</w:t>
      </w:r>
      <w:r w:rsidR="003F1DF2" w:rsidRPr="005947DB">
        <w:rPr>
          <w:rStyle w:val="aa"/>
          <w:color w:val="FF0000"/>
          <w:sz w:val="24"/>
          <w:szCs w:val="24"/>
        </w:rPr>
        <w:footnoteReference w:id="5"/>
      </w:r>
      <w:r w:rsidRPr="005947DB">
        <w:rPr>
          <w:color w:val="FF0000"/>
        </w:rPr>
        <w:t xml:space="preserve">。 </w:t>
      </w:r>
    </w:p>
    <w:p w14:paraId="797777B7" w14:textId="77777777" w:rsidR="008E4565" w:rsidRPr="005947DB" w:rsidRDefault="008E4565" w:rsidP="008E4565">
      <w:pPr>
        <w:rPr>
          <w:b/>
          <w:bCs/>
        </w:rPr>
      </w:pPr>
      <w:r w:rsidRPr="005947DB">
        <w:rPr>
          <w:rFonts w:hint="eastAsia"/>
          <w:b/>
          <w:bCs/>
        </w:rPr>
        <w:t>理由</w:t>
      </w:r>
      <w:r w:rsidRPr="005947DB">
        <w:rPr>
          <w:b/>
          <w:bCs/>
        </w:rPr>
        <w:t xml:space="preserve"> </w:t>
      </w:r>
    </w:p>
    <w:p w14:paraId="363E47B1" w14:textId="395901A7" w:rsidR="00CC2BF6" w:rsidRPr="005947DB" w:rsidRDefault="00CC2BF6" w:rsidP="00B94999">
      <w:pPr>
        <w:ind w:firstLineChars="100" w:firstLine="210"/>
      </w:pPr>
      <w:r w:rsidRPr="005947DB">
        <w:t>CEDAW委員会の法理を参照し、一般的意見</w:t>
      </w:r>
      <w:r w:rsidR="003F1DF2" w:rsidRPr="005947DB">
        <w:rPr>
          <w:rFonts w:hint="eastAsia"/>
        </w:rPr>
        <w:t>での</w:t>
      </w:r>
      <w:r w:rsidRPr="005947DB">
        <w:t>ジェンダー・アプローチを強化する。</w:t>
      </w:r>
    </w:p>
    <w:p w14:paraId="293C02C2" w14:textId="77777777" w:rsidR="00B94999" w:rsidRPr="005947DB" w:rsidRDefault="00B94999" w:rsidP="00CC2BF6"/>
    <w:p w14:paraId="0E513183" w14:textId="1F3B9032" w:rsidR="00CC2BF6" w:rsidRPr="005947DB" w:rsidRDefault="00CC2BF6" w:rsidP="00CC2BF6">
      <w:pPr>
        <w:rPr>
          <w:b/>
          <w:bCs/>
        </w:rPr>
      </w:pPr>
      <w:r w:rsidRPr="005947DB">
        <w:rPr>
          <w:b/>
          <w:bCs/>
        </w:rPr>
        <w:t>10 パラグラフ19</w:t>
      </w:r>
    </w:p>
    <w:p w14:paraId="5BE52AC2" w14:textId="77777777" w:rsidR="00CC2BF6" w:rsidRPr="005947DB" w:rsidRDefault="00CC2BF6" w:rsidP="00CC2BF6">
      <w:pPr>
        <w:rPr>
          <w:b/>
          <w:bCs/>
        </w:rPr>
      </w:pPr>
      <w:r w:rsidRPr="005947DB">
        <w:rPr>
          <w:rFonts w:hint="eastAsia"/>
          <w:b/>
          <w:bCs/>
        </w:rPr>
        <w:t>現在の文言を以下のように修正する。</w:t>
      </w:r>
    </w:p>
    <w:p w14:paraId="01A628DA" w14:textId="15583541" w:rsidR="00CC2BF6" w:rsidRPr="005947DB" w:rsidRDefault="00CC2BF6" w:rsidP="00E23E3A">
      <w:pPr>
        <w:widowControl/>
        <w:spacing w:line="-360" w:lineRule="auto"/>
        <w:jc w:val="left"/>
        <w:rPr>
          <w:rFonts w:ascii="ＭＳ Ｐゴシック" w:eastAsia="ＭＳ Ｐゴシック" w:hAnsi="ＭＳ Ｐゴシック" w:cs="ＭＳ Ｐゴシック"/>
          <w:sz w:val="24"/>
          <w:szCs w:val="24"/>
        </w:rPr>
      </w:pPr>
      <w:r w:rsidRPr="005947DB">
        <w:t>19. [...] 国際的な人権慣行では、個別または同時に起こりうる差別の形態として、直接的、間接的、合理的配慮の否定、</w:t>
      </w:r>
      <w:r w:rsidRPr="005947DB">
        <w:rPr>
          <w:dstrike/>
        </w:rPr>
        <w:t>および</w:t>
      </w:r>
      <w:r w:rsidRPr="005947DB">
        <w:t>ハラスメント</w:t>
      </w:r>
      <w:r w:rsidR="00910743" w:rsidRPr="005947DB">
        <w:rPr>
          <w:rFonts w:hint="eastAsia"/>
          <w:color w:val="FF0000"/>
        </w:rPr>
        <w:t>および</w:t>
      </w:r>
      <w:r w:rsidR="00CB3537" w:rsidRPr="005947DB">
        <w:rPr>
          <w:rFonts w:hint="eastAsia"/>
          <w:color w:val="FF0000"/>
        </w:rPr>
        <w:t>関係</w:t>
      </w:r>
      <w:r w:rsidRPr="005947DB">
        <w:rPr>
          <w:color w:val="FF0000"/>
        </w:rPr>
        <w:t>性による差別</w:t>
      </w:r>
      <w:r w:rsidR="00CB3537" w:rsidRPr="005947DB">
        <w:rPr>
          <w:rFonts w:hint="eastAsia"/>
          <w:color w:val="FF0000"/>
        </w:rPr>
        <w:t>（障害のある人の関係者であることによる差別）</w:t>
      </w:r>
      <w:r w:rsidR="00511FBF" w:rsidRPr="005947DB">
        <w:rPr>
          <w:rStyle w:val="aa"/>
          <w:color w:val="FF0000"/>
          <w:sz w:val="24"/>
          <w:szCs w:val="24"/>
        </w:rPr>
        <w:footnoteReference w:id="6"/>
      </w:r>
      <w:r w:rsidRPr="005947DB">
        <w:t>の</w:t>
      </w:r>
      <w:r w:rsidRPr="005947DB">
        <w:rPr>
          <w:dstrike/>
        </w:rPr>
        <w:t>4つの</w:t>
      </w:r>
      <w:r w:rsidRPr="005947DB">
        <w:rPr>
          <w:color w:val="FF0000"/>
        </w:rPr>
        <w:t>5つの</w:t>
      </w:r>
      <w:r w:rsidR="00CB3537" w:rsidRPr="005947DB">
        <w:t>主要な</w:t>
      </w:r>
      <w:r w:rsidRPr="005947DB">
        <w:t>形態</w:t>
      </w:r>
      <w:r w:rsidR="00CB3537" w:rsidRPr="005947DB">
        <w:rPr>
          <w:rFonts w:hint="eastAsia"/>
        </w:rPr>
        <w:t>が</w:t>
      </w:r>
      <w:r w:rsidRPr="005947DB">
        <w:t>挙げ</w:t>
      </w:r>
      <w:r w:rsidR="00CB3537" w:rsidRPr="005947DB">
        <w:rPr>
          <w:rFonts w:hint="eastAsia"/>
        </w:rPr>
        <w:t>られ</w:t>
      </w:r>
      <w:r w:rsidRPr="005947DB">
        <w:t>ている。</w:t>
      </w:r>
    </w:p>
    <w:p w14:paraId="7738AA14" w14:textId="77777777" w:rsidR="008E4565" w:rsidRPr="005947DB" w:rsidRDefault="008E4565" w:rsidP="008E4565">
      <w:pPr>
        <w:rPr>
          <w:b/>
          <w:bCs/>
        </w:rPr>
      </w:pPr>
      <w:r w:rsidRPr="005947DB">
        <w:rPr>
          <w:rFonts w:hint="eastAsia"/>
          <w:b/>
          <w:bCs/>
        </w:rPr>
        <w:t>理由</w:t>
      </w:r>
      <w:r w:rsidRPr="005947DB">
        <w:rPr>
          <w:b/>
          <w:bCs/>
        </w:rPr>
        <w:t xml:space="preserve"> </w:t>
      </w:r>
    </w:p>
    <w:p w14:paraId="02DB8575" w14:textId="1129CBD4" w:rsidR="00CC2BF6" w:rsidRPr="005947DB" w:rsidRDefault="00CC2BF6" w:rsidP="00CB3537">
      <w:pPr>
        <w:ind w:firstLineChars="100" w:firstLine="210"/>
      </w:pPr>
      <w:r w:rsidRPr="005947DB">
        <w:rPr>
          <w:rFonts w:hint="eastAsia"/>
        </w:rPr>
        <w:t>障害のある女性と少女に関する</w:t>
      </w:r>
      <w:r w:rsidRPr="005947DB">
        <w:t>CRPD委員会の一般的意見第3号（2016年）で認識されている、</w:t>
      </w:r>
      <w:r w:rsidR="00CB3537" w:rsidRPr="005947DB">
        <w:rPr>
          <w:rFonts w:hint="eastAsia"/>
        </w:rPr>
        <w:t>関係性</w:t>
      </w:r>
      <w:r w:rsidRPr="005947DB">
        <w:t>による差別を含める必要がある。</w:t>
      </w:r>
    </w:p>
    <w:p w14:paraId="594778E5" w14:textId="77777777" w:rsidR="00B94999" w:rsidRPr="005947DB" w:rsidRDefault="00B94999" w:rsidP="00CC2BF6"/>
    <w:p w14:paraId="3A9B97D8" w14:textId="5E6A3471" w:rsidR="00CC2BF6" w:rsidRPr="005947DB" w:rsidRDefault="00CC2BF6" w:rsidP="00CC2BF6">
      <w:pPr>
        <w:rPr>
          <w:b/>
          <w:bCs/>
        </w:rPr>
      </w:pPr>
      <w:r w:rsidRPr="005947DB">
        <w:rPr>
          <w:b/>
          <w:bCs/>
        </w:rPr>
        <w:t xml:space="preserve">11 </w:t>
      </w:r>
      <w:r w:rsidR="002F2A86" w:rsidRPr="005947DB">
        <w:rPr>
          <w:b/>
          <w:bCs/>
        </w:rPr>
        <w:t>パラグラフ</w:t>
      </w:r>
      <w:r w:rsidRPr="005947DB">
        <w:rPr>
          <w:b/>
          <w:bCs/>
        </w:rPr>
        <w:t>23の後</w:t>
      </w:r>
      <w:r w:rsidR="00CB3537" w:rsidRPr="005947DB">
        <w:rPr>
          <w:rFonts w:hint="eastAsia"/>
          <w:b/>
          <w:bCs/>
        </w:rPr>
        <w:t>に</w:t>
      </w:r>
      <w:r w:rsidRPr="005947DB">
        <w:rPr>
          <w:b/>
          <w:bCs/>
        </w:rPr>
        <w:t>新しいパラグラフ</w:t>
      </w:r>
      <w:r w:rsidR="00CB3537" w:rsidRPr="005947DB">
        <w:rPr>
          <w:rFonts w:hint="eastAsia"/>
          <w:b/>
          <w:bCs/>
        </w:rPr>
        <w:t>を追加</w:t>
      </w:r>
    </w:p>
    <w:p w14:paraId="7E1D181A" w14:textId="00B13BCD" w:rsidR="00CC2BF6" w:rsidRPr="005947DB" w:rsidRDefault="00CC2BF6" w:rsidP="00CC2BF6">
      <w:pPr>
        <w:rPr>
          <w:b/>
          <w:bCs/>
        </w:rPr>
      </w:pPr>
      <w:r w:rsidRPr="005947DB">
        <w:rPr>
          <w:rFonts w:hint="eastAsia"/>
          <w:b/>
          <w:bCs/>
        </w:rPr>
        <w:t>次の新しい</w:t>
      </w:r>
      <w:r w:rsidR="00CB3537" w:rsidRPr="005947DB">
        <w:rPr>
          <w:b/>
          <w:bCs/>
        </w:rPr>
        <w:t>パラグラフ</w:t>
      </w:r>
      <w:r w:rsidRPr="005947DB">
        <w:rPr>
          <w:rFonts w:hint="eastAsia"/>
          <w:b/>
          <w:bCs/>
        </w:rPr>
        <w:t>を追加する。</w:t>
      </w:r>
    </w:p>
    <w:p w14:paraId="4978C93B" w14:textId="77777777" w:rsidR="00511FBF" w:rsidRPr="005947DB" w:rsidRDefault="00CC2BF6" w:rsidP="00881C20">
      <w:pPr>
        <w:widowControl/>
        <w:spacing w:line="-360" w:lineRule="auto"/>
        <w:ind w:firstLineChars="100" w:firstLine="210"/>
        <w:jc w:val="left"/>
        <w:rPr>
          <w:rFonts w:ascii="ＭＳ Ｐゴシック" w:eastAsia="ＭＳ Ｐゴシック" w:hAnsi="ＭＳ Ｐゴシック" w:cs="ＭＳ Ｐゴシック"/>
          <w:sz w:val="24"/>
          <w:szCs w:val="24"/>
        </w:rPr>
      </w:pPr>
      <w:r w:rsidRPr="005947DB">
        <w:rPr>
          <w:rFonts w:hint="eastAsia"/>
          <w:color w:val="FF0000"/>
        </w:rPr>
        <w:t>国連人権高等弁務官事務所の報告によると、「障害</w:t>
      </w:r>
      <w:r w:rsidR="00C468B5" w:rsidRPr="005947DB">
        <w:rPr>
          <w:rFonts w:hint="eastAsia"/>
          <w:color w:val="FF0000"/>
        </w:rPr>
        <w:t>のある</w:t>
      </w:r>
      <w:r w:rsidRPr="005947DB">
        <w:rPr>
          <w:rFonts w:hint="eastAsia"/>
          <w:color w:val="FF0000"/>
        </w:rPr>
        <w:t>男性と比較すると、障害</w:t>
      </w:r>
      <w:r w:rsidR="00C468B5" w:rsidRPr="005947DB">
        <w:rPr>
          <w:rFonts w:hint="eastAsia"/>
          <w:color w:val="FF0000"/>
        </w:rPr>
        <w:t>のある</w:t>
      </w:r>
      <w:r w:rsidRPr="005947DB">
        <w:rPr>
          <w:rFonts w:hint="eastAsia"/>
          <w:color w:val="FF0000"/>
        </w:rPr>
        <w:t>女性は貧困や孤立を経験しやすく、給与が低く、労働力としての</w:t>
      </w:r>
      <w:r w:rsidR="00D57E90" w:rsidRPr="005947DB">
        <w:rPr>
          <w:rFonts w:hint="eastAsia"/>
          <w:color w:val="FF0000"/>
        </w:rPr>
        <w:t>参加率が低い</w:t>
      </w:r>
      <w:r w:rsidRPr="005947DB">
        <w:rPr>
          <w:rFonts w:hint="eastAsia"/>
          <w:color w:val="FF0000"/>
        </w:rPr>
        <w:t>傾向がある。その結果、彼女たちは暴力の被害者になる可能性も高く、かつ</w:t>
      </w:r>
      <w:r w:rsidRPr="005947DB">
        <w:rPr>
          <w:color w:val="FF0000"/>
        </w:rPr>
        <w:t>/または暴力の連鎖から逃れることができない。</w:t>
      </w:r>
      <w:r w:rsidR="00D57E90" w:rsidRPr="005947DB">
        <w:rPr>
          <w:rFonts w:hint="eastAsia"/>
          <w:color w:val="FF0000"/>
        </w:rPr>
        <w:t>」</w:t>
      </w:r>
      <w:r w:rsidRPr="005947DB">
        <w:rPr>
          <w:color w:val="FF0000"/>
        </w:rPr>
        <w:t>さらに、</w:t>
      </w:r>
      <w:r w:rsidR="00D57E90" w:rsidRPr="005947DB">
        <w:rPr>
          <w:rFonts w:hint="eastAsia"/>
          <w:color w:val="FF0000"/>
        </w:rPr>
        <w:t>「</w:t>
      </w:r>
      <w:r w:rsidRPr="005947DB">
        <w:rPr>
          <w:color w:val="FF0000"/>
        </w:rPr>
        <w:t>ある種の障害は、人身</w:t>
      </w:r>
      <w:r w:rsidR="00D57E90" w:rsidRPr="005947DB">
        <w:rPr>
          <w:rFonts w:hint="eastAsia"/>
          <w:color w:val="FF0000"/>
        </w:rPr>
        <w:t>取引</w:t>
      </w:r>
      <w:r w:rsidRPr="005947DB">
        <w:rPr>
          <w:color w:val="FF0000"/>
        </w:rPr>
        <w:t>のさまざまなパターン（強制的な物乞いや労働搾取行為など）と直接結びついているという証拠がある。</w:t>
      </w:r>
      <w:r w:rsidR="00D57E90" w:rsidRPr="005947DB">
        <w:rPr>
          <w:rFonts w:hint="eastAsia"/>
          <w:color w:val="FF0000"/>
        </w:rPr>
        <w:t>」</w:t>
      </w:r>
      <w:r w:rsidR="00511FBF" w:rsidRPr="005947DB">
        <w:rPr>
          <w:rStyle w:val="aa"/>
          <w:color w:val="FF0000"/>
          <w:sz w:val="24"/>
          <w:szCs w:val="24"/>
        </w:rPr>
        <w:footnoteReference w:id="7"/>
      </w:r>
      <w:r w:rsidR="00511FBF" w:rsidRPr="005947DB">
        <w:rPr>
          <w:rFonts w:ascii="ＭＳ Ｐゴシック" w:eastAsia="ＭＳ Ｐゴシック" w:hAnsi="ＭＳ Ｐゴシック" w:cs="ＭＳ Ｐゴシック" w:hint="eastAsia"/>
          <w:sz w:val="24"/>
          <w:szCs w:val="24"/>
        </w:rPr>
        <w:t xml:space="preserve"> </w:t>
      </w:r>
    </w:p>
    <w:p w14:paraId="3D329E19" w14:textId="39CCAC75" w:rsidR="00CC2BF6" w:rsidRPr="005947DB" w:rsidRDefault="00CC2BF6" w:rsidP="00B94999">
      <w:pPr>
        <w:ind w:firstLineChars="100" w:firstLine="210"/>
        <w:rPr>
          <w:color w:val="FF0000"/>
        </w:rPr>
      </w:pPr>
    </w:p>
    <w:p w14:paraId="53E1B22F" w14:textId="77777777" w:rsidR="008E4565" w:rsidRPr="005947DB" w:rsidRDefault="008E4565" w:rsidP="008E4565">
      <w:pPr>
        <w:rPr>
          <w:b/>
          <w:bCs/>
        </w:rPr>
      </w:pPr>
      <w:r w:rsidRPr="005947DB">
        <w:rPr>
          <w:rFonts w:hint="eastAsia"/>
          <w:b/>
          <w:bCs/>
        </w:rPr>
        <w:lastRenderedPageBreak/>
        <w:t>理由</w:t>
      </w:r>
      <w:r w:rsidRPr="005947DB">
        <w:rPr>
          <w:b/>
          <w:bCs/>
        </w:rPr>
        <w:t xml:space="preserve"> </w:t>
      </w:r>
    </w:p>
    <w:p w14:paraId="33793D6D" w14:textId="5CAA3E8D" w:rsidR="00CC2BF6" w:rsidRPr="005947DB" w:rsidRDefault="00CC2BF6" w:rsidP="00B94999">
      <w:pPr>
        <w:ind w:firstLineChars="100" w:firstLine="210"/>
      </w:pPr>
      <w:r w:rsidRPr="005947DB">
        <w:rPr>
          <w:rFonts w:hint="eastAsia"/>
        </w:rPr>
        <w:t>ここでは、職場における障害のある女性に対するハラスメントや暴力の影響に関する</w:t>
      </w:r>
      <w:r w:rsidR="00554BC8" w:rsidRPr="005947DB">
        <w:rPr>
          <w:rFonts w:hint="eastAsia"/>
        </w:rPr>
        <w:t>証拠</w:t>
      </w:r>
      <w:r w:rsidRPr="005947DB">
        <w:rPr>
          <w:rFonts w:hint="eastAsia"/>
        </w:rPr>
        <w:t>を提供する。</w:t>
      </w:r>
    </w:p>
    <w:p w14:paraId="64302E92" w14:textId="77777777" w:rsidR="00B94999" w:rsidRPr="005947DB" w:rsidRDefault="00B94999" w:rsidP="00CC2BF6"/>
    <w:p w14:paraId="4D364AF3" w14:textId="5EC07CDC" w:rsidR="00CC2BF6" w:rsidRPr="005947DB" w:rsidRDefault="00CC2BF6" w:rsidP="00CC2BF6">
      <w:pPr>
        <w:rPr>
          <w:b/>
          <w:bCs/>
        </w:rPr>
      </w:pPr>
      <w:r w:rsidRPr="005947DB">
        <w:rPr>
          <w:b/>
          <w:bCs/>
        </w:rPr>
        <w:t>12 前</w:t>
      </w:r>
      <w:r w:rsidR="00554BC8" w:rsidRPr="005947DB">
        <w:rPr>
          <w:rFonts w:hint="eastAsia"/>
          <w:b/>
          <w:bCs/>
        </w:rPr>
        <w:t>記</w:t>
      </w:r>
      <w:r w:rsidRPr="005947DB">
        <w:rPr>
          <w:b/>
          <w:bCs/>
        </w:rPr>
        <w:t>の新</w:t>
      </w:r>
      <w:r w:rsidR="00CB3537" w:rsidRPr="005947DB">
        <w:rPr>
          <w:b/>
          <w:bCs/>
        </w:rPr>
        <w:t>パラグラフ</w:t>
      </w:r>
      <w:r w:rsidRPr="005947DB">
        <w:rPr>
          <w:b/>
          <w:bCs/>
        </w:rPr>
        <w:t>の後</w:t>
      </w:r>
      <w:r w:rsidR="00554BC8" w:rsidRPr="005947DB">
        <w:rPr>
          <w:rFonts w:hint="eastAsia"/>
          <w:b/>
          <w:bCs/>
        </w:rPr>
        <w:t>に</w:t>
      </w:r>
      <w:r w:rsidRPr="005947DB">
        <w:rPr>
          <w:b/>
          <w:bCs/>
        </w:rPr>
        <w:t>新</w:t>
      </w:r>
      <w:r w:rsidR="00CB3537" w:rsidRPr="005947DB">
        <w:rPr>
          <w:b/>
          <w:bCs/>
        </w:rPr>
        <w:t>パラグラフ</w:t>
      </w:r>
      <w:r w:rsidR="00554BC8" w:rsidRPr="005947DB">
        <w:rPr>
          <w:rFonts w:hint="eastAsia"/>
          <w:b/>
          <w:bCs/>
        </w:rPr>
        <w:t>を追加</w:t>
      </w:r>
    </w:p>
    <w:p w14:paraId="36E629A4" w14:textId="033F2F0A" w:rsidR="00CC2BF6" w:rsidRPr="005947DB" w:rsidRDefault="00CC2BF6" w:rsidP="00CC2BF6">
      <w:pPr>
        <w:rPr>
          <w:b/>
          <w:bCs/>
        </w:rPr>
      </w:pPr>
      <w:r w:rsidRPr="005947DB">
        <w:rPr>
          <w:rFonts w:hint="eastAsia"/>
          <w:b/>
          <w:bCs/>
        </w:rPr>
        <w:t>以下の新</w:t>
      </w:r>
      <w:r w:rsidR="00CB3537" w:rsidRPr="005947DB">
        <w:rPr>
          <w:b/>
          <w:bCs/>
        </w:rPr>
        <w:t>パラグラフ</w:t>
      </w:r>
      <w:r w:rsidRPr="005947DB">
        <w:rPr>
          <w:rFonts w:hint="eastAsia"/>
          <w:b/>
          <w:bCs/>
        </w:rPr>
        <w:t>を追加する。</w:t>
      </w:r>
    </w:p>
    <w:p w14:paraId="36D8387E" w14:textId="112423B6" w:rsidR="00CC2BF6" w:rsidRPr="005947DB" w:rsidRDefault="00554BC8" w:rsidP="00B94999">
      <w:pPr>
        <w:ind w:firstLineChars="100" w:firstLine="210"/>
        <w:rPr>
          <w:color w:val="FF0000"/>
        </w:rPr>
      </w:pPr>
      <w:r w:rsidRPr="005947DB">
        <w:rPr>
          <w:rFonts w:hint="eastAsia"/>
          <w:b/>
          <w:bCs/>
          <w:color w:val="FF0000"/>
        </w:rPr>
        <w:t>関係</w:t>
      </w:r>
      <w:r w:rsidR="00CC2BF6" w:rsidRPr="005947DB">
        <w:rPr>
          <w:rFonts w:hint="eastAsia"/>
          <w:b/>
          <w:bCs/>
          <w:color w:val="FF0000"/>
        </w:rPr>
        <w:t>性による差別</w:t>
      </w:r>
      <w:r w:rsidRPr="005947DB">
        <w:rPr>
          <w:rFonts w:hint="eastAsia"/>
          <w:b/>
          <w:bCs/>
          <w:color w:val="FF0000"/>
        </w:rPr>
        <w:t>（障害のある人の関係者であることによる差別）</w:t>
      </w:r>
      <w:r w:rsidR="00CC2BF6" w:rsidRPr="005947DB">
        <w:rPr>
          <w:rFonts w:hint="eastAsia"/>
          <w:color w:val="FF0000"/>
        </w:rPr>
        <w:t>とは、</w:t>
      </w:r>
      <w:r w:rsidR="0059227B" w:rsidRPr="005947DB">
        <w:rPr>
          <w:rFonts w:hint="eastAsia"/>
          <w:color w:val="FF0000"/>
        </w:rPr>
        <w:t>障害のある人</w:t>
      </w:r>
      <w:r w:rsidR="00CC2BF6" w:rsidRPr="005947DB">
        <w:rPr>
          <w:rFonts w:hint="eastAsia"/>
          <w:color w:val="FF0000"/>
        </w:rPr>
        <w:t>と</w:t>
      </w:r>
      <w:r w:rsidR="005D3EB6" w:rsidRPr="005947DB">
        <w:rPr>
          <w:rFonts w:hint="eastAsia"/>
          <w:color w:val="FF0000"/>
        </w:rPr>
        <w:t>関係していることに</w:t>
      </w:r>
      <w:r w:rsidR="00CC2BF6" w:rsidRPr="005947DB">
        <w:rPr>
          <w:rFonts w:hint="eastAsia"/>
          <w:color w:val="FF0000"/>
        </w:rPr>
        <w:t>基づく差別を意味する。多くの場合、介護の役割を担う女性は、</w:t>
      </w:r>
      <w:r w:rsidR="0009028B" w:rsidRPr="005947DB">
        <w:rPr>
          <w:rFonts w:hint="eastAsia"/>
          <w:color w:val="FF0000"/>
        </w:rPr>
        <w:t>関係性</w:t>
      </w:r>
      <w:r w:rsidR="00CC2BF6" w:rsidRPr="005947DB">
        <w:rPr>
          <w:rFonts w:hint="eastAsia"/>
          <w:color w:val="FF0000"/>
        </w:rPr>
        <w:t>による差別を経験する。例えば、障害</w:t>
      </w:r>
      <w:r w:rsidR="00C468B5" w:rsidRPr="005947DB">
        <w:rPr>
          <w:rFonts w:hint="eastAsia"/>
          <w:color w:val="FF0000"/>
        </w:rPr>
        <w:t>のある</w:t>
      </w:r>
      <w:r w:rsidR="00CC2BF6" w:rsidRPr="005947DB">
        <w:rPr>
          <w:rFonts w:hint="eastAsia"/>
          <w:color w:val="FF0000"/>
        </w:rPr>
        <w:t>子</w:t>
      </w:r>
      <w:r w:rsidR="0009028B" w:rsidRPr="005947DB">
        <w:rPr>
          <w:rFonts w:hint="eastAsia"/>
          <w:color w:val="FF0000"/>
        </w:rPr>
        <w:t>ども</w:t>
      </w:r>
      <w:r w:rsidR="00CC2BF6" w:rsidRPr="005947DB">
        <w:rPr>
          <w:rFonts w:hint="eastAsia"/>
          <w:color w:val="FF0000"/>
        </w:rPr>
        <w:t>の母親は、子</w:t>
      </w:r>
      <w:r w:rsidR="0009028B" w:rsidRPr="005947DB">
        <w:rPr>
          <w:rFonts w:hint="eastAsia"/>
          <w:color w:val="FF0000"/>
        </w:rPr>
        <w:t>ども</w:t>
      </w:r>
      <w:r w:rsidR="00CC2BF6" w:rsidRPr="005947DB">
        <w:rPr>
          <w:rFonts w:hint="eastAsia"/>
          <w:color w:val="FF0000"/>
        </w:rPr>
        <w:t>のために労働意欲や能力が低下すると懸念する</w:t>
      </w:r>
      <w:r w:rsidR="0009028B" w:rsidRPr="005947DB">
        <w:rPr>
          <w:rFonts w:hint="eastAsia"/>
          <w:color w:val="FF0000"/>
        </w:rPr>
        <w:t>、</w:t>
      </w:r>
      <w:r w:rsidR="00CC2BF6" w:rsidRPr="005947DB">
        <w:rPr>
          <w:rFonts w:hint="eastAsia"/>
          <w:color w:val="FF0000"/>
        </w:rPr>
        <w:t>雇用主</w:t>
      </w:r>
      <w:r w:rsidR="0009028B" w:rsidRPr="005947DB">
        <w:rPr>
          <w:rFonts w:hint="eastAsia"/>
          <w:color w:val="FF0000"/>
        </w:rPr>
        <w:t>になり得る人</w:t>
      </w:r>
      <w:r w:rsidR="00CC2BF6" w:rsidRPr="005947DB">
        <w:rPr>
          <w:rFonts w:hint="eastAsia"/>
          <w:color w:val="FF0000"/>
        </w:rPr>
        <w:t>から差別を受ける可能性がある。</w:t>
      </w:r>
    </w:p>
    <w:p w14:paraId="147D84BA" w14:textId="77777777" w:rsidR="008E4565" w:rsidRPr="005947DB" w:rsidRDefault="008E4565" w:rsidP="008E4565">
      <w:pPr>
        <w:rPr>
          <w:b/>
          <w:bCs/>
        </w:rPr>
      </w:pPr>
      <w:r w:rsidRPr="005947DB">
        <w:rPr>
          <w:rFonts w:hint="eastAsia"/>
          <w:b/>
          <w:bCs/>
        </w:rPr>
        <w:t>理由</w:t>
      </w:r>
      <w:r w:rsidRPr="005947DB">
        <w:rPr>
          <w:b/>
          <w:bCs/>
        </w:rPr>
        <w:t xml:space="preserve"> </w:t>
      </w:r>
    </w:p>
    <w:p w14:paraId="243023B8" w14:textId="72EE3754" w:rsidR="00CC2BF6" w:rsidRPr="005947DB" w:rsidRDefault="00CC2BF6" w:rsidP="00B94999">
      <w:pPr>
        <w:ind w:firstLineChars="100" w:firstLine="210"/>
      </w:pPr>
      <w:r w:rsidRPr="005947DB">
        <w:rPr>
          <w:rFonts w:hint="eastAsia"/>
        </w:rPr>
        <w:t>障害のある女性と少女に関する</w:t>
      </w:r>
      <w:r w:rsidRPr="005947DB">
        <w:t>CRPD委員会</w:t>
      </w:r>
      <w:r w:rsidR="00AE3C09" w:rsidRPr="005947DB">
        <w:rPr>
          <w:rFonts w:hint="eastAsia"/>
        </w:rPr>
        <w:t>の</w:t>
      </w:r>
      <w:r w:rsidRPr="005947DB">
        <w:t>一般的意見第3号（2016年）で示された、</w:t>
      </w:r>
      <w:r w:rsidR="006D25E6" w:rsidRPr="005947DB">
        <w:rPr>
          <w:rFonts w:hint="eastAsia"/>
        </w:rPr>
        <w:t>関係性</w:t>
      </w:r>
      <w:r w:rsidRPr="005947DB">
        <w:t>による差別の定義を追加する。</w:t>
      </w:r>
    </w:p>
    <w:p w14:paraId="2FAD5152" w14:textId="77777777" w:rsidR="00B94999" w:rsidRPr="005947DB" w:rsidRDefault="00B94999" w:rsidP="00CC2BF6"/>
    <w:p w14:paraId="65D70988" w14:textId="748A79D2" w:rsidR="00CC2BF6" w:rsidRPr="005947DB" w:rsidRDefault="00CC2BF6" w:rsidP="00CC2BF6">
      <w:pPr>
        <w:rPr>
          <w:b/>
          <w:bCs/>
        </w:rPr>
      </w:pPr>
      <w:r w:rsidRPr="005947DB">
        <w:rPr>
          <w:b/>
          <w:bCs/>
        </w:rPr>
        <w:t>13 パラグラフ28</w:t>
      </w:r>
    </w:p>
    <w:p w14:paraId="05958F62" w14:textId="77777777" w:rsidR="00CC2BF6" w:rsidRPr="005947DB" w:rsidRDefault="00CC2BF6" w:rsidP="00CC2BF6">
      <w:pPr>
        <w:rPr>
          <w:b/>
          <w:bCs/>
        </w:rPr>
      </w:pPr>
      <w:r w:rsidRPr="005947DB">
        <w:rPr>
          <w:rFonts w:hint="eastAsia"/>
          <w:b/>
          <w:bCs/>
        </w:rPr>
        <w:t>現在の文言に以下を追加する。</w:t>
      </w:r>
    </w:p>
    <w:p w14:paraId="04C7E882" w14:textId="4C9B66A2" w:rsidR="00CC2BF6" w:rsidRPr="005947DB" w:rsidRDefault="00CC2BF6" w:rsidP="00E23E3A">
      <w:pPr>
        <w:widowControl/>
        <w:spacing w:line="-360" w:lineRule="auto"/>
        <w:jc w:val="left"/>
        <w:rPr>
          <w:rFonts w:ascii="ＭＳ Ｐゴシック" w:eastAsia="ＭＳ Ｐゴシック" w:hAnsi="ＭＳ Ｐゴシック" w:cs="ＭＳ Ｐゴシック"/>
          <w:sz w:val="24"/>
          <w:szCs w:val="24"/>
        </w:rPr>
      </w:pPr>
      <w:r w:rsidRPr="005947DB">
        <w:t>28. 委員会は、第27条1（b）の規範的内容を記述するために、公正かつ</w:t>
      </w:r>
      <w:r w:rsidR="00197B68" w:rsidRPr="005947DB">
        <w:rPr>
          <w:rFonts w:hint="eastAsia"/>
        </w:rPr>
        <w:t>良好な</w:t>
      </w:r>
      <w:r w:rsidRPr="005947DB">
        <w:t>労働条件</w:t>
      </w:r>
      <w:r w:rsidR="00511FBF" w:rsidRPr="005947DB">
        <w:rPr>
          <w:rFonts w:hint="eastAsia"/>
        </w:rPr>
        <w:t>に関する</w:t>
      </w:r>
      <w:r w:rsidRPr="005947DB">
        <w:t>一般的意見第23号</w:t>
      </w:r>
      <w:r w:rsidR="006D25E6" w:rsidRPr="005947DB">
        <w:rPr>
          <w:rStyle w:val="aa"/>
          <w:szCs w:val="24"/>
        </w:rPr>
        <w:footnoteReference w:id="8"/>
      </w:r>
      <w:r w:rsidRPr="005947DB">
        <w:t>におけるCESCR委員会の法理を援用する。</w:t>
      </w:r>
      <w:r w:rsidRPr="005947DB">
        <w:rPr>
          <w:color w:val="FF0000"/>
        </w:rPr>
        <w:t>さらに、委員会は、CEDAW第11条の解釈、特に雇用における機会均等と</w:t>
      </w:r>
      <w:r w:rsidR="00B35A4B" w:rsidRPr="005947DB">
        <w:rPr>
          <w:rFonts w:hint="eastAsia"/>
          <w:color w:val="FF0000"/>
        </w:rPr>
        <w:t>選考</w:t>
      </w:r>
      <w:r w:rsidRPr="005947DB">
        <w:rPr>
          <w:color w:val="FF0000"/>
        </w:rPr>
        <w:t>及び評価</w:t>
      </w:r>
      <w:r w:rsidR="00B35A4B" w:rsidRPr="005947DB">
        <w:rPr>
          <w:rFonts w:hint="eastAsia"/>
          <w:color w:val="FF0000"/>
        </w:rPr>
        <w:t>における</w:t>
      </w:r>
      <w:r w:rsidRPr="005947DB">
        <w:rPr>
          <w:color w:val="FF0000"/>
        </w:rPr>
        <w:t>同一の基準、雇用、昇進及び雇用保障並びにすべての</w:t>
      </w:r>
      <w:r w:rsidR="00B35A4B" w:rsidRPr="005947DB">
        <w:rPr>
          <w:rFonts w:hint="eastAsia"/>
          <w:color w:val="FF0000"/>
        </w:rPr>
        <w:t>給付</w:t>
      </w:r>
      <w:r w:rsidRPr="005947DB">
        <w:rPr>
          <w:color w:val="FF0000"/>
        </w:rPr>
        <w:t>及び勤務条件の自由選択の権利、同一価値の労働に対する同一報酬の権利、社会保障</w:t>
      </w:r>
      <w:r w:rsidR="00B35A4B" w:rsidRPr="005947DB">
        <w:rPr>
          <w:rFonts w:hint="eastAsia"/>
          <w:color w:val="FF0000"/>
        </w:rPr>
        <w:t>の権利</w:t>
      </w:r>
      <w:r w:rsidRPr="005947DB">
        <w:rPr>
          <w:color w:val="FF0000"/>
        </w:rPr>
        <w:t>、並びに生殖機能の保護を含む健康</w:t>
      </w:r>
      <w:r w:rsidR="00CB4631" w:rsidRPr="005947DB">
        <w:rPr>
          <w:rFonts w:hint="eastAsia"/>
          <w:color w:val="FF0000"/>
        </w:rPr>
        <w:t>と</w:t>
      </w:r>
      <w:r w:rsidRPr="005947DB">
        <w:rPr>
          <w:color w:val="FF0000"/>
        </w:rPr>
        <w:t>安全</w:t>
      </w:r>
      <w:r w:rsidR="00CB4631" w:rsidRPr="005947DB">
        <w:rPr>
          <w:rFonts w:hint="eastAsia"/>
          <w:color w:val="FF0000"/>
        </w:rPr>
        <w:t>の保護の権利</w:t>
      </w:r>
      <w:r w:rsidRPr="005947DB">
        <w:rPr>
          <w:color w:val="FF0000"/>
        </w:rPr>
        <w:t>に関するものを援用</w:t>
      </w:r>
      <w:r w:rsidR="00CB4631" w:rsidRPr="005947DB">
        <w:rPr>
          <w:rFonts w:hint="eastAsia"/>
          <w:color w:val="FF0000"/>
        </w:rPr>
        <w:t>す</w:t>
      </w:r>
      <w:r w:rsidRPr="005947DB">
        <w:rPr>
          <w:color w:val="FF0000"/>
        </w:rPr>
        <w:t>る</w:t>
      </w:r>
      <w:r w:rsidR="006D25E6" w:rsidRPr="005947DB">
        <w:rPr>
          <w:rStyle w:val="aa"/>
          <w:rFonts w:cstheme="minorHAnsi"/>
          <w:color w:val="FF0000"/>
          <w:sz w:val="24"/>
          <w:szCs w:val="24"/>
          <w:shd w:val="clear" w:color="auto" w:fill="FFFFFF"/>
        </w:rPr>
        <w:footnoteReference w:id="9"/>
      </w:r>
      <w:r w:rsidRPr="005947DB">
        <w:rPr>
          <w:color w:val="FF0000"/>
        </w:rPr>
        <w:t>。</w:t>
      </w:r>
      <w:r w:rsidRPr="005947DB">
        <w:t xml:space="preserve"> [...]</w:t>
      </w:r>
    </w:p>
    <w:p w14:paraId="2E598A45" w14:textId="77777777" w:rsidR="008E4565" w:rsidRPr="005947DB" w:rsidRDefault="008E4565" w:rsidP="008E4565">
      <w:pPr>
        <w:rPr>
          <w:b/>
          <w:bCs/>
        </w:rPr>
      </w:pPr>
      <w:r w:rsidRPr="005947DB">
        <w:rPr>
          <w:rFonts w:hint="eastAsia"/>
          <w:b/>
          <w:bCs/>
        </w:rPr>
        <w:t>理由</w:t>
      </w:r>
      <w:r w:rsidRPr="005947DB">
        <w:rPr>
          <w:b/>
          <w:bCs/>
        </w:rPr>
        <w:t xml:space="preserve"> </w:t>
      </w:r>
    </w:p>
    <w:p w14:paraId="5DB4A8BC" w14:textId="4D2C36C9" w:rsidR="00CC2BF6" w:rsidRPr="005947DB" w:rsidRDefault="00CC2BF6" w:rsidP="00B94999">
      <w:pPr>
        <w:ind w:firstLineChars="100" w:firstLine="210"/>
      </w:pPr>
      <w:r w:rsidRPr="005947DB">
        <w:t>CRPD委員会及び本</w:t>
      </w:r>
      <w:r w:rsidR="00CB4631" w:rsidRPr="005947DB">
        <w:rPr>
          <w:rFonts w:hint="eastAsia"/>
        </w:rPr>
        <w:t>一般的意見</w:t>
      </w:r>
      <w:r w:rsidRPr="005947DB">
        <w:t>の追加的正当化理由としてCEDAW</w:t>
      </w:r>
      <w:r w:rsidR="00CB4631" w:rsidRPr="005947DB">
        <w:rPr>
          <w:rFonts w:hint="eastAsia"/>
        </w:rPr>
        <w:t>第</w:t>
      </w:r>
      <w:r w:rsidRPr="005947DB">
        <w:t>11条を検討する。</w:t>
      </w:r>
    </w:p>
    <w:p w14:paraId="7F8E56D9" w14:textId="77777777" w:rsidR="00B94999" w:rsidRPr="005947DB" w:rsidRDefault="00B94999" w:rsidP="00CC2BF6"/>
    <w:p w14:paraId="76BA14F4" w14:textId="3D0F398D" w:rsidR="00CC2BF6" w:rsidRPr="005947DB" w:rsidRDefault="00CC2BF6" w:rsidP="00CC2BF6">
      <w:pPr>
        <w:rPr>
          <w:b/>
          <w:bCs/>
        </w:rPr>
      </w:pPr>
      <w:r w:rsidRPr="005947DB">
        <w:rPr>
          <w:b/>
          <w:bCs/>
        </w:rPr>
        <w:t>14 パラグラフ31の後</w:t>
      </w:r>
      <w:r w:rsidR="00CB4631" w:rsidRPr="005947DB">
        <w:rPr>
          <w:rFonts w:hint="eastAsia"/>
          <w:b/>
          <w:bCs/>
        </w:rPr>
        <w:t>に</w:t>
      </w:r>
      <w:r w:rsidRPr="005947DB">
        <w:rPr>
          <w:b/>
          <w:bCs/>
        </w:rPr>
        <w:t>新しいパラグラフ</w:t>
      </w:r>
      <w:r w:rsidR="00CB4631" w:rsidRPr="005947DB">
        <w:rPr>
          <w:rFonts w:hint="eastAsia"/>
          <w:b/>
          <w:bCs/>
        </w:rPr>
        <w:t>の追加</w:t>
      </w:r>
    </w:p>
    <w:p w14:paraId="5BC2BA9E" w14:textId="4F0EA553" w:rsidR="00CC2BF6" w:rsidRPr="005947DB" w:rsidRDefault="00CC2BF6" w:rsidP="00CC2BF6">
      <w:pPr>
        <w:rPr>
          <w:b/>
          <w:bCs/>
        </w:rPr>
      </w:pPr>
      <w:r w:rsidRPr="005947DB">
        <w:rPr>
          <w:rFonts w:hint="eastAsia"/>
          <w:b/>
          <w:bCs/>
        </w:rPr>
        <w:t>次の新しい</w:t>
      </w:r>
      <w:r w:rsidR="00D57E90" w:rsidRPr="005947DB">
        <w:rPr>
          <w:b/>
          <w:bCs/>
        </w:rPr>
        <w:t>パラグラフ</w:t>
      </w:r>
      <w:r w:rsidRPr="005947DB">
        <w:rPr>
          <w:rFonts w:hint="eastAsia"/>
          <w:b/>
          <w:bCs/>
        </w:rPr>
        <w:t>を追加する。</w:t>
      </w:r>
    </w:p>
    <w:p w14:paraId="587E217A" w14:textId="79E8BF03" w:rsidR="00CC2BF6" w:rsidRPr="005947DB" w:rsidRDefault="00CC2BF6" w:rsidP="00881C20">
      <w:pPr>
        <w:widowControl/>
        <w:spacing w:line="360" w:lineRule="exact"/>
        <w:ind w:firstLineChars="100" w:firstLine="210"/>
        <w:jc w:val="left"/>
        <w:rPr>
          <w:rFonts w:ascii="ＭＳ Ｐゴシック" w:eastAsia="ＭＳ Ｐゴシック" w:hAnsi="ＭＳ Ｐゴシック" w:cs="ＭＳ Ｐゴシック"/>
          <w:sz w:val="24"/>
          <w:szCs w:val="24"/>
        </w:rPr>
      </w:pPr>
      <w:r w:rsidRPr="005947DB">
        <w:rPr>
          <w:rFonts w:hint="eastAsia"/>
          <w:color w:val="FF0000"/>
        </w:rPr>
        <w:lastRenderedPageBreak/>
        <w:t>障害のある女性は、雇用、</w:t>
      </w:r>
      <w:r w:rsidR="00CB4631" w:rsidRPr="005947DB">
        <w:rPr>
          <w:rFonts w:hint="eastAsia"/>
          <w:color w:val="FF0000"/>
        </w:rPr>
        <w:t>雇用継続</w:t>
      </w:r>
      <w:r w:rsidRPr="005947DB">
        <w:rPr>
          <w:rFonts w:hint="eastAsia"/>
          <w:color w:val="FF0000"/>
        </w:rPr>
        <w:t>、昇進、賃金、訓練</w:t>
      </w:r>
      <w:r w:rsidR="00E31E34" w:rsidRPr="005947DB">
        <w:rPr>
          <w:rFonts w:hint="eastAsia"/>
          <w:color w:val="FF0000"/>
        </w:rPr>
        <w:t>・</w:t>
      </w:r>
      <w:r w:rsidR="001B0F24" w:rsidRPr="005947DB">
        <w:rPr>
          <w:rFonts w:hint="eastAsia"/>
          <w:color w:val="FF0000"/>
        </w:rPr>
        <w:t>融資</w:t>
      </w:r>
      <w:r w:rsidRPr="005947DB">
        <w:rPr>
          <w:rFonts w:hint="eastAsia"/>
          <w:color w:val="FF0000"/>
        </w:rPr>
        <w:t>その他の</w:t>
      </w:r>
      <w:r w:rsidR="00E31E34" w:rsidRPr="005947DB">
        <w:rPr>
          <w:rFonts w:hint="eastAsia"/>
          <w:color w:val="FF0000"/>
        </w:rPr>
        <w:t>有益な</w:t>
      </w:r>
      <w:r w:rsidRPr="005947DB">
        <w:rPr>
          <w:rFonts w:hint="eastAsia"/>
          <w:color w:val="FF0000"/>
        </w:rPr>
        <w:t>資源へのアクセスなど、</w:t>
      </w:r>
      <w:r w:rsidR="00CB4631" w:rsidRPr="005947DB">
        <w:rPr>
          <w:rFonts w:hint="eastAsia"/>
          <w:color w:val="FF0000"/>
        </w:rPr>
        <w:t>労働</w:t>
      </w:r>
      <w:r w:rsidRPr="005947DB">
        <w:rPr>
          <w:rFonts w:hint="eastAsia"/>
          <w:color w:val="FF0000"/>
        </w:rPr>
        <w:t>の世界において広範な差別に直面している。さらに彼女たちは、無償の介護や家事労働</w:t>
      </w:r>
      <w:r w:rsidR="00E31E34" w:rsidRPr="005947DB">
        <w:rPr>
          <w:rFonts w:hint="eastAsia"/>
          <w:color w:val="FF0000"/>
        </w:rPr>
        <w:t>への</w:t>
      </w:r>
      <w:r w:rsidRPr="005947DB">
        <w:rPr>
          <w:rFonts w:hint="eastAsia"/>
          <w:color w:val="FF0000"/>
        </w:rPr>
        <w:t>認識や社会的支援の欠如によ</w:t>
      </w:r>
      <w:r w:rsidR="00E31E34" w:rsidRPr="005947DB">
        <w:rPr>
          <w:rFonts w:hint="eastAsia"/>
          <w:color w:val="FF0000"/>
        </w:rPr>
        <w:t>り特に大きな</w:t>
      </w:r>
      <w:r w:rsidRPr="005947DB">
        <w:rPr>
          <w:rFonts w:hint="eastAsia"/>
          <w:color w:val="FF0000"/>
        </w:rPr>
        <w:t>影響を受けている</w:t>
      </w:r>
      <w:r w:rsidR="00E31E34" w:rsidRPr="005947DB">
        <w:rPr>
          <w:rStyle w:val="aa"/>
          <w:color w:val="FF0000"/>
          <w:sz w:val="24"/>
          <w:szCs w:val="24"/>
        </w:rPr>
        <w:footnoteReference w:id="10"/>
      </w:r>
      <w:r w:rsidRPr="005947DB">
        <w:rPr>
          <w:rFonts w:hint="eastAsia"/>
          <w:color w:val="FF0000"/>
        </w:rPr>
        <w:t>。</w:t>
      </w:r>
    </w:p>
    <w:p w14:paraId="3C1A4379" w14:textId="77777777" w:rsidR="008E4565" w:rsidRPr="005947DB" w:rsidRDefault="008E4565" w:rsidP="008E4565">
      <w:pPr>
        <w:rPr>
          <w:b/>
          <w:bCs/>
        </w:rPr>
      </w:pPr>
      <w:r w:rsidRPr="005947DB">
        <w:rPr>
          <w:rFonts w:hint="eastAsia"/>
          <w:b/>
          <w:bCs/>
        </w:rPr>
        <w:t>理由</w:t>
      </w:r>
      <w:r w:rsidRPr="005947DB">
        <w:rPr>
          <w:b/>
          <w:bCs/>
        </w:rPr>
        <w:t xml:space="preserve"> </w:t>
      </w:r>
    </w:p>
    <w:p w14:paraId="513CE6BE" w14:textId="0812CFFB" w:rsidR="00CC2BF6" w:rsidRPr="005947DB" w:rsidRDefault="00CC2BF6" w:rsidP="00B94999">
      <w:pPr>
        <w:ind w:firstLineChars="100" w:firstLine="210"/>
      </w:pPr>
      <w:r w:rsidRPr="005947DB">
        <w:rPr>
          <w:rFonts w:hint="eastAsia"/>
        </w:rPr>
        <w:t>障害のある女性が</w:t>
      </w:r>
      <w:r w:rsidR="00F42BA0" w:rsidRPr="005947DB">
        <w:rPr>
          <w:rFonts w:hint="eastAsia"/>
        </w:rPr>
        <w:t>労働の</w:t>
      </w:r>
      <w:r w:rsidRPr="005947DB">
        <w:rPr>
          <w:rFonts w:hint="eastAsia"/>
        </w:rPr>
        <w:t>権利に関して直面する具体的な障壁について、検証された情報を提供する（彼女たちが行う無報酬の</w:t>
      </w:r>
      <w:r w:rsidR="00E31E34" w:rsidRPr="005947DB">
        <w:rPr>
          <w:rFonts w:hint="eastAsia"/>
        </w:rPr>
        <w:t>労働</w:t>
      </w:r>
      <w:r w:rsidRPr="005947DB">
        <w:rPr>
          <w:rFonts w:hint="eastAsia"/>
        </w:rPr>
        <w:t>を含む）。</w:t>
      </w:r>
    </w:p>
    <w:p w14:paraId="2397B661" w14:textId="77777777" w:rsidR="00B94999" w:rsidRPr="005947DB" w:rsidRDefault="00B94999" w:rsidP="00CC2BF6"/>
    <w:p w14:paraId="286CD82C" w14:textId="6F71A1C1" w:rsidR="00CC2BF6" w:rsidRPr="005947DB" w:rsidRDefault="00CC2BF6" w:rsidP="00CC2BF6">
      <w:pPr>
        <w:rPr>
          <w:b/>
          <w:bCs/>
        </w:rPr>
      </w:pPr>
      <w:r w:rsidRPr="005947DB">
        <w:rPr>
          <w:b/>
          <w:bCs/>
        </w:rPr>
        <w:t xml:space="preserve">15 </w:t>
      </w:r>
      <w:r w:rsidR="00F42BA0" w:rsidRPr="005947DB">
        <w:rPr>
          <w:rFonts w:hint="eastAsia"/>
          <w:b/>
          <w:bCs/>
        </w:rPr>
        <w:t>上記</w:t>
      </w:r>
      <w:r w:rsidRPr="005947DB">
        <w:rPr>
          <w:b/>
          <w:bCs/>
        </w:rPr>
        <w:t>新</w:t>
      </w:r>
      <w:r w:rsidR="00D57E90" w:rsidRPr="005947DB">
        <w:rPr>
          <w:b/>
          <w:bCs/>
        </w:rPr>
        <w:t>パラグラフ</w:t>
      </w:r>
      <w:r w:rsidRPr="005947DB">
        <w:rPr>
          <w:b/>
          <w:bCs/>
        </w:rPr>
        <w:t>の後</w:t>
      </w:r>
      <w:r w:rsidR="00F42BA0" w:rsidRPr="005947DB">
        <w:rPr>
          <w:rFonts w:hint="eastAsia"/>
          <w:b/>
          <w:bCs/>
        </w:rPr>
        <w:t>に</w:t>
      </w:r>
      <w:r w:rsidRPr="005947DB">
        <w:rPr>
          <w:b/>
          <w:bCs/>
        </w:rPr>
        <w:t>新</w:t>
      </w:r>
      <w:r w:rsidR="00D57E90" w:rsidRPr="005947DB">
        <w:rPr>
          <w:b/>
          <w:bCs/>
        </w:rPr>
        <w:t>パラグラフ</w:t>
      </w:r>
      <w:r w:rsidR="00F42BA0" w:rsidRPr="005947DB">
        <w:rPr>
          <w:rFonts w:hint="eastAsia"/>
          <w:b/>
          <w:bCs/>
        </w:rPr>
        <w:t>を追加</w:t>
      </w:r>
    </w:p>
    <w:p w14:paraId="72ADDEF5" w14:textId="4102E0FF" w:rsidR="00CC2BF6" w:rsidRPr="005947DB" w:rsidRDefault="00CC2BF6" w:rsidP="00CC2BF6">
      <w:pPr>
        <w:rPr>
          <w:b/>
          <w:bCs/>
        </w:rPr>
      </w:pPr>
      <w:r w:rsidRPr="005947DB">
        <w:rPr>
          <w:rFonts w:hint="eastAsia"/>
          <w:b/>
          <w:bCs/>
        </w:rPr>
        <w:t>次の新しい</w:t>
      </w:r>
      <w:r w:rsidR="00D57E90" w:rsidRPr="005947DB">
        <w:rPr>
          <w:b/>
          <w:bCs/>
        </w:rPr>
        <w:t>パラグラフ</w:t>
      </w:r>
      <w:r w:rsidRPr="005947DB">
        <w:rPr>
          <w:rFonts w:hint="eastAsia"/>
          <w:b/>
          <w:bCs/>
        </w:rPr>
        <w:t>を追加する。</w:t>
      </w:r>
    </w:p>
    <w:p w14:paraId="134F4814" w14:textId="77777777" w:rsidR="00CC2BF6" w:rsidRPr="005947DB" w:rsidRDefault="00CC2BF6" w:rsidP="00B94999">
      <w:pPr>
        <w:ind w:firstLineChars="100" w:firstLine="210"/>
        <w:rPr>
          <w:color w:val="FF0000"/>
        </w:rPr>
      </w:pPr>
      <w:r w:rsidRPr="005947DB">
        <w:rPr>
          <w:color w:val="FF0000"/>
        </w:rPr>
        <w:t>CEDAW第11条に照らして、出産休暇などを含む母性を保護するために締約国が採用した特別措置が、障害のある女性労働者にも保障されるように、特に焦点を当てるべきである。</w:t>
      </w:r>
    </w:p>
    <w:p w14:paraId="569B3A98" w14:textId="77777777" w:rsidR="008E4565" w:rsidRPr="005947DB" w:rsidRDefault="008E4565" w:rsidP="008E4565">
      <w:pPr>
        <w:rPr>
          <w:b/>
          <w:bCs/>
        </w:rPr>
      </w:pPr>
      <w:r w:rsidRPr="005947DB">
        <w:rPr>
          <w:rFonts w:hint="eastAsia"/>
          <w:b/>
          <w:bCs/>
        </w:rPr>
        <w:t>理由</w:t>
      </w:r>
      <w:r w:rsidRPr="005947DB">
        <w:rPr>
          <w:b/>
          <w:bCs/>
        </w:rPr>
        <w:t xml:space="preserve"> </w:t>
      </w:r>
    </w:p>
    <w:p w14:paraId="30F21731" w14:textId="60DF01C4" w:rsidR="00CC2BF6" w:rsidRPr="005947DB" w:rsidRDefault="00CC2BF6" w:rsidP="00B94999">
      <w:pPr>
        <w:ind w:firstLineChars="100" w:firstLine="210"/>
      </w:pPr>
      <w:r w:rsidRPr="005947DB">
        <w:t>CEDAW11条に沿っ</w:t>
      </w:r>
      <w:r w:rsidR="007F1D7E" w:rsidRPr="005947DB">
        <w:rPr>
          <w:rFonts w:hint="eastAsia"/>
        </w:rPr>
        <w:t>て、</w:t>
      </w:r>
      <w:r w:rsidRPr="005947DB">
        <w:t>ジェンダー・アプローチと母性に対する権利を強調する。</w:t>
      </w:r>
    </w:p>
    <w:p w14:paraId="3F53AEEA" w14:textId="77777777" w:rsidR="00B94999" w:rsidRPr="005947DB" w:rsidRDefault="00B94999" w:rsidP="00CC2BF6"/>
    <w:p w14:paraId="52708658" w14:textId="1C432C8F" w:rsidR="00CC2BF6" w:rsidRPr="005947DB" w:rsidRDefault="00CC2BF6" w:rsidP="00CC2BF6">
      <w:pPr>
        <w:rPr>
          <w:b/>
          <w:bCs/>
        </w:rPr>
      </w:pPr>
      <w:r w:rsidRPr="005947DB">
        <w:rPr>
          <w:b/>
          <w:bCs/>
        </w:rPr>
        <w:t xml:space="preserve">16 </w:t>
      </w:r>
      <w:r w:rsidR="007F1D7E" w:rsidRPr="005947DB">
        <w:rPr>
          <w:rFonts w:hint="eastAsia"/>
          <w:b/>
          <w:bCs/>
        </w:rPr>
        <w:t>上記</w:t>
      </w:r>
      <w:r w:rsidR="007F1D7E" w:rsidRPr="005947DB">
        <w:rPr>
          <w:b/>
          <w:bCs/>
        </w:rPr>
        <w:t>新パラグラフの後</w:t>
      </w:r>
      <w:r w:rsidR="007F1D7E" w:rsidRPr="005947DB">
        <w:rPr>
          <w:rFonts w:hint="eastAsia"/>
          <w:b/>
          <w:bCs/>
        </w:rPr>
        <w:t>に</w:t>
      </w:r>
      <w:r w:rsidR="007F1D7E" w:rsidRPr="005947DB">
        <w:rPr>
          <w:b/>
          <w:bCs/>
        </w:rPr>
        <w:t>新パラグラフ</w:t>
      </w:r>
      <w:r w:rsidR="007F1D7E" w:rsidRPr="005947DB">
        <w:rPr>
          <w:rFonts w:hint="eastAsia"/>
          <w:b/>
          <w:bCs/>
        </w:rPr>
        <w:t>を追加</w:t>
      </w:r>
    </w:p>
    <w:p w14:paraId="41DECC1D" w14:textId="4733CB5D" w:rsidR="00CC2BF6" w:rsidRPr="005947DB" w:rsidRDefault="00CC2BF6" w:rsidP="00CC2BF6">
      <w:pPr>
        <w:rPr>
          <w:b/>
          <w:bCs/>
        </w:rPr>
      </w:pPr>
      <w:r w:rsidRPr="005947DB">
        <w:rPr>
          <w:rFonts w:hint="eastAsia"/>
          <w:b/>
          <w:bCs/>
        </w:rPr>
        <w:t>次の新しい</w:t>
      </w:r>
      <w:r w:rsidR="00D57E90" w:rsidRPr="005947DB">
        <w:rPr>
          <w:b/>
          <w:bCs/>
        </w:rPr>
        <w:t>パラグラフ</w:t>
      </w:r>
      <w:r w:rsidRPr="005947DB">
        <w:rPr>
          <w:rFonts w:hint="eastAsia"/>
          <w:b/>
          <w:bCs/>
        </w:rPr>
        <w:t>を追加する。</w:t>
      </w:r>
    </w:p>
    <w:p w14:paraId="1B494ED4" w14:textId="0F5864CE" w:rsidR="00CC2BF6" w:rsidRPr="005947DB" w:rsidRDefault="00CC2BF6" w:rsidP="00881C20">
      <w:pPr>
        <w:widowControl/>
        <w:spacing w:line="-360" w:lineRule="auto"/>
        <w:ind w:firstLineChars="100" w:firstLine="210"/>
        <w:jc w:val="left"/>
        <w:rPr>
          <w:rFonts w:ascii="ＭＳ Ｐゴシック" w:eastAsia="ＭＳ Ｐゴシック" w:hAnsi="ＭＳ Ｐゴシック" w:cs="ＭＳ Ｐゴシック"/>
          <w:sz w:val="24"/>
          <w:szCs w:val="24"/>
        </w:rPr>
      </w:pPr>
      <w:r w:rsidRPr="005947DB">
        <w:rPr>
          <w:rFonts w:hint="eastAsia"/>
          <w:color w:val="FF0000"/>
        </w:rPr>
        <w:t>障害のある女性は収入面で不利な立場にあり、しばしば貧困にあえいでいる。統計がある場合、障害のある人とない人の賃金格差が根強いだけでなく、この格差がジェンダーの結果として悪化している証拠も</w:t>
      </w:r>
      <w:r w:rsidR="00D85349" w:rsidRPr="005947DB">
        <w:rPr>
          <w:rFonts w:hint="eastAsia"/>
          <w:color w:val="FF0000"/>
        </w:rPr>
        <w:t>示されている</w:t>
      </w:r>
      <w:r w:rsidRPr="005947DB">
        <w:rPr>
          <w:rFonts w:hint="eastAsia"/>
          <w:color w:val="FF0000"/>
        </w:rPr>
        <w:t>ことを考慮しなければならない。欧州ジェンダー平等研究所の</w:t>
      </w:r>
      <w:r w:rsidRPr="005947DB">
        <w:rPr>
          <w:color w:val="FF0000"/>
        </w:rPr>
        <w:t>2020年</w:t>
      </w:r>
      <w:r w:rsidR="00D85349" w:rsidRPr="005947DB">
        <w:rPr>
          <w:rFonts w:hint="eastAsia"/>
          <w:color w:val="FF0000"/>
        </w:rPr>
        <w:t>ジェンダー</w:t>
      </w:r>
      <w:r w:rsidRPr="005947DB">
        <w:rPr>
          <w:color w:val="FF0000"/>
        </w:rPr>
        <w:t>平等指数によると、障害のある女性の平均月収は、障害のある男性および障害のない女性の</w:t>
      </w:r>
      <w:r w:rsidR="00D85349" w:rsidRPr="005947DB">
        <w:rPr>
          <w:rFonts w:hint="eastAsia"/>
          <w:color w:val="FF0000"/>
        </w:rPr>
        <w:t>どちら</w:t>
      </w:r>
      <w:r w:rsidRPr="005947DB">
        <w:rPr>
          <w:color w:val="FF0000"/>
        </w:rPr>
        <w:t>よりも低い</w:t>
      </w:r>
      <w:r w:rsidR="00D85349" w:rsidRPr="005947DB">
        <w:rPr>
          <w:rStyle w:val="aa"/>
          <w:color w:val="FF0000"/>
          <w:sz w:val="24"/>
          <w:szCs w:val="24"/>
        </w:rPr>
        <w:footnoteReference w:id="11"/>
      </w:r>
      <w:r w:rsidRPr="005947DB">
        <w:rPr>
          <w:color w:val="FF0000"/>
        </w:rPr>
        <w:t>。</w:t>
      </w:r>
    </w:p>
    <w:p w14:paraId="1C23B78E" w14:textId="77777777" w:rsidR="008E4565" w:rsidRPr="005947DB" w:rsidRDefault="008E4565" w:rsidP="008E4565">
      <w:pPr>
        <w:rPr>
          <w:b/>
          <w:bCs/>
        </w:rPr>
      </w:pPr>
      <w:r w:rsidRPr="005947DB">
        <w:rPr>
          <w:rFonts w:hint="eastAsia"/>
          <w:b/>
          <w:bCs/>
        </w:rPr>
        <w:t>理由</w:t>
      </w:r>
      <w:r w:rsidRPr="005947DB">
        <w:rPr>
          <w:b/>
          <w:bCs/>
        </w:rPr>
        <w:t xml:space="preserve"> </w:t>
      </w:r>
    </w:p>
    <w:p w14:paraId="50867198" w14:textId="5F7992B4" w:rsidR="00CC2BF6" w:rsidRPr="005947DB" w:rsidRDefault="00CC2BF6" w:rsidP="00E9629F">
      <w:pPr>
        <w:ind w:firstLineChars="100" w:firstLine="210"/>
      </w:pPr>
      <w:r w:rsidRPr="005947DB">
        <w:rPr>
          <w:rFonts w:hint="eastAsia"/>
        </w:rPr>
        <w:t>障害のある女性が直面する賃金格差について公式な情報を提供する。</w:t>
      </w:r>
    </w:p>
    <w:p w14:paraId="6E3A759F" w14:textId="77777777" w:rsidR="00E9629F" w:rsidRPr="005947DB" w:rsidRDefault="00E9629F" w:rsidP="00CC2BF6"/>
    <w:p w14:paraId="50C0A4B1" w14:textId="065B1839" w:rsidR="00CC2BF6" w:rsidRPr="005947DB" w:rsidRDefault="00CC2BF6" w:rsidP="00CC2BF6">
      <w:pPr>
        <w:rPr>
          <w:b/>
          <w:bCs/>
        </w:rPr>
      </w:pPr>
      <w:r w:rsidRPr="005947DB">
        <w:rPr>
          <w:b/>
          <w:bCs/>
        </w:rPr>
        <w:t>17 パラグラフ33</w:t>
      </w:r>
    </w:p>
    <w:p w14:paraId="097AF74A" w14:textId="77777777" w:rsidR="00CC2BF6" w:rsidRPr="005947DB" w:rsidRDefault="00CC2BF6" w:rsidP="00CC2BF6">
      <w:pPr>
        <w:rPr>
          <w:b/>
          <w:bCs/>
        </w:rPr>
      </w:pPr>
      <w:r w:rsidRPr="005947DB">
        <w:rPr>
          <w:rFonts w:hint="eastAsia"/>
          <w:b/>
          <w:bCs/>
        </w:rPr>
        <w:t>現在の文言を以下のように修正する。</w:t>
      </w:r>
    </w:p>
    <w:p w14:paraId="4D6D9551" w14:textId="52DD9E9F" w:rsidR="00CC2BF6" w:rsidRPr="005947DB" w:rsidRDefault="00CC2BF6" w:rsidP="00CC2BF6">
      <w:r w:rsidRPr="005947DB">
        <w:t>33. ハラスメントに関する委員会の法理は、一般的意見第</w:t>
      </w:r>
      <w:r w:rsidRPr="005947DB">
        <w:rPr>
          <w:color w:val="FF0000"/>
        </w:rPr>
        <w:t xml:space="preserve">3 </w:t>
      </w:r>
      <w:r w:rsidRPr="005947DB">
        <w:rPr>
          <w:dstrike/>
        </w:rPr>
        <w:t>6</w:t>
      </w:r>
      <w:r w:rsidRPr="005947DB">
        <w:t>、</w:t>
      </w:r>
      <w:r w:rsidR="00D9072A" w:rsidRPr="005947DB">
        <w:rPr>
          <w:rFonts w:hint="eastAsia"/>
          <w:color w:val="FF0000"/>
        </w:rPr>
        <w:t>および</w:t>
      </w:r>
      <w:r w:rsidRPr="005947DB">
        <w:rPr>
          <w:color w:val="FF0000"/>
        </w:rPr>
        <w:t>一般的意見第6</w:t>
      </w:r>
      <w:r w:rsidRPr="005947DB">
        <w:t>に記載されている。</w:t>
      </w:r>
      <w:r w:rsidR="00D9072A" w:rsidRPr="005947DB">
        <w:rPr>
          <w:rFonts w:hint="eastAsia"/>
          <w:color w:val="FF0000"/>
        </w:rPr>
        <w:t>国連女性機関（</w:t>
      </w:r>
      <w:r w:rsidRPr="005947DB">
        <w:rPr>
          <w:color w:val="FF0000"/>
        </w:rPr>
        <w:t>UN Women</w:t>
      </w:r>
      <w:r w:rsidR="00D9072A" w:rsidRPr="005947DB">
        <w:rPr>
          <w:rFonts w:hint="eastAsia"/>
          <w:color w:val="FF0000"/>
        </w:rPr>
        <w:t>）</w:t>
      </w:r>
      <w:r w:rsidRPr="005947DB">
        <w:rPr>
          <w:color w:val="FF0000"/>
        </w:rPr>
        <w:t>、女性差別撤廃委員会、障害者権利委員会は、「障害のある女性および少女に対するセクシャル・ハラスメントの終結」に関する共同声明において、職業雇用センターにおける障害のある女性および少女に対するセクシャル・ハラスメントを含むあらゆる性的暴力の事例を防ぐためのパートナーシップを推奨し、さらに障害のある女性および少女に対するすべてのセクハラ事例を特定、調査、適切であれば起訴</w:t>
      </w:r>
      <w:r w:rsidRPr="005947DB">
        <w:rPr>
          <w:color w:val="FF0000"/>
        </w:rPr>
        <w:lastRenderedPageBreak/>
        <w:t>するよう呼びかけてい</w:t>
      </w:r>
      <w:r w:rsidR="00FC36A9" w:rsidRPr="005947DB">
        <w:rPr>
          <w:color w:val="FF0000"/>
        </w:rPr>
        <w:t>る</w:t>
      </w:r>
      <w:r w:rsidRPr="005947DB">
        <w:rPr>
          <w:color w:val="FF0000"/>
        </w:rPr>
        <w:t>。</w:t>
      </w:r>
      <w:r w:rsidR="00D547D6" w:rsidRPr="005947DB">
        <w:rPr>
          <w:rFonts w:hint="eastAsia"/>
        </w:rPr>
        <w:t>労働</w:t>
      </w:r>
      <w:r w:rsidRPr="005947DB">
        <w:rPr>
          <w:rFonts w:hint="eastAsia"/>
        </w:rPr>
        <w:t>と雇用に関連するハラスメントは、雇用サイクルにまで及び、具体的かつ包括的な差別</w:t>
      </w:r>
      <w:r w:rsidR="00D547D6" w:rsidRPr="005947DB">
        <w:rPr>
          <w:rFonts w:hint="eastAsia"/>
        </w:rPr>
        <w:t>禁止</w:t>
      </w:r>
      <w:r w:rsidRPr="005947DB">
        <w:rPr>
          <w:rFonts w:hint="eastAsia"/>
        </w:rPr>
        <w:t>法の制定と施行を通じて、効果的な救済を必要とする。</w:t>
      </w:r>
      <w:r w:rsidRPr="005947DB">
        <w:t>[...]</w:t>
      </w:r>
    </w:p>
    <w:p w14:paraId="2145905D" w14:textId="77777777" w:rsidR="008E4565" w:rsidRPr="005947DB" w:rsidRDefault="008E4565" w:rsidP="008E4565">
      <w:pPr>
        <w:rPr>
          <w:b/>
          <w:bCs/>
        </w:rPr>
      </w:pPr>
      <w:r w:rsidRPr="005947DB">
        <w:rPr>
          <w:rFonts w:hint="eastAsia"/>
          <w:b/>
          <w:bCs/>
        </w:rPr>
        <w:t>理由</w:t>
      </w:r>
      <w:r w:rsidRPr="005947DB">
        <w:rPr>
          <w:b/>
          <w:bCs/>
        </w:rPr>
        <w:t xml:space="preserve"> </w:t>
      </w:r>
    </w:p>
    <w:p w14:paraId="088148D3" w14:textId="0D4C39F6" w:rsidR="00CC2BF6" w:rsidRPr="005947DB" w:rsidRDefault="00CC2BF6" w:rsidP="00E9629F">
      <w:pPr>
        <w:ind w:firstLineChars="100" w:firstLine="210"/>
      </w:pPr>
      <w:r w:rsidRPr="005947DB">
        <w:t>CRPD委員会一般的意見第3号の</w:t>
      </w:r>
      <w:r w:rsidR="00387E6B" w:rsidRPr="005947DB">
        <w:rPr>
          <w:rFonts w:hint="eastAsia"/>
        </w:rPr>
        <w:t>パラグラフ</w:t>
      </w:r>
      <w:r w:rsidRPr="005947DB">
        <w:t>58でも職場のハラスメントについて述べている。</w:t>
      </w:r>
    </w:p>
    <w:p w14:paraId="6A03C953" w14:textId="77777777" w:rsidR="00E9629F" w:rsidRPr="005947DB" w:rsidRDefault="00E9629F" w:rsidP="00CC2BF6"/>
    <w:p w14:paraId="62D37196" w14:textId="0272BA20" w:rsidR="00CC2BF6" w:rsidRPr="005947DB" w:rsidRDefault="00CC2BF6" w:rsidP="00CC2BF6">
      <w:pPr>
        <w:rPr>
          <w:b/>
          <w:bCs/>
        </w:rPr>
      </w:pPr>
      <w:r w:rsidRPr="005947DB">
        <w:rPr>
          <w:b/>
          <w:bCs/>
        </w:rPr>
        <w:t>18 パラグラフ34</w:t>
      </w:r>
    </w:p>
    <w:p w14:paraId="64B9720F" w14:textId="77777777" w:rsidR="00CC2BF6" w:rsidRPr="005947DB" w:rsidRDefault="00CC2BF6" w:rsidP="00CC2BF6">
      <w:pPr>
        <w:rPr>
          <w:b/>
          <w:bCs/>
        </w:rPr>
      </w:pPr>
      <w:r w:rsidRPr="005947DB">
        <w:rPr>
          <w:rFonts w:hint="eastAsia"/>
          <w:b/>
          <w:bCs/>
        </w:rPr>
        <w:t>現在の文言に以下を追加する。</w:t>
      </w:r>
    </w:p>
    <w:p w14:paraId="3A8FD9BC" w14:textId="32EA1355" w:rsidR="00CC2BF6" w:rsidRPr="005947DB" w:rsidRDefault="00CC2BF6" w:rsidP="00881C20">
      <w:pPr>
        <w:widowControl/>
        <w:spacing w:line="-360" w:lineRule="auto"/>
        <w:jc w:val="left"/>
        <w:rPr>
          <w:rFonts w:ascii="ＭＳ Ｐゴシック" w:eastAsia="ＭＳ Ｐゴシック" w:hAnsi="ＭＳ Ｐゴシック" w:cs="ＭＳ Ｐゴシック"/>
          <w:sz w:val="24"/>
          <w:szCs w:val="24"/>
        </w:rPr>
      </w:pPr>
      <w:r w:rsidRPr="005947DB">
        <w:t>34. [...]</w:t>
      </w:r>
      <w:r w:rsidR="00387E6B" w:rsidRPr="005947DB">
        <w:rPr>
          <w:rFonts w:hint="eastAsia"/>
        </w:rPr>
        <w:t xml:space="preserve">　</w:t>
      </w:r>
      <w:r w:rsidRPr="005947DB">
        <w:rPr>
          <w:rFonts w:hint="eastAsia"/>
        </w:rPr>
        <w:t>締約国は、労働</w:t>
      </w:r>
      <w:r w:rsidR="00387E6B" w:rsidRPr="005947DB">
        <w:rPr>
          <w:rFonts w:hint="eastAsia"/>
        </w:rPr>
        <w:t>の</w:t>
      </w:r>
      <w:r w:rsidRPr="005947DB">
        <w:rPr>
          <w:rFonts w:hint="eastAsia"/>
        </w:rPr>
        <w:t>権利の実現</w:t>
      </w:r>
      <w:r w:rsidR="00387E6B" w:rsidRPr="005947DB">
        <w:rPr>
          <w:rFonts w:hint="eastAsia"/>
        </w:rPr>
        <w:t>のために</w:t>
      </w:r>
      <w:r w:rsidR="0059227B" w:rsidRPr="005947DB">
        <w:rPr>
          <w:rFonts w:hint="eastAsia"/>
        </w:rPr>
        <w:t>障害のある人</w:t>
      </w:r>
      <w:r w:rsidRPr="005947DB">
        <w:rPr>
          <w:rFonts w:hint="eastAsia"/>
        </w:rPr>
        <w:t>やその他の</w:t>
      </w:r>
      <w:r w:rsidR="00DF2FCB" w:rsidRPr="005947DB">
        <w:rPr>
          <w:rFonts w:hint="eastAsia"/>
        </w:rPr>
        <w:t>周辺化</w:t>
      </w:r>
      <w:r w:rsidR="00923AD7" w:rsidRPr="005947DB">
        <w:rPr>
          <w:rFonts w:hint="eastAsia"/>
        </w:rPr>
        <w:t>された人々</w:t>
      </w:r>
      <w:r w:rsidRPr="005947DB">
        <w:rPr>
          <w:rFonts w:hint="eastAsia"/>
        </w:rPr>
        <w:t>を支援する労働組合などの人権擁護者の活動を尊重し、保護する義務を負う。</w:t>
      </w:r>
      <w:r w:rsidRPr="005947DB">
        <w:rPr>
          <w:rFonts w:hint="eastAsia"/>
          <w:color w:val="FF0000"/>
        </w:rPr>
        <w:t>障害のある女性は、政治的参加に対して多くの環境的、態度的、その他の障壁に直面し、その結果、自分たちの生活に影響</w:t>
      </w:r>
      <w:r w:rsidR="00923AD7" w:rsidRPr="005947DB">
        <w:rPr>
          <w:rFonts w:hint="eastAsia"/>
          <w:color w:val="FF0000"/>
        </w:rPr>
        <w:t>する</w:t>
      </w:r>
      <w:r w:rsidRPr="005947DB">
        <w:rPr>
          <w:rFonts w:hint="eastAsia"/>
          <w:color w:val="FF0000"/>
        </w:rPr>
        <w:t>問題についての意思決定や</w:t>
      </w:r>
      <w:r w:rsidR="00923AD7" w:rsidRPr="005947DB">
        <w:rPr>
          <w:rFonts w:hint="eastAsia"/>
          <w:color w:val="FF0000"/>
        </w:rPr>
        <w:t>権利</w:t>
      </w:r>
      <w:r w:rsidRPr="005947DB">
        <w:rPr>
          <w:rFonts w:hint="eastAsia"/>
          <w:color w:val="FF0000"/>
        </w:rPr>
        <w:t>擁護のプロセスから</w:t>
      </w:r>
      <w:r w:rsidR="00923AD7" w:rsidRPr="005947DB">
        <w:rPr>
          <w:rFonts w:hint="eastAsia"/>
          <w:color w:val="FF0000"/>
        </w:rPr>
        <w:t>ほとんど</w:t>
      </w:r>
      <w:r w:rsidRPr="005947DB">
        <w:rPr>
          <w:rFonts w:hint="eastAsia"/>
          <w:color w:val="FF0000"/>
        </w:rPr>
        <w:t>排除されたままである</w:t>
      </w:r>
      <w:r w:rsidR="00923AD7" w:rsidRPr="005947DB">
        <w:rPr>
          <w:rStyle w:val="aa"/>
          <w:color w:val="FF0000"/>
          <w:sz w:val="24"/>
          <w:szCs w:val="24"/>
        </w:rPr>
        <w:footnoteReference w:id="12"/>
      </w:r>
      <w:r w:rsidRPr="005947DB">
        <w:rPr>
          <w:rFonts w:hint="eastAsia"/>
          <w:color w:val="FF0000"/>
        </w:rPr>
        <w:t>。</w:t>
      </w:r>
    </w:p>
    <w:p w14:paraId="04C00818" w14:textId="77777777" w:rsidR="008E4565" w:rsidRPr="005947DB" w:rsidRDefault="008E4565" w:rsidP="008E4565">
      <w:pPr>
        <w:rPr>
          <w:b/>
          <w:bCs/>
        </w:rPr>
      </w:pPr>
      <w:r w:rsidRPr="005947DB">
        <w:rPr>
          <w:rFonts w:hint="eastAsia"/>
          <w:b/>
          <w:bCs/>
        </w:rPr>
        <w:t>理由</w:t>
      </w:r>
      <w:r w:rsidRPr="005947DB">
        <w:rPr>
          <w:b/>
          <w:bCs/>
        </w:rPr>
        <w:t xml:space="preserve"> </w:t>
      </w:r>
    </w:p>
    <w:p w14:paraId="1D74BE6F" w14:textId="58F4667D" w:rsidR="00CC2BF6" w:rsidRPr="005947DB" w:rsidRDefault="00CC2BF6" w:rsidP="00E9629F">
      <w:pPr>
        <w:ind w:firstLineChars="100" w:firstLine="210"/>
      </w:pPr>
      <w:r w:rsidRPr="005947DB">
        <w:rPr>
          <w:rFonts w:hint="eastAsia"/>
        </w:rPr>
        <w:t>障害のある女性</w:t>
      </w:r>
      <w:r w:rsidR="00DF2FCB" w:rsidRPr="005947DB">
        <w:rPr>
          <w:rFonts w:hint="eastAsia"/>
        </w:rPr>
        <w:t>について</w:t>
      </w:r>
      <w:r w:rsidRPr="005947DB">
        <w:rPr>
          <w:rFonts w:hint="eastAsia"/>
        </w:rPr>
        <w:t>の労働組合の関与におけるジェンダー・アプローチを強化する。</w:t>
      </w:r>
    </w:p>
    <w:p w14:paraId="71EA9B4D" w14:textId="5054C16C" w:rsidR="00CC2BF6" w:rsidRPr="005947DB" w:rsidRDefault="00CC2BF6" w:rsidP="00CC2BF6"/>
    <w:p w14:paraId="6A688D2F" w14:textId="7F706BFD" w:rsidR="00CC2BF6" w:rsidRPr="005947DB" w:rsidRDefault="00CC2BF6" w:rsidP="00CC2BF6">
      <w:pPr>
        <w:rPr>
          <w:b/>
          <w:bCs/>
        </w:rPr>
      </w:pPr>
      <w:r w:rsidRPr="005947DB">
        <w:rPr>
          <w:b/>
          <w:bCs/>
        </w:rPr>
        <w:t>19 パラグラフ35</w:t>
      </w:r>
    </w:p>
    <w:p w14:paraId="47FD36F0" w14:textId="77777777" w:rsidR="00CC2BF6" w:rsidRPr="005947DB" w:rsidRDefault="00CC2BF6" w:rsidP="00CC2BF6">
      <w:pPr>
        <w:rPr>
          <w:b/>
          <w:bCs/>
        </w:rPr>
      </w:pPr>
      <w:r w:rsidRPr="005947DB">
        <w:rPr>
          <w:rFonts w:hint="eastAsia"/>
          <w:b/>
          <w:bCs/>
        </w:rPr>
        <w:t>現在の文言に以下を追加する。</w:t>
      </w:r>
    </w:p>
    <w:p w14:paraId="5831807C" w14:textId="3C2D48B9" w:rsidR="00CC2BF6" w:rsidRPr="005947DB" w:rsidRDefault="00CC2BF6" w:rsidP="00881C20">
      <w:pPr>
        <w:widowControl/>
        <w:spacing w:line="-360" w:lineRule="auto"/>
        <w:jc w:val="left"/>
        <w:rPr>
          <w:rFonts w:ascii="ＭＳ Ｐゴシック" w:eastAsia="ＭＳ Ｐゴシック" w:hAnsi="ＭＳ Ｐゴシック" w:cs="ＭＳ Ｐゴシック"/>
          <w:sz w:val="24"/>
          <w:szCs w:val="24"/>
        </w:rPr>
      </w:pPr>
      <w:r w:rsidRPr="005947DB">
        <w:t>35. 障害者雇用の促進には、障害者雇用</w:t>
      </w:r>
      <w:r w:rsidR="001A66C6" w:rsidRPr="005947DB">
        <w:rPr>
          <w:rFonts w:hint="eastAsia"/>
        </w:rPr>
        <w:t>を</w:t>
      </w:r>
      <w:r w:rsidRPr="005947DB">
        <w:t>促進</w:t>
      </w:r>
      <w:r w:rsidR="001A66C6" w:rsidRPr="005947DB">
        <w:rPr>
          <w:rFonts w:hint="eastAsia"/>
        </w:rPr>
        <w:t>する</w:t>
      </w:r>
      <w:r w:rsidRPr="005947DB">
        <w:t>戦略の優先順位の</w:t>
      </w:r>
      <w:r w:rsidR="001A66C6" w:rsidRPr="005947DB">
        <w:rPr>
          <w:rFonts w:hint="eastAsia"/>
        </w:rPr>
        <w:t>確定</w:t>
      </w:r>
      <w:r w:rsidRPr="005947DB">
        <w:t>、</w:t>
      </w:r>
      <w:r w:rsidR="001A66C6" w:rsidRPr="005947DB">
        <w:rPr>
          <w:rFonts w:hint="eastAsia"/>
        </w:rPr>
        <w:t>方針</w:t>
      </w:r>
      <w:r w:rsidRPr="005947DB">
        <w:t>決定、計画、実施、評価において、障害</w:t>
      </w:r>
      <w:r w:rsidR="0059227B" w:rsidRPr="005947DB">
        <w:rPr>
          <w:rFonts w:hint="eastAsia"/>
        </w:rPr>
        <w:t>のある</w:t>
      </w:r>
      <w:r w:rsidRPr="005947DB">
        <w:t>労働者の権利の保護と促進のための代表的な団体と労働組合が効果的に関与することが必要である。</w:t>
      </w:r>
      <w:r w:rsidRPr="005947DB">
        <w:rPr>
          <w:color w:val="FF0000"/>
        </w:rPr>
        <w:t>障害のある女性や少女の声は歴史的に</w:t>
      </w:r>
      <w:r w:rsidR="001A66C6" w:rsidRPr="005947DB">
        <w:rPr>
          <w:rFonts w:hint="eastAsia"/>
          <w:color w:val="FF0000"/>
        </w:rPr>
        <w:t>無視</w:t>
      </w:r>
      <w:r w:rsidRPr="005947DB">
        <w:rPr>
          <w:color w:val="FF0000"/>
        </w:rPr>
        <w:t>されてきたため、公的な意思決定において</w:t>
      </w:r>
      <w:r w:rsidR="000E2801" w:rsidRPr="005947DB">
        <w:rPr>
          <w:rFonts w:hint="eastAsia"/>
          <w:color w:val="FF0000"/>
        </w:rPr>
        <w:t>その参加は極端に少ない。パワーバランスの偏り</w:t>
      </w:r>
      <w:r w:rsidRPr="005947DB">
        <w:rPr>
          <w:color w:val="FF0000"/>
        </w:rPr>
        <w:t>と多重差別のために、彼女たちは自分たちのニーズを代弁</w:t>
      </w:r>
      <w:r w:rsidR="00DF2FCB" w:rsidRPr="005947DB">
        <w:rPr>
          <w:rFonts w:hint="eastAsia"/>
          <w:color w:val="FF0000"/>
        </w:rPr>
        <w:t>できる</w:t>
      </w:r>
      <w:r w:rsidRPr="005947DB">
        <w:rPr>
          <w:color w:val="FF0000"/>
        </w:rPr>
        <w:t>ような組織を設立したり、それに参加したりする機会が</w:t>
      </w:r>
      <w:r w:rsidR="006F2CC5" w:rsidRPr="005947DB">
        <w:rPr>
          <w:rFonts w:hint="eastAsia"/>
          <w:color w:val="FF0000"/>
        </w:rPr>
        <w:t>より一層</w:t>
      </w:r>
      <w:r w:rsidRPr="005947DB">
        <w:rPr>
          <w:color w:val="FF0000"/>
        </w:rPr>
        <w:t>少なかった</w:t>
      </w:r>
      <w:r w:rsidR="001A66C6" w:rsidRPr="005947DB">
        <w:rPr>
          <w:rStyle w:val="aa"/>
          <w:color w:val="FF0000"/>
          <w:sz w:val="24"/>
          <w:szCs w:val="24"/>
        </w:rPr>
        <w:footnoteReference w:id="13"/>
      </w:r>
      <w:r w:rsidRPr="005947DB">
        <w:rPr>
          <w:color w:val="FF0000"/>
        </w:rPr>
        <w:t>。</w:t>
      </w:r>
    </w:p>
    <w:p w14:paraId="56033F0F" w14:textId="77777777" w:rsidR="008E4565" w:rsidRPr="005947DB" w:rsidRDefault="008E4565" w:rsidP="008E4565">
      <w:pPr>
        <w:rPr>
          <w:b/>
          <w:bCs/>
        </w:rPr>
      </w:pPr>
      <w:r w:rsidRPr="005947DB">
        <w:rPr>
          <w:rFonts w:hint="eastAsia"/>
          <w:b/>
          <w:bCs/>
        </w:rPr>
        <w:t>理由</w:t>
      </w:r>
      <w:r w:rsidRPr="005947DB">
        <w:rPr>
          <w:b/>
          <w:bCs/>
        </w:rPr>
        <w:t xml:space="preserve"> </w:t>
      </w:r>
    </w:p>
    <w:p w14:paraId="6AEC44E4" w14:textId="5AC2D5DB" w:rsidR="00CC2BF6" w:rsidRPr="005947DB" w:rsidRDefault="00CC2BF6" w:rsidP="00E9629F">
      <w:pPr>
        <w:ind w:firstLineChars="100" w:firstLine="210"/>
      </w:pPr>
      <w:r w:rsidRPr="005947DB">
        <w:rPr>
          <w:rFonts w:hint="eastAsia"/>
        </w:rPr>
        <w:t>ジェンダーの観点から委員会の法理を強化する。</w:t>
      </w:r>
    </w:p>
    <w:p w14:paraId="38DA5B4B" w14:textId="77777777" w:rsidR="00E9629F" w:rsidRPr="005947DB" w:rsidRDefault="00E9629F" w:rsidP="00CC2BF6"/>
    <w:p w14:paraId="051BDE23" w14:textId="16EBCF1C" w:rsidR="00CC2BF6" w:rsidRPr="005947DB" w:rsidRDefault="00CC2BF6" w:rsidP="00CC2BF6">
      <w:pPr>
        <w:rPr>
          <w:b/>
          <w:bCs/>
        </w:rPr>
      </w:pPr>
      <w:r w:rsidRPr="005947DB">
        <w:rPr>
          <w:b/>
          <w:bCs/>
        </w:rPr>
        <w:t>20 パラグラフ41</w:t>
      </w:r>
    </w:p>
    <w:p w14:paraId="19258935" w14:textId="77777777" w:rsidR="00CC2BF6" w:rsidRPr="005947DB" w:rsidRDefault="00CC2BF6" w:rsidP="00CC2BF6">
      <w:pPr>
        <w:rPr>
          <w:b/>
          <w:bCs/>
        </w:rPr>
      </w:pPr>
      <w:r w:rsidRPr="005947DB">
        <w:rPr>
          <w:rFonts w:hint="eastAsia"/>
          <w:b/>
          <w:bCs/>
        </w:rPr>
        <w:t>現在の文言に以下を追加する。</w:t>
      </w:r>
    </w:p>
    <w:p w14:paraId="500D7B56" w14:textId="2D4ADEBC" w:rsidR="00CC2BF6" w:rsidRPr="005947DB" w:rsidRDefault="00CC2BF6" w:rsidP="00881C20">
      <w:pPr>
        <w:widowControl/>
        <w:spacing w:line="-360" w:lineRule="auto"/>
        <w:jc w:val="left"/>
        <w:rPr>
          <w:rFonts w:ascii="ＭＳ Ｐゴシック" w:eastAsia="ＭＳ Ｐゴシック" w:hAnsi="ＭＳ Ｐゴシック" w:cs="ＭＳ Ｐゴシック"/>
          <w:sz w:val="24"/>
          <w:szCs w:val="24"/>
        </w:rPr>
      </w:pPr>
      <w:r w:rsidRPr="005947DB">
        <w:lastRenderedPageBreak/>
        <w:t xml:space="preserve">41. </w:t>
      </w:r>
      <w:r w:rsidR="0059227B" w:rsidRPr="005947DB">
        <w:t>障害のある人</w:t>
      </w:r>
      <w:r w:rsidRPr="005947DB">
        <w:t>は、自由に仕事を選択する権利を</w:t>
      </w:r>
      <w:r w:rsidR="00517182" w:rsidRPr="005947DB">
        <w:rPr>
          <w:rFonts w:hint="eastAsia"/>
        </w:rPr>
        <w:t>もつ</w:t>
      </w:r>
      <w:r w:rsidRPr="005947DB">
        <w:t>。こ</w:t>
      </w:r>
      <w:r w:rsidR="001B0F24" w:rsidRPr="005947DB">
        <w:rPr>
          <w:rFonts w:hint="eastAsia"/>
        </w:rPr>
        <w:t>こ</w:t>
      </w:r>
      <w:r w:rsidRPr="005947DB">
        <w:t>には、自営業、起業、協同組合</w:t>
      </w:r>
      <w:r w:rsidR="00517182" w:rsidRPr="005947DB">
        <w:rPr>
          <w:rFonts w:hint="eastAsia"/>
        </w:rPr>
        <w:t>（コーポラティブ）</w:t>
      </w:r>
      <w:r w:rsidR="006F2CC5" w:rsidRPr="005947DB">
        <w:rPr>
          <w:rFonts w:hint="eastAsia"/>
        </w:rPr>
        <w:t>や</w:t>
      </w:r>
      <w:r w:rsidRPr="005947DB">
        <w:t>その他の自由に選択できる</w:t>
      </w:r>
      <w:r w:rsidR="006F2CC5" w:rsidRPr="005947DB">
        <w:rPr>
          <w:rFonts w:hint="eastAsia"/>
        </w:rPr>
        <w:t>形態で自分自身のビジネスや</w:t>
      </w:r>
      <w:r w:rsidRPr="005947DB">
        <w:t>労働</w:t>
      </w:r>
      <w:r w:rsidR="006F2CC5" w:rsidRPr="005947DB">
        <w:rPr>
          <w:rFonts w:hint="eastAsia"/>
        </w:rPr>
        <w:t>を始めること</w:t>
      </w:r>
      <w:r w:rsidRPr="005947DB">
        <w:t>を希望する</w:t>
      </w:r>
      <w:r w:rsidR="0059227B" w:rsidRPr="005947DB">
        <w:t>障害のある人</w:t>
      </w:r>
      <w:r w:rsidRPr="005947DB">
        <w:t>が含まれる。</w:t>
      </w:r>
      <w:r w:rsidRPr="005947DB">
        <w:rPr>
          <w:color w:val="FF0000"/>
        </w:rPr>
        <w:t>自営業を追求する障害</w:t>
      </w:r>
      <w:r w:rsidR="001C481F" w:rsidRPr="005947DB">
        <w:rPr>
          <w:rFonts w:hint="eastAsia"/>
          <w:color w:val="FF0000"/>
        </w:rPr>
        <w:t>のある</w:t>
      </w:r>
      <w:r w:rsidRPr="005947DB">
        <w:rPr>
          <w:color w:val="FF0000"/>
        </w:rPr>
        <w:t>女性にとって、</w:t>
      </w:r>
      <w:r w:rsidR="00003072" w:rsidRPr="005947DB">
        <w:rPr>
          <w:rFonts w:hint="eastAsia"/>
          <w:color w:val="FF0000"/>
        </w:rPr>
        <w:t>融資その</w:t>
      </w:r>
      <w:r w:rsidRPr="005947DB">
        <w:rPr>
          <w:color w:val="FF0000"/>
        </w:rPr>
        <w:t>他の生産的資源へのアクセスの欠如は共通の課題として残っている</w:t>
      </w:r>
      <w:r w:rsidR="00003072" w:rsidRPr="005947DB">
        <w:rPr>
          <w:color w:val="FF0000"/>
          <w:sz w:val="24"/>
          <w:szCs w:val="24"/>
          <w:vertAlign w:val="superscript"/>
        </w:rPr>
        <w:footnoteReference w:id="14"/>
      </w:r>
      <w:r w:rsidRPr="005947DB">
        <w:rPr>
          <w:color w:val="FF0000"/>
        </w:rPr>
        <w:t xml:space="preserve">。 </w:t>
      </w:r>
      <w:r w:rsidRPr="005947DB">
        <w:t>締約国は、インフォーマル経済における</w:t>
      </w:r>
      <w:r w:rsidR="0059227B" w:rsidRPr="005947DB">
        <w:t>障害のある人</w:t>
      </w:r>
      <w:r w:rsidRPr="005947DB">
        <w:t>を保護・支援し、彼らのフォーマル経済への移行を促進・加速し、フォーマル経済における仕事がインフォーマルになることを防ぐために、的を絞った措置を講じるべきである。</w:t>
      </w:r>
    </w:p>
    <w:p w14:paraId="55970115" w14:textId="77777777" w:rsidR="008E4565" w:rsidRPr="005947DB" w:rsidRDefault="008E4565" w:rsidP="008E4565">
      <w:pPr>
        <w:rPr>
          <w:b/>
          <w:bCs/>
        </w:rPr>
      </w:pPr>
      <w:r w:rsidRPr="005947DB">
        <w:rPr>
          <w:rFonts w:hint="eastAsia"/>
          <w:b/>
          <w:bCs/>
        </w:rPr>
        <w:t>理由</w:t>
      </w:r>
      <w:r w:rsidRPr="005947DB">
        <w:rPr>
          <w:b/>
          <w:bCs/>
        </w:rPr>
        <w:t xml:space="preserve"> </w:t>
      </w:r>
    </w:p>
    <w:p w14:paraId="5B93D401" w14:textId="77777777" w:rsidR="00CC2BF6" w:rsidRPr="005947DB" w:rsidRDefault="00CC2BF6" w:rsidP="00E9629F">
      <w:pPr>
        <w:ind w:firstLineChars="100" w:firstLine="210"/>
      </w:pPr>
      <w:r w:rsidRPr="005947DB">
        <w:rPr>
          <w:rFonts w:hint="eastAsia"/>
        </w:rPr>
        <w:t>一般的意見におけるジェンダーの視点を補強する。</w:t>
      </w:r>
    </w:p>
    <w:p w14:paraId="419925A9" w14:textId="77777777" w:rsidR="00E9629F" w:rsidRPr="005947DB" w:rsidRDefault="00E9629F" w:rsidP="00CC2BF6"/>
    <w:p w14:paraId="513903E7" w14:textId="52A6B25C" w:rsidR="00CC2BF6" w:rsidRPr="005947DB" w:rsidRDefault="00CC2BF6" w:rsidP="00CC2BF6">
      <w:pPr>
        <w:rPr>
          <w:b/>
          <w:bCs/>
        </w:rPr>
      </w:pPr>
      <w:r w:rsidRPr="005947DB">
        <w:rPr>
          <w:b/>
          <w:bCs/>
        </w:rPr>
        <w:t>21 パラグラフ45の後</w:t>
      </w:r>
      <w:r w:rsidR="00003072" w:rsidRPr="005947DB">
        <w:rPr>
          <w:rFonts w:hint="eastAsia"/>
          <w:b/>
          <w:bCs/>
        </w:rPr>
        <w:t>に</w:t>
      </w:r>
      <w:r w:rsidRPr="005947DB">
        <w:rPr>
          <w:b/>
          <w:bCs/>
        </w:rPr>
        <w:t>新しいパラグラフ</w:t>
      </w:r>
      <w:r w:rsidR="00003072" w:rsidRPr="005947DB">
        <w:rPr>
          <w:rFonts w:hint="eastAsia"/>
          <w:b/>
          <w:bCs/>
        </w:rPr>
        <w:t>を追加</w:t>
      </w:r>
    </w:p>
    <w:p w14:paraId="13579115" w14:textId="77777777" w:rsidR="00CC2BF6" w:rsidRPr="005947DB" w:rsidRDefault="00CC2BF6" w:rsidP="00CC2BF6">
      <w:pPr>
        <w:rPr>
          <w:b/>
          <w:bCs/>
        </w:rPr>
      </w:pPr>
      <w:r w:rsidRPr="005947DB">
        <w:rPr>
          <w:rFonts w:hint="eastAsia"/>
          <w:b/>
          <w:bCs/>
        </w:rPr>
        <w:t>次の新しいパラグラフを追加する。</w:t>
      </w:r>
    </w:p>
    <w:p w14:paraId="21659624" w14:textId="11668A52" w:rsidR="00CC2BF6" w:rsidRPr="005947DB" w:rsidRDefault="00CC2BF6" w:rsidP="004D49AB">
      <w:pPr>
        <w:widowControl/>
        <w:spacing w:line="-360" w:lineRule="auto"/>
        <w:ind w:firstLineChars="100" w:firstLine="210"/>
        <w:jc w:val="left"/>
        <w:rPr>
          <w:rFonts w:ascii="ＭＳ Ｐゴシック" w:eastAsia="ＭＳ Ｐゴシック" w:hAnsi="ＭＳ Ｐゴシック" w:cs="ＭＳ Ｐゴシック"/>
          <w:sz w:val="24"/>
          <w:szCs w:val="24"/>
        </w:rPr>
      </w:pPr>
      <w:r w:rsidRPr="005947DB">
        <w:rPr>
          <w:rFonts w:hint="eastAsia"/>
          <w:color w:val="FF0000"/>
        </w:rPr>
        <w:t>障害のある女性および少女の多くは、一般的に金銭的収入を伴わない家事活動に従事しており、したがって、貧困の中で生活するリスクがかなり高い。このような家庭内への</w:t>
      </w:r>
      <w:r w:rsidR="001277B1" w:rsidRPr="005947DB">
        <w:rPr>
          <w:rFonts w:hint="eastAsia"/>
          <w:color w:val="FF0000"/>
        </w:rPr>
        <w:t>押し込み</w:t>
      </w:r>
      <w:r w:rsidRPr="005947DB">
        <w:rPr>
          <w:rFonts w:hint="eastAsia"/>
          <w:color w:val="FF0000"/>
        </w:rPr>
        <w:t>は、しばしば障害に関連するスティグマと結びついている</w:t>
      </w:r>
      <w:r w:rsidR="001277B1" w:rsidRPr="005947DB">
        <w:rPr>
          <w:color w:val="FF0000"/>
          <w:sz w:val="24"/>
          <w:szCs w:val="24"/>
          <w:vertAlign w:val="superscript"/>
        </w:rPr>
        <w:footnoteReference w:id="15"/>
      </w:r>
      <w:r w:rsidRPr="005947DB">
        <w:rPr>
          <w:rFonts w:hint="eastAsia"/>
          <w:color w:val="FF0000"/>
        </w:rPr>
        <w:t>。</w:t>
      </w:r>
      <w:r w:rsidR="00F64C56" w:rsidRPr="005947DB">
        <w:rPr>
          <w:color w:val="FF0000"/>
        </w:rPr>
        <w:t>締約国は、</w:t>
      </w:r>
      <w:r w:rsidRPr="005947DB">
        <w:rPr>
          <w:color w:val="FF0000"/>
        </w:rPr>
        <w:t>2011年のILO家事労働者条約（189号）に沿って、障害のあるなしにかかわらず女性の責任</w:t>
      </w:r>
      <w:r w:rsidR="00F64C56" w:rsidRPr="005947DB">
        <w:rPr>
          <w:rFonts w:hint="eastAsia"/>
          <w:color w:val="FF0000"/>
        </w:rPr>
        <w:t>とされることが多い</w:t>
      </w:r>
      <w:r w:rsidRPr="005947DB">
        <w:rPr>
          <w:color w:val="FF0000"/>
        </w:rPr>
        <w:t>介護業務が、介護者と介護を受ける人の</w:t>
      </w:r>
      <w:r w:rsidR="00D1084B" w:rsidRPr="005947DB">
        <w:rPr>
          <w:rFonts w:hint="eastAsia"/>
          <w:color w:val="FF0000"/>
        </w:rPr>
        <w:t>権利を承認している</w:t>
      </w:r>
      <w:r w:rsidRPr="005947DB">
        <w:rPr>
          <w:color w:val="FF0000"/>
        </w:rPr>
        <w:t>人権の枠組みに</w:t>
      </w:r>
      <w:r w:rsidR="00D1084B" w:rsidRPr="005947DB">
        <w:t>雇用</w:t>
      </w:r>
      <w:r w:rsidR="00D1084B" w:rsidRPr="005947DB">
        <w:rPr>
          <w:rFonts w:hint="eastAsia"/>
        </w:rPr>
        <w:t>の権利</w:t>
      </w:r>
      <w:r w:rsidR="00D1084B" w:rsidRPr="005947DB">
        <w:t>を含</w:t>
      </w:r>
      <w:r w:rsidR="00D1084B" w:rsidRPr="005947DB">
        <w:rPr>
          <w:rFonts w:hint="eastAsia"/>
        </w:rPr>
        <w:t>みながら</w:t>
      </w:r>
      <w:r w:rsidRPr="005947DB">
        <w:rPr>
          <w:color w:val="FF0000"/>
        </w:rPr>
        <w:t>組み込まれる</w:t>
      </w:r>
      <w:r w:rsidR="00F64C56" w:rsidRPr="005947DB">
        <w:rPr>
          <w:rFonts w:hint="eastAsia"/>
          <w:color w:val="FF0000"/>
        </w:rPr>
        <w:t>ように</w:t>
      </w:r>
      <w:r w:rsidRPr="005947DB">
        <w:rPr>
          <w:color w:val="FF0000"/>
        </w:rPr>
        <w:t>しなければならない</w:t>
      </w:r>
      <w:r w:rsidR="00F64C56" w:rsidRPr="005947DB">
        <w:rPr>
          <w:color w:val="FF0000"/>
          <w:sz w:val="24"/>
          <w:szCs w:val="24"/>
          <w:vertAlign w:val="superscript"/>
        </w:rPr>
        <w:footnoteReference w:id="16"/>
      </w:r>
      <w:r w:rsidRPr="005947DB">
        <w:rPr>
          <w:color w:val="FF0000"/>
        </w:rPr>
        <w:t>。</w:t>
      </w:r>
    </w:p>
    <w:p w14:paraId="1D116C48" w14:textId="77777777" w:rsidR="008E4565" w:rsidRPr="005947DB" w:rsidRDefault="008E4565" w:rsidP="008E4565">
      <w:pPr>
        <w:rPr>
          <w:b/>
          <w:bCs/>
        </w:rPr>
      </w:pPr>
      <w:r w:rsidRPr="005947DB">
        <w:rPr>
          <w:rFonts w:hint="eastAsia"/>
          <w:b/>
          <w:bCs/>
        </w:rPr>
        <w:t>理由</w:t>
      </w:r>
      <w:r w:rsidRPr="005947DB">
        <w:rPr>
          <w:b/>
          <w:bCs/>
        </w:rPr>
        <w:t xml:space="preserve"> </w:t>
      </w:r>
    </w:p>
    <w:p w14:paraId="468E4BAD" w14:textId="1D4C4B63" w:rsidR="00CC2BF6" w:rsidRPr="005947DB" w:rsidRDefault="00CC2BF6" w:rsidP="00E9629F">
      <w:pPr>
        <w:ind w:firstLineChars="100" w:firstLine="210"/>
      </w:pPr>
      <w:r w:rsidRPr="005947DB">
        <w:rPr>
          <w:rFonts w:hint="eastAsia"/>
        </w:rPr>
        <w:t>障害</w:t>
      </w:r>
      <w:r w:rsidR="001C481F" w:rsidRPr="005947DB">
        <w:rPr>
          <w:rFonts w:hint="eastAsia"/>
        </w:rPr>
        <w:t>のある</w:t>
      </w:r>
      <w:r w:rsidRPr="005947DB">
        <w:rPr>
          <w:rFonts w:hint="eastAsia"/>
        </w:rPr>
        <w:t>女性および</w:t>
      </w:r>
      <w:r w:rsidR="0059227B" w:rsidRPr="005947DB">
        <w:rPr>
          <w:rFonts w:hint="eastAsia"/>
        </w:rPr>
        <w:t>障害のある人</w:t>
      </w:r>
      <w:r w:rsidRPr="005947DB">
        <w:rPr>
          <w:rFonts w:hint="eastAsia"/>
        </w:rPr>
        <w:t>の女性親族が行うケアに関して、インフォーマルな労働を</w:t>
      </w:r>
      <w:r w:rsidR="00F64C56" w:rsidRPr="005947DB">
        <w:rPr>
          <w:rFonts w:hint="eastAsia"/>
        </w:rPr>
        <w:t>経済領域に</w:t>
      </w:r>
      <w:r w:rsidRPr="005947DB">
        <w:rPr>
          <w:rFonts w:hint="eastAsia"/>
        </w:rPr>
        <w:t>含める。</w:t>
      </w:r>
    </w:p>
    <w:p w14:paraId="4CC73146" w14:textId="77777777" w:rsidR="00E9629F" w:rsidRPr="005947DB" w:rsidRDefault="00E9629F" w:rsidP="00CC2BF6"/>
    <w:p w14:paraId="5BF9FD85" w14:textId="6FBCF7D5" w:rsidR="00CC2BF6" w:rsidRPr="005947DB" w:rsidRDefault="00CC2BF6" w:rsidP="00CC2BF6">
      <w:pPr>
        <w:rPr>
          <w:b/>
          <w:bCs/>
        </w:rPr>
      </w:pPr>
      <w:r w:rsidRPr="005947DB">
        <w:rPr>
          <w:b/>
          <w:bCs/>
        </w:rPr>
        <w:t>22 パラグラフ48</w:t>
      </w:r>
    </w:p>
    <w:p w14:paraId="207FB0B5" w14:textId="77777777" w:rsidR="00CC2BF6" w:rsidRPr="005947DB" w:rsidRDefault="00CC2BF6" w:rsidP="00CC2BF6">
      <w:pPr>
        <w:rPr>
          <w:b/>
          <w:bCs/>
        </w:rPr>
      </w:pPr>
      <w:r w:rsidRPr="005947DB">
        <w:rPr>
          <w:rFonts w:hint="eastAsia"/>
          <w:b/>
          <w:bCs/>
        </w:rPr>
        <w:t>現在の文言に以下を追加する。</w:t>
      </w:r>
    </w:p>
    <w:p w14:paraId="5DAADDFA" w14:textId="11F6FF9D" w:rsidR="00CC2BF6" w:rsidRPr="005947DB" w:rsidRDefault="00CC2BF6" w:rsidP="00CC2BF6">
      <w:r w:rsidRPr="005947DB">
        <w:t>48. 締約国は、アファーマティブ・アクション</w:t>
      </w:r>
      <w:r w:rsidR="00C468B5" w:rsidRPr="005947DB">
        <w:rPr>
          <w:rFonts w:hint="eastAsia"/>
        </w:rPr>
        <w:t>（積極的差別是正措置）</w:t>
      </w:r>
      <w:r w:rsidRPr="005947DB">
        <w:t>を設計する際には、</w:t>
      </w:r>
      <w:r w:rsidRPr="005947DB">
        <w:rPr>
          <w:color w:val="FF0000"/>
        </w:rPr>
        <w:t>障害</w:t>
      </w:r>
      <w:r w:rsidR="001C481F" w:rsidRPr="005947DB">
        <w:rPr>
          <w:rFonts w:hint="eastAsia"/>
          <w:color w:val="FF0000"/>
        </w:rPr>
        <w:t>のある</w:t>
      </w:r>
      <w:r w:rsidRPr="005947DB">
        <w:rPr>
          <w:color w:val="FF0000"/>
        </w:rPr>
        <w:t>女性の組織を含む</w:t>
      </w:r>
      <w:r w:rsidR="0059227B" w:rsidRPr="005947DB">
        <w:t>障害のある人</w:t>
      </w:r>
      <w:r w:rsidR="00CA307E" w:rsidRPr="005947DB">
        <w:rPr>
          <w:rFonts w:hint="eastAsia"/>
        </w:rPr>
        <w:t>を</w:t>
      </w:r>
      <w:r w:rsidRPr="005947DB">
        <w:t>代表</w:t>
      </w:r>
      <w:r w:rsidR="00CA307E" w:rsidRPr="005947DB">
        <w:rPr>
          <w:rFonts w:hint="eastAsia"/>
        </w:rPr>
        <w:t>する</w:t>
      </w:r>
      <w:r w:rsidRPr="005947DB">
        <w:t>組織と緊密に協議を行うべきである。民間部門における</w:t>
      </w:r>
      <w:r w:rsidR="00C468B5" w:rsidRPr="005947DB">
        <w:rPr>
          <w:rFonts w:hint="eastAsia"/>
        </w:rPr>
        <w:t>積極的差別是正措置</w:t>
      </w:r>
      <w:r w:rsidRPr="005947DB">
        <w:t>は、締約国が</w:t>
      </w:r>
      <w:r w:rsidR="0059227B" w:rsidRPr="005947DB">
        <w:t>障害のある人</w:t>
      </w:r>
      <w:r w:rsidRPr="005947DB">
        <w:t>の雇用を促進するための全体的なアプローチの一部を構成する場合に、最も効果的となる。</w:t>
      </w:r>
    </w:p>
    <w:p w14:paraId="4073BDFA" w14:textId="77777777" w:rsidR="008E4565" w:rsidRPr="005947DB" w:rsidRDefault="008E4565" w:rsidP="008E4565">
      <w:pPr>
        <w:rPr>
          <w:b/>
          <w:bCs/>
        </w:rPr>
      </w:pPr>
      <w:r w:rsidRPr="005947DB">
        <w:rPr>
          <w:rFonts w:hint="eastAsia"/>
          <w:b/>
          <w:bCs/>
        </w:rPr>
        <w:lastRenderedPageBreak/>
        <w:t>理由</w:t>
      </w:r>
      <w:r w:rsidRPr="005947DB">
        <w:rPr>
          <w:b/>
          <w:bCs/>
        </w:rPr>
        <w:t xml:space="preserve"> </w:t>
      </w:r>
    </w:p>
    <w:p w14:paraId="0B41102B" w14:textId="5A114374" w:rsidR="00CC2BF6" w:rsidRPr="005947DB" w:rsidRDefault="00CC2BF6" w:rsidP="00E9629F">
      <w:pPr>
        <w:ind w:firstLineChars="100" w:firstLine="210"/>
      </w:pPr>
      <w:r w:rsidRPr="005947DB">
        <w:rPr>
          <w:rFonts w:hint="eastAsia"/>
        </w:rPr>
        <w:t>女性障害者</w:t>
      </w:r>
      <w:r w:rsidR="00CA307E" w:rsidRPr="005947DB">
        <w:rPr>
          <w:rFonts w:hint="eastAsia"/>
        </w:rPr>
        <w:t>の</w:t>
      </w:r>
      <w:r w:rsidRPr="005947DB">
        <w:rPr>
          <w:rFonts w:hint="eastAsia"/>
        </w:rPr>
        <w:t>団体が意思決定プロセスや政治参加にほとんど関与していないという事実を踏まえ、女性障害者</w:t>
      </w:r>
      <w:r w:rsidR="00CA307E" w:rsidRPr="005947DB">
        <w:rPr>
          <w:rFonts w:hint="eastAsia"/>
        </w:rPr>
        <w:t>の</w:t>
      </w:r>
      <w:r w:rsidRPr="005947DB">
        <w:rPr>
          <w:rFonts w:hint="eastAsia"/>
        </w:rPr>
        <w:t>団体と協議する必要性を強調する。</w:t>
      </w:r>
    </w:p>
    <w:p w14:paraId="5089D72D" w14:textId="77777777" w:rsidR="00E9629F" w:rsidRPr="005947DB" w:rsidRDefault="00E9629F" w:rsidP="00CC2BF6"/>
    <w:p w14:paraId="5A15FC4A" w14:textId="12ED4B6E" w:rsidR="00CC2BF6" w:rsidRPr="005947DB" w:rsidRDefault="00CC2BF6" w:rsidP="00CC2BF6">
      <w:pPr>
        <w:rPr>
          <w:b/>
          <w:bCs/>
        </w:rPr>
      </w:pPr>
      <w:r w:rsidRPr="005947DB">
        <w:rPr>
          <w:b/>
          <w:bCs/>
        </w:rPr>
        <w:t>23 パラグラフ53</w:t>
      </w:r>
    </w:p>
    <w:p w14:paraId="187C8557" w14:textId="77777777" w:rsidR="00CC2BF6" w:rsidRPr="005947DB" w:rsidRDefault="00CC2BF6" w:rsidP="00CC2BF6">
      <w:pPr>
        <w:rPr>
          <w:b/>
          <w:bCs/>
        </w:rPr>
      </w:pPr>
      <w:r w:rsidRPr="005947DB">
        <w:rPr>
          <w:rFonts w:hint="eastAsia"/>
          <w:b/>
          <w:bCs/>
        </w:rPr>
        <w:t>現在の文言に以下を追加する。</w:t>
      </w:r>
    </w:p>
    <w:p w14:paraId="7C142801" w14:textId="18FD0E6C" w:rsidR="00CC2BF6" w:rsidRPr="005947DB" w:rsidRDefault="00CC2BF6" w:rsidP="00CC2BF6">
      <w:r w:rsidRPr="005947DB">
        <w:t>53. [</w:t>
      </w:r>
      <w:r w:rsidR="00CA307E" w:rsidRPr="005947DB">
        <w:t>…</w:t>
      </w:r>
      <w:r w:rsidR="00CA307E" w:rsidRPr="005947DB">
        <w:rPr>
          <w:rFonts w:hint="eastAsia"/>
        </w:rPr>
        <w:t xml:space="preserve">]　</w:t>
      </w:r>
      <w:r w:rsidRPr="005947DB">
        <w:t>締約国は、</w:t>
      </w:r>
      <w:r w:rsidR="0059227B" w:rsidRPr="005947DB">
        <w:t>障害のある人</w:t>
      </w:r>
      <w:r w:rsidRPr="005947DB">
        <w:t>が新たな</w:t>
      </w:r>
      <w:r w:rsidR="00CA307E" w:rsidRPr="005947DB">
        <w:rPr>
          <w:rFonts w:hint="eastAsia"/>
        </w:rPr>
        <w:t>機能</w:t>
      </w:r>
      <w:r w:rsidRPr="005947DB">
        <w:t>障害を負った後、あるいは既存の</w:t>
      </w:r>
      <w:r w:rsidR="00CA307E" w:rsidRPr="005947DB">
        <w:rPr>
          <w:rFonts w:hint="eastAsia"/>
        </w:rPr>
        <w:t>機能</w:t>
      </w:r>
      <w:r w:rsidRPr="005947DB">
        <w:t>障害を悪化させた後、</w:t>
      </w:r>
      <w:r w:rsidRPr="005947DB">
        <w:rPr>
          <w:color w:val="FF0000"/>
        </w:rPr>
        <w:t>あるいは育児休暇の後に仕事に復帰する際に、</w:t>
      </w:r>
      <w:r w:rsidRPr="005947DB">
        <w:t>仕事を継続したり新しい役割に移行するための支援が受けられることを確保する必要がある。</w:t>
      </w:r>
    </w:p>
    <w:p w14:paraId="334C0606" w14:textId="77777777" w:rsidR="008E4565" w:rsidRPr="005947DB" w:rsidRDefault="008E4565" w:rsidP="008E4565">
      <w:pPr>
        <w:rPr>
          <w:b/>
          <w:bCs/>
        </w:rPr>
      </w:pPr>
      <w:r w:rsidRPr="005947DB">
        <w:rPr>
          <w:rFonts w:hint="eastAsia"/>
          <w:b/>
          <w:bCs/>
        </w:rPr>
        <w:t>理由</w:t>
      </w:r>
      <w:r w:rsidRPr="005947DB">
        <w:rPr>
          <w:b/>
          <w:bCs/>
        </w:rPr>
        <w:t xml:space="preserve"> </w:t>
      </w:r>
    </w:p>
    <w:p w14:paraId="5E8D2E2A" w14:textId="36A08B74" w:rsidR="00CC2BF6" w:rsidRPr="005947DB" w:rsidRDefault="00CC2BF6" w:rsidP="00E9629F">
      <w:pPr>
        <w:ind w:firstLineChars="100" w:firstLine="210"/>
      </w:pPr>
      <w:r w:rsidRPr="005947DB">
        <w:t>CEDAW第11条に沿った締約国の義務を強調する。</w:t>
      </w:r>
    </w:p>
    <w:p w14:paraId="38E15684" w14:textId="37C0D826" w:rsidR="00CC2BF6" w:rsidRPr="005947DB" w:rsidRDefault="00CC2BF6" w:rsidP="00CC2BF6"/>
    <w:p w14:paraId="08E45F5E" w14:textId="088CB32F" w:rsidR="00CC2BF6" w:rsidRPr="005947DB" w:rsidRDefault="00CC2BF6" w:rsidP="00CC2BF6">
      <w:pPr>
        <w:rPr>
          <w:b/>
          <w:bCs/>
        </w:rPr>
      </w:pPr>
      <w:r w:rsidRPr="005947DB">
        <w:rPr>
          <w:b/>
          <w:bCs/>
        </w:rPr>
        <w:t xml:space="preserve">24 </w:t>
      </w:r>
      <w:r w:rsidR="002F2A86" w:rsidRPr="005947DB">
        <w:rPr>
          <w:b/>
          <w:bCs/>
        </w:rPr>
        <w:t>パラグラフ</w:t>
      </w:r>
      <w:r w:rsidRPr="005947DB">
        <w:rPr>
          <w:b/>
          <w:bCs/>
        </w:rPr>
        <w:t>56の後に新たな</w:t>
      </w:r>
      <w:r w:rsidR="00D57E90" w:rsidRPr="005947DB">
        <w:rPr>
          <w:b/>
          <w:bCs/>
        </w:rPr>
        <w:t>パラグラフ</w:t>
      </w:r>
      <w:r w:rsidRPr="005947DB">
        <w:rPr>
          <w:b/>
          <w:bCs/>
        </w:rPr>
        <w:t>を設ける。</w:t>
      </w:r>
    </w:p>
    <w:p w14:paraId="3C2B588A" w14:textId="77777777" w:rsidR="00CC2BF6" w:rsidRPr="005947DB" w:rsidRDefault="00CC2BF6" w:rsidP="00CC2BF6">
      <w:pPr>
        <w:rPr>
          <w:b/>
          <w:bCs/>
        </w:rPr>
      </w:pPr>
      <w:r w:rsidRPr="005947DB">
        <w:rPr>
          <w:rFonts w:hint="eastAsia"/>
          <w:b/>
          <w:bCs/>
        </w:rPr>
        <w:t>次の新しいパラグラフを追加する。</w:t>
      </w:r>
    </w:p>
    <w:p w14:paraId="65F0733B" w14:textId="7E874991" w:rsidR="00CC2BF6" w:rsidRPr="005947DB" w:rsidRDefault="00CC2BF6" w:rsidP="004D49AB">
      <w:pPr>
        <w:widowControl/>
        <w:spacing w:line="-360" w:lineRule="auto"/>
        <w:ind w:firstLineChars="100" w:firstLine="210"/>
        <w:jc w:val="left"/>
        <w:rPr>
          <w:rFonts w:ascii="ＭＳ Ｐゴシック" w:eastAsia="ＭＳ Ｐゴシック" w:hAnsi="ＭＳ Ｐゴシック" w:cs="ＭＳ Ｐゴシック"/>
          <w:sz w:val="24"/>
          <w:szCs w:val="24"/>
        </w:rPr>
      </w:pPr>
      <w:r w:rsidRPr="005947DB">
        <w:rPr>
          <w:rFonts w:hint="eastAsia"/>
          <w:color w:val="FF0000"/>
        </w:rPr>
        <w:t>障害のある女性および少女は、人身</w:t>
      </w:r>
      <w:r w:rsidR="00101E5F" w:rsidRPr="005947DB">
        <w:rPr>
          <w:rFonts w:hint="eastAsia"/>
          <w:color w:val="FF0000"/>
        </w:rPr>
        <w:t>取引</w:t>
      </w:r>
      <w:r w:rsidRPr="005947DB">
        <w:rPr>
          <w:rFonts w:hint="eastAsia"/>
          <w:color w:val="FF0000"/>
        </w:rPr>
        <w:t>や性的搾取の被害者になる可能性が特に高く、その人生経験は深刻な権利剥奪によって特徴づけられる。さらに、彼女たちはしばしば社会的、政治的、経済的</w:t>
      </w:r>
      <w:r w:rsidR="00D1084B" w:rsidRPr="005947DB">
        <w:rPr>
          <w:rFonts w:hint="eastAsia"/>
          <w:color w:val="FF0000"/>
        </w:rPr>
        <w:t>排除</w:t>
      </w:r>
      <w:r w:rsidRPr="005947DB">
        <w:rPr>
          <w:rFonts w:hint="eastAsia"/>
          <w:color w:val="FF0000"/>
        </w:rPr>
        <w:t>を経験し、その結果、貧困、無学または低学歴、無登録または未登録、失業または不完全雇用に陥りやすく、家事と育児の責任を担い、国の給付、保護、サービスへのアクセスが制限され、家庭環境における親密なパートナー</w:t>
      </w:r>
      <w:r w:rsidR="00D66C27" w:rsidRPr="005947DB">
        <w:rPr>
          <w:rFonts w:hint="eastAsia"/>
          <w:color w:val="FF0000"/>
        </w:rPr>
        <w:t>やその他の人による</w:t>
      </w:r>
      <w:r w:rsidR="00D1084B" w:rsidRPr="005947DB">
        <w:rPr>
          <w:rFonts w:hint="eastAsia"/>
          <w:color w:val="FF0000"/>
        </w:rPr>
        <w:t>家庭内での暴力（</w:t>
      </w:r>
      <w:r w:rsidRPr="005947DB">
        <w:rPr>
          <w:color w:val="FF0000"/>
        </w:rPr>
        <w:t>DV</w:t>
      </w:r>
      <w:r w:rsidR="00D1084B" w:rsidRPr="005947DB">
        <w:rPr>
          <w:rFonts w:hint="eastAsia"/>
          <w:color w:val="FF0000"/>
        </w:rPr>
        <w:t>）</w:t>
      </w:r>
      <w:r w:rsidRPr="005947DB">
        <w:rPr>
          <w:color w:val="FF0000"/>
        </w:rPr>
        <w:t>、虐待、無視を経験し、介護施設に入り、児童結婚、強制結婚、奴隷</w:t>
      </w:r>
      <w:r w:rsidR="00D66C27" w:rsidRPr="005947DB">
        <w:rPr>
          <w:rFonts w:hint="eastAsia"/>
          <w:color w:val="FF0000"/>
        </w:rPr>
        <w:t>的な</w:t>
      </w:r>
      <w:r w:rsidRPr="005947DB">
        <w:rPr>
          <w:color w:val="FF0000"/>
        </w:rPr>
        <w:t>結婚</w:t>
      </w:r>
      <w:r w:rsidR="00D66C27" w:rsidRPr="005947DB">
        <w:rPr>
          <w:rFonts w:hint="eastAsia"/>
          <w:color w:val="FF0000"/>
        </w:rPr>
        <w:t>の対象となり</w:t>
      </w:r>
      <w:r w:rsidRPr="005947DB">
        <w:rPr>
          <w:color w:val="FF0000"/>
        </w:rPr>
        <w:t>、未亡人</w:t>
      </w:r>
      <w:r w:rsidR="00FE5A84" w:rsidRPr="005947DB">
        <w:rPr>
          <w:rFonts w:hint="eastAsia"/>
          <w:color w:val="FF0000"/>
        </w:rPr>
        <w:t>であること</w:t>
      </w:r>
      <w:r w:rsidRPr="005947DB">
        <w:rPr>
          <w:color w:val="FF0000"/>
        </w:rPr>
        <w:t>による収奪にさらされやすくなってしまう。こう</w:t>
      </w:r>
      <w:r w:rsidRPr="005947DB">
        <w:rPr>
          <w:rFonts w:hint="eastAsia"/>
          <w:color w:val="FF0000"/>
        </w:rPr>
        <w:t>した状況は、性的搾取を含む人身</w:t>
      </w:r>
      <w:r w:rsidR="006946BD" w:rsidRPr="005947DB">
        <w:rPr>
          <w:rFonts w:hint="eastAsia"/>
          <w:color w:val="FF0000"/>
        </w:rPr>
        <w:t>取引</w:t>
      </w:r>
      <w:r w:rsidRPr="005947DB">
        <w:rPr>
          <w:rFonts w:hint="eastAsia"/>
          <w:color w:val="FF0000"/>
        </w:rPr>
        <w:t>の結果である</w:t>
      </w:r>
      <w:r w:rsidR="006946BD" w:rsidRPr="005947DB">
        <w:rPr>
          <w:rFonts w:hint="eastAsia"/>
          <w:color w:val="FF0000"/>
        </w:rPr>
        <w:t>機能</w:t>
      </w:r>
      <w:r w:rsidRPr="005947DB">
        <w:rPr>
          <w:rFonts w:hint="eastAsia"/>
          <w:color w:val="FF0000"/>
        </w:rPr>
        <w:t>障害や重病という追加的な負担によって悪化する可能性があ</w:t>
      </w:r>
      <w:r w:rsidR="00FC36A9" w:rsidRPr="005947DB">
        <w:rPr>
          <w:rFonts w:hint="eastAsia"/>
          <w:color w:val="FF0000"/>
        </w:rPr>
        <w:t>る</w:t>
      </w:r>
      <w:r w:rsidR="006946BD" w:rsidRPr="005947DB">
        <w:rPr>
          <w:color w:val="FF0000"/>
          <w:sz w:val="24"/>
          <w:szCs w:val="24"/>
          <w:vertAlign w:val="superscript"/>
        </w:rPr>
        <w:footnoteReference w:id="17"/>
      </w:r>
      <w:r w:rsidRPr="005947DB">
        <w:rPr>
          <w:rFonts w:hint="eastAsia"/>
          <w:color w:val="FF0000"/>
        </w:rPr>
        <w:t>。</w:t>
      </w:r>
    </w:p>
    <w:p w14:paraId="068FE4BB" w14:textId="77777777" w:rsidR="008E4565" w:rsidRPr="005947DB" w:rsidRDefault="008E4565" w:rsidP="008E4565">
      <w:pPr>
        <w:rPr>
          <w:b/>
          <w:bCs/>
        </w:rPr>
      </w:pPr>
      <w:r w:rsidRPr="005947DB">
        <w:rPr>
          <w:rFonts w:hint="eastAsia"/>
          <w:b/>
          <w:bCs/>
        </w:rPr>
        <w:t>理由</w:t>
      </w:r>
      <w:r w:rsidRPr="005947DB">
        <w:rPr>
          <w:b/>
          <w:bCs/>
        </w:rPr>
        <w:t xml:space="preserve"> </w:t>
      </w:r>
    </w:p>
    <w:p w14:paraId="0B288AF8" w14:textId="24CCFBF3" w:rsidR="00CC2BF6" w:rsidRPr="005947DB" w:rsidRDefault="00CC2BF6" w:rsidP="00E9629F">
      <w:pPr>
        <w:ind w:firstLineChars="100" w:firstLine="210"/>
      </w:pPr>
      <w:r w:rsidRPr="005947DB">
        <w:rPr>
          <w:rFonts w:hint="eastAsia"/>
        </w:rPr>
        <w:t>人身</w:t>
      </w:r>
      <w:r w:rsidR="006946BD" w:rsidRPr="005947DB">
        <w:rPr>
          <w:rFonts w:hint="eastAsia"/>
        </w:rPr>
        <w:t>取引</w:t>
      </w:r>
      <w:r w:rsidRPr="005947DB">
        <w:rPr>
          <w:rFonts w:hint="eastAsia"/>
        </w:rPr>
        <w:t>と性的搾取を、障害のある女性が特に陥りやすい搾取の加重形態として含める。</w:t>
      </w:r>
    </w:p>
    <w:p w14:paraId="44D651AB" w14:textId="77777777" w:rsidR="00E9629F" w:rsidRPr="005947DB" w:rsidRDefault="00E9629F" w:rsidP="00CC2BF6">
      <w:pPr>
        <w:rPr>
          <w:b/>
          <w:bCs/>
        </w:rPr>
      </w:pPr>
    </w:p>
    <w:p w14:paraId="2D6800FF" w14:textId="379E9198" w:rsidR="00CC2BF6" w:rsidRPr="005947DB" w:rsidRDefault="00CC2BF6" w:rsidP="00CC2BF6">
      <w:pPr>
        <w:rPr>
          <w:b/>
          <w:bCs/>
        </w:rPr>
      </w:pPr>
      <w:r w:rsidRPr="005947DB">
        <w:rPr>
          <w:b/>
          <w:bCs/>
        </w:rPr>
        <w:t xml:space="preserve">25 パラグラフ58 </w:t>
      </w:r>
    </w:p>
    <w:p w14:paraId="09FAF342" w14:textId="77777777" w:rsidR="00CC2BF6" w:rsidRPr="005947DB" w:rsidRDefault="00CC2BF6" w:rsidP="00CC2BF6">
      <w:pPr>
        <w:rPr>
          <w:b/>
          <w:bCs/>
        </w:rPr>
      </w:pPr>
      <w:r w:rsidRPr="005947DB">
        <w:rPr>
          <w:rFonts w:hint="eastAsia"/>
          <w:b/>
          <w:bCs/>
        </w:rPr>
        <w:t>現在の文言に以下を追加する。</w:t>
      </w:r>
    </w:p>
    <w:p w14:paraId="7B52DC6D" w14:textId="77777777" w:rsidR="00CC2BF6" w:rsidRPr="005947DB" w:rsidRDefault="00CC2BF6" w:rsidP="00E9629F">
      <w:pPr>
        <w:ind w:firstLineChars="100" w:firstLine="210"/>
      </w:pPr>
      <w:r w:rsidRPr="005947DB">
        <w:t>[...]</w:t>
      </w:r>
    </w:p>
    <w:p w14:paraId="34DF3D4E" w14:textId="0E172122" w:rsidR="00CC2BF6" w:rsidRPr="005947DB" w:rsidRDefault="00CC2BF6" w:rsidP="00881C20">
      <w:pPr>
        <w:widowControl/>
        <w:spacing w:line="-360" w:lineRule="auto"/>
        <w:jc w:val="left"/>
        <w:rPr>
          <w:rFonts w:ascii="ＭＳ Ｐゴシック" w:eastAsia="ＭＳ Ｐゴシック" w:hAnsi="ＭＳ Ｐゴシック" w:cs="ＭＳ Ｐゴシック"/>
          <w:sz w:val="24"/>
          <w:szCs w:val="24"/>
        </w:rPr>
      </w:pPr>
      <w:r w:rsidRPr="005947DB">
        <w:rPr>
          <w:color w:val="FF0000"/>
        </w:rPr>
        <w:t xml:space="preserve">c. </w:t>
      </w:r>
      <w:r w:rsidR="0059227B" w:rsidRPr="005947DB">
        <w:rPr>
          <w:color w:val="FF0000"/>
        </w:rPr>
        <w:t>障害のある人</w:t>
      </w:r>
      <w:r w:rsidR="00AD0D8A" w:rsidRPr="005947DB">
        <w:rPr>
          <w:rFonts w:hint="eastAsia"/>
          <w:color w:val="FF0000"/>
        </w:rPr>
        <w:t>へ</w:t>
      </w:r>
      <w:r w:rsidRPr="005947DB">
        <w:rPr>
          <w:color w:val="FF0000"/>
        </w:rPr>
        <w:t>の強制は、人身</w:t>
      </w:r>
      <w:r w:rsidR="006946BD" w:rsidRPr="005947DB">
        <w:rPr>
          <w:rFonts w:hint="eastAsia"/>
          <w:color w:val="FF0000"/>
        </w:rPr>
        <w:t>取引</w:t>
      </w:r>
      <w:r w:rsidRPr="005947DB">
        <w:rPr>
          <w:color w:val="FF0000"/>
        </w:rPr>
        <w:t>や人の性的搾取の文脈の中でも行われることがあり、それは移住の場合に深刻になる。女性と</w:t>
      </w:r>
      <w:r w:rsidR="00333E24" w:rsidRPr="005947DB">
        <w:rPr>
          <w:rFonts w:hint="eastAsia"/>
          <w:color w:val="FF0000"/>
        </w:rPr>
        <w:t>少女</w:t>
      </w:r>
      <w:r w:rsidRPr="005947DB">
        <w:rPr>
          <w:color w:val="FF0000"/>
        </w:rPr>
        <w:t>の人身</w:t>
      </w:r>
      <w:r w:rsidR="006946BD" w:rsidRPr="005947DB">
        <w:rPr>
          <w:rFonts w:hint="eastAsia"/>
          <w:color w:val="FF0000"/>
        </w:rPr>
        <w:t>取引</w:t>
      </w:r>
      <w:r w:rsidRPr="005947DB">
        <w:rPr>
          <w:color w:val="FF0000"/>
        </w:rPr>
        <w:t>の形態としての労働という文脈では、</w:t>
      </w:r>
      <w:r w:rsidR="00435533" w:rsidRPr="005947DB">
        <w:rPr>
          <w:rFonts w:hint="eastAsia"/>
          <w:color w:val="FF0000"/>
        </w:rPr>
        <w:t>規制環境が</w:t>
      </w:r>
      <w:r w:rsidRPr="005947DB">
        <w:rPr>
          <w:color w:val="FF0000"/>
        </w:rPr>
        <w:t>不十分なために人身</w:t>
      </w:r>
      <w:r w:rsidR="006946BD" w:rsidRPr="005947DB">
        <w:rPr>
          <w:rFonts w:hint="eastAsia"/>
          <w:color w:val="FF0000"/>
        </w:rPr>
        <w:t>取引</w:t>
      </w:r>
      <w:r w:rsidRPr="005947DB">
        <w:rPr>
          <w:color w:val="FF0000"/>
        </w:rPr>
        <w:t>の需要が</w:t>
      </w:r>
      <w:r w:rsidR="00AD0D8A" w:rsidRPr="005947DB">
        <w:rPr>
          <w:rFonts w:hint="eastAsia"/>
          <w:color w:val="FF0000"/>
        </w:rPr>
        <w:t>存在し続けて</w:t>
      </w:r>
      <w:r w:rsidRPr="005947DB">
        <w:rPr>
          <w:color w:val="FF0000"/>
        </w:rPr>
        <w:t>いる。労働者が組織化</w:t>
      </w:r>
      <w:r w:rsidRPr="005947DB">
        <w:rPr>
          <w:color w:val="FF0000"/>
        </w:rPr>
        <w:lastRenderedPageBreak/>
        <w:t>され、賃金、労働時間、労働条件、安全衛生に関する労働基準が監視・実施され、経済的・社会的権利や、女性が必要とする公共サービス</w:t>
      </w:r>
      <w:r w:rsidR="00FE5A84" w:rsidRPr="005947DB">
        <w:rPr>
          <w:rFonts w:hint="eastAsia"/>
          <w:color w:val="FF0000"/>
        </w:rPr>
        <w:t>に国が資金を供給できるように</w:t>
      </w:r>
      <w:r w:rsidRPr="005947DB">
        <w:rPr>
          <w:color w:val="FF0000"/>
        </w:rPr>
        <w:t>税法改正が適切に実施されているところでは、人身取引され</w:t>
      </w:r>
      <w:r w:rsidR="00FE5A84" w:rsidRPr="005947DB">
        <w:rPr>
          <w:rFonts w:hint="eastAsia"/>
          <w:color w:val="FF0000"/>
        </w:rPr>
        <w:t>た</w:t>
      </w:r>
      <w:r w:rsidRPr="005947DB">
        <w:rPr>
          <w:color w:val="FF0000"/>
        </w:rPr>
        <w:t>人の労働やサービスに対する需要は著しく低くなる</w:t>
      </w:r>
      <w:r w:rsidR="00E23E3A" w:rsidRPr="005947DB">
        <w:rPr>
          <w:color w:val="FF0000"/>
          <w:sz w:val="24"/>
          <w:szCs w:val="24"/>
          <w:vertAlign w:val="superscript"/>
        </w:rPr>
        <w:footnoteReference w:id="18"/>
      </w:r>
      <w:r w:rsidRPr="005947DB">
        <w:rPr>
          <w:color w:val="FF0000"/>
        </w:rPr>
        <w:t>。</w:t>
      </w:r>
    </w:p>
    <w:p w14:paraId="59469786" w14:textId="77777777" w:rsidR="008E4565" w:rsidRPr="005947DB" w:rsidRDefault="008E4565" w:rsidP="008E4565">
      <w:pPr>
        <w:rPr>
          <w:b/>
          <w:bCs/>
        </w:rPr>
      </w:pPr>
      <w:r w:rsidRPr="005947DB">
        <w:rPr>
          <w:rFonts w:hint="eastAsia"/>
          <w:b/>
          <w:bCs/>
        </w:rPr>
        <w:t>理由</w:t>
      </w:r>
      <w:r w:rsidRPr="005947DB">
        <w:rPr>
          <w:b/>
          <w:bCs/>
        </w:rPr>
        <w:t xml:space="preserve"> </w:t>
      </w:r>
    </w:p>
    <w:p w14:paraId="6D289E42" w14:textId="17578CED" w:rsidR="00CC2BF6" w:rsidRPr="005947DB" w:rsidRDefault="00CC2BF6" w:rsidP="00E9629F">
      <w:pPr>
        <w:ind w:firstLineChars="100" w:firstLine="210"/>
      </w:pPr>
      <w:r w:rsidRPr="005947DB">
        <w:rPr>
          <w:rFonts w:hint="eastAsia"/>
        </w:rPr>
        <w:t>労働目的の強制の事例として、</w:t>
      </w:r>
      <w:r w:rsidR="0059227B" w:rsidRPr="005947DB">
        <w:rPr>
          <w:rFonts w:hint="eastAsia"/>
        </w:rPr>
        <w:t>障害のある人</w:t>
      </w:r>
      <w:r w:rsidRPr="005947DB">
        <w:rPr>
          <w:rFonts w:hint="eastAsia"/>
        </w:rPr>
        <w:t>の性的搾取を追加する。</w:t>
      </w:r>
    </w:p>
    <w:p w14:paraId="616571DC" w14:textId="77777777" w:rsidR="00E9629F" w:rsidRPr="005947DB" w:rsidRDefault="00E9629F" w:rsidP="00CC2BF6"/>
    <w:p w14:paraId="4A4C4A7A" w14:textId="0571A942" w:rsidR="00CC2BF6" w:rsidRPr="005947DB" w:rsidRDefault="00CC2BF6" w:rsidP="00CC2BF6">
      <w:pPr>
        <w:rPr>
          <w:b/>
          <w:bCs/>
        </w:rPr>
      </w:pPr>
      <w:r w:rsidRPr="005947DB">
        <w:rPr>
          <w:b/>
          <w:bCs/>
        </w:rPr>
        <w:t xml:space="preserve">26 </w:t>
      </w:r>
      <w:r w:rsidR="002F2A86" w:rsidRPr="005947DB">
        <w:rPr>
          <w:b/>
          <w:bCs/>
        </w:rPr>
        <w:t>パラグラフ</w:t>
      </w:r>
      <w:r w:rsidRPr="005947DB">
        <w:rPr>
          <w:b/>
          <w:bCs/>
        </w:rPr>
        <w:t>64の後に新たな</w:t>
      </w:r>
      <w:r w:rsidR="00D57E90" w:rsidRPr="005947DB">
        <w:rPr>
          <w:b/>
          <w:bCs/>
        </w:rPr>
        <w:t>パラグラフ</w:t>
      </w:r>
      <w:r w:rsidRPr="005947DB">
        <w:rPr>
          <w:b/>
          <w:bCs/>
        </w:rPr>
        <w:t>を設ける。</w:t>
      </w:r>
    </w:p>
    <w:p w14:paraId="6BD217F0" w14:textId="12F0C921" w:rsidR="00CC2BF6" w:rsidRPr="005947DB" w:rsidRDefault="00CC2BF6" w:rsidP="00CC2BF6">
      <w:pPr>
        <w:rPr>
          <w:b/>
          <w:bCs/>
        </w:rPr>
      </w:pPr>
      <w:r w:rsidRPr="005947DB">
        <w:rPr>
          <w:rFonts w:hint="eastAsia"/>
          <w:b/>
          <w:bCs/>
        </w:rPr>
        <w:t>次の新しい</w:t>
      </w:r>
      <w:r w:rsidR="00D57E90" w:rsidRPr="005947DB">
        <w:rPr>
          <w:b/>
          <w:bCs/>
        </w:rPr>
        <w:t>パラグラフ</w:t>
      </w:r>
      <w:r w:rsidRPr="005947DB">
        <w:rPr>
          <w:rFonts w:hint="eastAsia"/>
          <w:b/>
          <w:bCs/>
        </w:rPr>
        <w:t>を追加する。</w:t>
      </w:r>
    </w:p>
    <w:p w14:paraId="75ED486C" w14:textId="7489CA20" w:rsidR="00CC2BF6" w:rsidRPr="005947DB" w:rsidRDefault="00CC2BF6" w:rsidP="004D49AB">
      <w:pPr>
        <w:widowControl/>
        <w:spacing w:line="-360" w:lineRule="auto"/>
        <w:ind w:firstLineChars="100" w:firstLine="210"/>
        <w:jc w:val="left"/>
        <w:rPr>
          <w:rFonts w:ascii="ＭＳ Ｐゴシック" w:eastAsia="ＭＳ Ｐゴシック" w:hAnsi="ＭＳ Ｐゴシック" w:cs="ＭＳ Ｐゴシック"/>
          <w:sz w:val="24"/>
          <w:szCs w:val="24"/>
        </w:rPr>
      </w:pPr>
      <w:r w:rsidRPr="005947DB">
        <w:rPr>
          <w:color w:val="FF0000"/>
        </w:rPr>
        <w:t>CEDAW第11条に基づき、締約国は、</w:t>
      </w:r>
      <w:r w:rsidR="00693110" w:rsidRPr="005947DB">
        <w:rPr>
          <w:rFonts w:hint="eastAsia"/>
          <w:color w:val="FF0000"/>
        </w:rPr>
        <w:t>違反に対する</w:t>
      </w:r>
      <w:r w:rsidRPr="005947DB">
        <w:rPr>
          <w:color w:val="FF0000"/>
        </w:rPr>
        <w:t>制裁を</w:t>
      </w:r>
      <w:r w:rsidR="00693110" w:rsidRPr="005947DB">
        <w:rPr>
          <w:rFonts w:hint="eastAsia"/>
          <w:color w:val="FF0000"/>
        </w:rPr>
        <w:t>組み込んで、</w:t>
      </w:r>
      <w:r w:rsidRPr="005947DB">
        <w:rPr>
          <w:color w:val="FF0000"/>
        </w:rPr>
        <w:t>妊娠または出産休暇を理由とする解雇、および婚姻関係</w:t>
      </w:r>
      <w:r w:rsidR="001625D8" w:rsidRPr="005947DB">
        <w:rPr>
          <w:rFonts w:hint="eastAsia"/>
          <w:color w:val="FF0000"/>
        </w:rPr>
        <w:t>の有無</w:t>
      </w:r>
      <w:r w:rsidR="00693110" w:rsidRPr="005947DB">
        <w:rPr>
          <w:rFonts w:hint="eastAsia"/>
          <w:color w:val="FF0000"/>
        </w:rPr>
        <w:t>を理由とする</w:t>
      </w:r>
      <w:r w:rsidR="007C5C36" w:rsidRPr="005947DB">
        <w:rPr>
          <w:color w:val="FF0000"/>
        </w:rPr>
        <w:t>解雇に</w:t>
      </w:r>
      <w:r w:rsidR="007C5C36" w:rsidRPr="005947DB">
        <w:rPr>
          <w:rFonts w:hint="eastAsia"/>
          <w:color w:val="FF0000"/>
        </w:rPr>
        <w:t>関する</w:t>
      </w:r>
      <w:r w:rsidRPr="005947DB">
        <w:rPr>
          <w:color w:val="FF0000"/>
        </w:rPr>
        <w:t>差別を禁止しなければならない。さらに、締約国は、障害</w:t>
      </w:r>
      <w:r w:rsidR="00C468B5" w:rsidRPr="005947DB">
        <w:rPr>
          <w:color w:val="FF0000"/>
        </w:rPr>
        <w:t>のある</w:t>
      </w:r>
      <w:r w:rsidRPr="005947DB">
        <w:rPr>
          <w:color w:val="FF0000"/>
        </w:rPr>
        <w:t>女性</w:t>
      </w:r>
      <w:r w:rsidR="004970FC" w:rsidRPr="005947DB">
        <w:rPr>
          <w:rFonts w:hint="eastAsia"/>
          <w:color w:val="FF0000"/>
        </w:rPr>
        <w:t>に</w:t>
      </w:r>
      <w:r w:rsidRPr="005947DB">
        <w:rPr>
          <w:color w:val="FF0000"/>
        </w:rPr>
        <w:t>、</w:t>
      </w:r>
      <w:r w:rsidR="008A1A9C" w:rsidRPr="005947DB">
        <w:rPr>
          <w:rFonts w:hint="eastAsia"/>
          <w:color w:val="FF0000"/>
        </w:rPr>
        <w:t>現</w:t>
      </w:r>
      <w:r w:rsidRPr="005947DB">
        <w:rPr>
          <w:color w:val="FF0000"/>
        </w:rPr>
        <w:t>雇用、年功、社会的手当を失うことなく、有給または同等の社会的給付を伴う出産休暇を確保しなければならない。また、締約国は、障害のある女性にとって有害であることが証明されている種類の仕事に</w:t>
      </w:r>
      <w:r w:rsidR="008A1A9C" w:rsidRPr="005947DB">
        <w:rPr>
          <w:rFonts w:hint="eastAsia"/>
          <w:color w:val="FF0000"/>
        </w:rPr>
        <w:t>関して</w:t>
      </w:r>
      <w:r w:rsidRPr="005947DB">
        <w:rPr>
          <w:color w:val="FF0000"/>
        </w:rPr>
        <w:t>、妊娠中特別な保護を提供しなければならない</w:t>
      </w:r>
      <w:r w:rsidR="00E23E3A" w:rsidRPr="005947DB">
        <w:rPr>
          <w:color w:val="FF0000"/>
          <w:sz w:val="24"/>
          <w:szCs w:val="24"/>
          <w:vertAlign w:val="superscript"/>
        </w:rPr>
        <w:footnoteReference w:id="19"/>
      </w:r>
      <w:r w:rsidRPr="005947DB">
        <w:rPr>
          <w:color w:val="FF0000"/>
        </w:rPr>
        <w:t>。</w:t>
      </w:r>
    </w:p>
    <w:p w14:paraId="47D14395" w14:textId="77777777" w:rsidR="008E4565" w:rsidRPr="005947DB" w:rsidRDefault="008E4565" w:rsidP="008E4565">
      <w:pPr>
        <w:rPr>
          <w:b/>
          <w:bCs/>
        </w:rPr>
      </w:pPr>
      <w:r w:rsidRPr="005947DB">
        <w:rPr>
          <w:rFonts w:hint="eastAsia"/>
          <w:b/>
          <w:bCs/>
        </w:rPr>
        <w:t>理由</w:t>
      </w:r>
      <w:r w:rsidRPr="005947DB">
        <w:rPr>
          <w:b/>
          <w:bCs/>
        </w:rPr>
        <w:t xml:space="preserve"> </w:t>
      </w:r>
    </w:p>
    <w:p w14:paraId="450ACDBF" w14:textId="77777777" w:rsidR="00CC2BF6" w:rsidRPr="005947DB" w:rsidRDefault="00CC2BF6" w:rsidP="00E9629F">
      <w:pPr>
        <w:ind w:firstLineChars="100" w:firstLine="210"/>
      </w:pPr>
      <w:r w:rsidRPr="005947DB">
        <w:rPr>
          <w:rFonts w:hint="eastAsia"/>
        </w:rPr>
        <w:t>妊娠・出産休暇に関する締約国の義務を追加する。</w:t>
      </w:r>
    </w:p>
    <w:p w14:paraId="758B5DA1" w14:textId="77777777" w:rsidR="00E9629F" w:rsidRPr="005947DB" w:rsidRDefault="00E9629F" w:rsidP="00CC2BF6"/>
    <w:p w14:paraId="4A84003D" w14:textId="27E5FB02" w:rsidR="00CC2BF6" w:rsidRPr="005947DB" w:rsidRDefault="00CC2BF6" w:rsidP="00CC2BF6">
      <w:pPr>
        <w:rPr>
          <w:b/>
          <w:bCs/>
        </w:rPr>
      </w:pPr>
      <w:r w:rsidRPr="005947DB">
        <w:rPr>
          <w:b/>
          <w:bCs/>
        </w:rPr>
        <w:t xml:space="preserve">27 </w:t>
      </w:r>
      <w:r w:rsidR="002F2A86" w:rsidRPr="005947DB">
        <w:rPr>
          <w:b/>
          <w:bCs/>
        </w:rPr>
        <w:t>パラグラフ</w:t>
      </w:r>
      <w:r w:rsidRPr="005947DB">
        <w:rPr>
          <w:b/>
          <w:bCs/>
        </w:rPr>
        <w:t>73の後に新たな</w:t>
      </w:r>
      <w:r w:rsidR="00D57E90" w:rsidRPr="005947DB">
        <w:rPr>
          <w:b/>
          <w:bCs/>
        </w:rPr>
        <w:t>パラグラフ</w:t>
      </w:r>
      <w:r w:rsidRPr="005947DB">
        <w:rPr>
          <w:b/>
          <w:bCs/>
        </w:rPr>
        <w:t>を設ける。</w:t>
      </w:r>
    </w:p>
    <w:p w14:paraId="4509F48F" w14:textId="4596AB89" w:rsidR="00CC2BF6" w:rsidRPr="005947DB" w:rsidRDefault="00CC2BF6" w:rsidP="00CC2BF6">
      <w:pPr>
        <w:rPr>
          <w:b/>
          <w:bCs/>
        </w:rPr>
      </w:pPr>
      <w:r w:rsidRPr="005947DB">
        <w:rPr>
          <w:rFonts w:hint="eastAsia"/>
          <w:b/>
          <w:bCs/>
        </w:rPr>
        <w:t>以下の新</w:t>
      </w:r>
      <w:r w:rsidR="00D57E90" w:rsidRPr="005947DB">
        <w:rPr>
          <w:b/>
          <w:bCs/>
        </w:rPr>
        <w:t>パラグラフ</w:t>
      </w:r>
      <w:r w:rsidRPr="005947DB">
        <w:rPr>
          <w:rFonts w:hint="eastAsia"/>
          <w:b/>
          <w:bCs/>
        </w:rPr>
        <w:t>を追加する。</w:t>
      </w:r>
    </w:p>
    <w:p w14:paraId="114B4E71" w14:textId="1FEEBBAC" w:rsidR="004862B7" w:rsidRPr="005947DB" w:rsidRDefault="00CC2BF6" w:rsidP="004D49AB">
      <w:pPr>
        <w:widowControl/>
        <w:spacing w:line="-360" w:lineRule="auto"/>
        <w:ind w:firstLineChars="100" w:firstLine="210"/>
        <w:jc w:val="left"/>
        <w:rPr>
          <w:rFonts w:ascii="ＭＳ Ｐゴシック" w:eastAsia="ＭＳ Ｐゴシック" w:hAnsi="ＭＳ Ｐゴシック" w:cs="ＭＳ Ｐゴシック"/>
          <w:sz w:val="24"/>
          <w:szCs w:val="24"/>
        </w:rPr>
      </w:pPr>
      <w:r w:rsidRPr="005947DB">
        <w:rPr>
          <w:rFonts w:hint="eastAsia"/>
          <w:color w:val="FF0000"/>
        </w:rPr>
        <w:t>締約国は、</w:t>
      </w:r>
      <w:r w:rsidR="00FA35F9" w:rsidRPr="005947DB">
        <w:rPr>
          <w:rFonts w:hint="eastAsia"/>
          <w:color w:val="FF0000"/>
        </w:rPr>
        <w:t>障害</w:t>
      </w:r>
      <w:r w:rsidR="00435533" w:rsidRPr="005947DB">
        <w:rPr>
          <w:rFonts w:hint="eastAsia"/>
          <w:color w:val="FF0000"/>
        </w:rPr>
        <w:t>のある</w:t>
      </w:r>
      <w:r w:rsidR="00FA35F9" w:rsidRPr="005947DB">
        <w:rPr>
          <w:rFonts w:hint="eastAsia"/>
          <w:color w:val="FF0000"/>
        </w:rPr>
        <w:t>女性や障害のある親族の母親および女性介護者に、他の者と平等にディーセントで質の高い雇用および労働条件を得る権利を、</w:t>
      </w:r>
      <w:r w:rsidR="004A1BEF" w:rsidRPr="005947DB">
        <w:rPr>
          <w:rFonts w:hint="eastAsia"/>
          <w:color w:val="FF0000"/>
        </w:rPr>
        <w:t>法律で効果的に保証しなければならない。そのために、</w:t>
      </w:r>
      <w:r w:rsidR="0025647E" w:rsidRPr="005947DB">
        <w:rPr>
          <w:rFonts w:hint="eastAsia"/>
          <w:color w:val="FF0000"/>
        </w:rPr>
        <w:t>労働市場にアクセスし、そこに留まり昇進する能力に関する、彼女らに対する差別を根絶する積極的差別是正措置を促進しなければならない。</w:t>
      </w:r>
      <w:r w:rsidR="000D2A72" w:rsidRPr="005947DB">
        <w:rPr>
          <w:rFonts w:hint="eastAsia"/>
          <w:color w:val="FF0000"/>
        </w:rPr>
        <w:t>これらの差別は、ジェンダー</w:t>
      </w:r>
      <w:r w:rsidRPr="005947DB">
        <w:rPr>
          <w:rFonts w:hint="eastAsia"/>
          <w:color w:val="FF0000"/>
        </w:rPr>
        <w:t>、障害その他の差別的な人間</w:t>
      </w:r>
      <w:r w:rsidR="004862B7" w:rsidRPr="005947DB">
        <w:rPr>
          <w:rFonts w:hint="eastAsia"/>
          <w:color w:val="FF0000"/>
        </w:rPr>
        <w:t>の</w:t>
      </w:r>
      <w:r w:rsidRPr="005947DB">
        <w:rPr>
          <w:rFonts w:hint="eastAsia"/>
          <w:color w:val="FF0000"/>
        </w:rPr>
        <w:t>条件を理由とする否定的な固定観念の結果</w:t>
      </w:r>
      <w:r w:rsidR="000D2A72" w:rsidRPr="005947DB">
        <w:rPr>
          <w:rFonts w:hint="eastAsia"/>
          <w:color w:val="FF0000"/>
        </w:rPr>
        <w:t>である</w:t>
      </w:r>
      <w:r w:rsidR="00E23E3A" w:rsidRPr="005947DB">
        <w:rPr>
          <w:color w:val="FF0000"/>
          <w:sz w:val="24"/>
          <w:szCs w:val="24"/>
          <w:vertAlign w:val="superscript"/>
        </w:rPr>
        <w:footnoteReference w:id="20"/>
      </w:r>
      <w:r w:rsidR="000D2A72" w:rsidRPr="005947DB">
        <w:rPr>
          <w:rFonts w:hint="eastAsia"/>
          <w:color w:val="FF0000"/>
        </w:rPr>
        <w:t>。</w:t>
      </w:r>
    </w:p>
    <w:p w14:paraId="421A7C5A" w14:textId="77777777" w:rsidR="008E4565" w:rsidRPr="005947DB" w:rsidRDefault="008E4565" w:rsidP="008E4565">
      <w:pPr>
        <w:rPr>
          <w:b/>
          <w:bCs/>
        </w:rPr>
      </w:pPr>
      <w:r w:rsidRPr="005947DB">
        <w:rPr>
          <w:rFonts w:hint="eastAsia"/>
          <w:b/>
          <w:bCs/>
        </w:rPr>
        <w:t>理由</w:t>
      </w:r>
      <w:r w:rsidRPr="005947DB">
        <w:rPr>
          <w:b/>
          <w:bCs/>
        </w:rPr>
        <w:t xml:space="preserve"> </w:t>
      </w:r>
    </w:p>
    <w:p w14:paraId="383FB80D" w14:textId="5DF65831" w:rsidR="00CC2BF6" w:rsidRPr="005947DB" w:rsidRDefault="00CC2BF6" w:rsidP="00E9629F">
      <w:pPr>
        <w:ind w:firstLineChars="100" w:firstLine="210"/>
      </w:pPr>
      <w:r w:rsidRPr="005947DB">
        <w:t>SDGsターゲット8.5に沿い、不利な立場にある</w:t>
      </w:r>
      <w:r w:rsidR="000D2A72" w:rsidRPr="005947DB">
        <w:rPr>
          <w:rFonts w:hint="eastAsia"/>
        </w:rPr>
        <w:t>人々</w:t>
      </w:r>
      <w:r w:rsidRPr="005947DB">
        <w:t>へのディーセントな雇用を提供する義務を強調する観点から。</w:t>
      </w:r>
    </w:p>
    <w:p w14:paraId="0779AB17" w14:textId="77777777" w:rsidR="00E9629F" w:rsidRPr="005947DB" w:rsidRDefault="00E9629F" w:rsidP="00CC2BF6"/>
    <w:p w14:paraId="7F84AC33" w14:textId="3F7C8EE5" w:rsidR="00CC2BF6" w:rsidRPr="005947DB" w:rsidRDefault="00CC2BF6" w:rsidP="00CC2BF6">
      <w:pPr>
        <w:rPr>
          <w:b/>
          <w:bCs/>
        </w:rPr>
      </w:pPr>
      <w:r w:rsidRPr="005947DB">
        <w:rPr>
          <w:b/>
          <w:bCs/>
        </w:rPr>
        <w:t>28 パラグラフ80</w:t>
      </w:r>
    </w:p>
    <w:p w14:paraId="1FCF2CCC" w14:textId="77777777" w:rsidR="00CC2BF6" w:rsidRPr="005947DB" w:rsidRDefault="00CC2BF6" w:rsidP="00CC2BF6">
      <w:pPr>
        <w:rPr>
          <w:b/>
          <w:bCs/>
        </w:rPr>
      </w:pPr>
      <w:r w:rsidRPr="005947DB">
        <w:rPr>
          <w:rFonts w:hint="eastAsia"/>
          <w:b/>
          <w:bCs/>
        </w:rPr>
        <w:t>現在の文言を修正する。</w:t>
      </w:r>
    </w:p>
    <w:p w14:paraId="69F642C8" w14:textId="294E9F78" w:rsidR="00CC2BF6" w:rsidRPr="005947DB" w:rsidRDefault="00CC2BF6" w:rsidP="00881C20">
      <w:pPr>
        <w:widowControl/>
        <w:spacing w:line="-360" w:lineRule="auto"/>
        <w:jc w:val="left"/>
        <w:rPr>
          <w:rFonts w:ascii="ＭＳ Ｐゴシック" w:eastAsia="ＭＳ Ｐゴシック" w:hAnsi="ＭＳ Ｐゴシック" w:cs="ＭＳ Ｐゴシック"/>
          <w:sz w:val="24"/>
          <w:szCs w:val="24"/>
        </w:rPr>
      </w:pPr>
      <w:r w:rsidRPr="005947DB">
        <w:lastRenderedPageBreak/>
        <w:t>80. 障害のある女性（第6条）が仕事において直面する多重差別に対処するために、</w:t>
      </w:r>
      <w:r w:rsidRPr="005947DB">
        <w:rPr>
          <w:color w:val="FF0000"/>
        </w:rPr>
        <w:t>締約国は、障害のある女性が</w:t>
      </w:r>
      <w:r w:rsidR="007C5C36" w:rsidRPr="005947DB">
        <w:rPr>
          <w:rFonts w:hint="eastAsia"/>
          <w:color w:val="FF0000"/>
        </w:rPr>
        <w:t>労働</w:t>
      </w:r>
      <w:r w:rsidRPr="005947DB">
        <w:rPr>
          <w:color w:val="FF0000"/>
        </w:rPr>
        <w:t>と雇用に対する権利を行使する際に事実上の平等を加速するための</w:t>
      </w:r>
      <w:r w:rsidR="00C468B5" w:rsidRPr="005947DB">
        <w:rPr>
          <w:rFonts w:hint="eastAsia"/>
          <w:color w:val="FF0000"/>
        </w:rPr>
        <w:t>積極的差別是正措置</w:t>
      </w:r>
      <w:r w:rsidRPr="005947DB">
        <w:rPr>
          <w:color w:val="FF0000"/>
        </w:rPr>
        <w:t>を採用すること</w:t>
      </w:r>
      <w:r w:rsidR="000D2A72" w:rsidRPr="005947DB">
        <w:rPr>
          <w:rFonts w:hint="eastAsia"/>
          <w:color w:val="FF0000"/>
        </w:rPr>
        <w:t>が必要である。</w:t>
      </w:r>
      <w:r w:rsidRPr="005947DB">
        <w:rPr>
          <w:color w:val="FF0000"/>
        </w:rPr>
        <w:t>そのような措置は、彼女たちが受ける交差的な形態の差別と闘い、彼女たちの完全な発達、進歩、エンパワーメントを促進するために役立つものでなければならない。また、締約国は、</w:t>
      </w:r>
      <w:r w:rsidR="0059227B" w:rsidRPr="005947DB">
        <w:rPr>
          <w:color w:val="FF0000"/>
        </w:rPr>
        <w:t>障害のある人</w:t>
      </w:r>
      <w:r w:rsidRPr="005947DB">
        <w:rPr>
          <w:color w:val="FF0000"/>
        </w:rPr>
        <w:t>の</w:t>
      </w:r>
      <w:r w:rsidR="00155F4B" w:rsidRPr="005947DB">
        <w:rPr>
          <w:rFonts w:hint="eastAsia"/>
          <w:color w:val="FF0000"/>
        </w:rPr>
        <w:t>労働</w:t>
      </w:r>
      <w:r w:rsidRPr="005947DB">
        <w:rPr>
          <w:color w:val="FF0000"/>
        </w:rPr>
        <w:t>と雇用の権利および女性の</w:t>
      </w:r>
      <w:r w:rsidR="00155F4B" w:rsidRPr="005947DB">
        <w:rPr>
          <w:rFonts w:hint="eastAsia"/>
          <w:color w:val="FF0000"/>
        </w:rPr>
        <w:t>労働</w:t>
      </w:r>
      <w:r w:rsidRPr="005947DB">
        <w:rPr>
          <w:color w:val="FF0000"/>
        </w:rPr>
        <w:t>と雇用の権利を改善する政策が、</w:t>
      </w:r>
      <w:r w:rsidR="00155F4B" w:rsidRPr="005947DB">
        <w:rPr>
          <w:rFonts w:hint="eastAsia"/>
          <w:color w:val="FF0000"/>
        </w:rPr>
        <w:t>全体として、</w:t>
      </w:r>
      <w:r w:rsidRPr="005947DB">
        <w:rPr>
          <w:color w:val="FF0000"/>
        </w:rPr>
        <w:t>障害のある女性が直面する</w:t>
      </w:r>
      <w:r w:rsidR="001625D8" w:rsidRPr="005947DB">
        <w:rPr>
          <w:rFonts w:hint="eastAsia"/>
          <w:color w:val="FF0000"/>
        </w:rPr>
        <w:t>多重的</w:t>
      </w:r>
      <w:r w:rsidRPr="005947DB">
        <w:rPr>
          <w:color w:val="FF0000"/>
        </w:rPr>
        <w:t>かつ交差的な</w:t>
      </w:r>
      <w:r w:rsidRPr="005947DB">
        <w:rPr>
          <w:rFonts w:hint="eastAsia"/>
          <w:color w:val="FF0000"/>
        </w:rPr>
        <w:t>差別に対処することを確保しなければならない</w:t>
      </w:r>
      <w:r w:rsidR="00155F4B" w:rsidRPr="005947DB">
        <w:rPr>
          <w:color w:val="FF0000"/>
          <w:sz w:val="24"/>
          <w:szCs w:val="24"/>
          <w:vertAlign w:val="superscript"/>
        </w:rPr>
        <w:footnoteReference w:id="21"/>
      </w:r>
      <w:r w:rsidRPr="005947DB">
        <w:rPr>
          <w:rFonts w:hint="eastAsia"/>
          <w:color w:val="FF0000"/>
        </w:rPr>
        <w:t>。</w:t>
      </w:r>
    </w:p>
    <w:p w14:paraId="0D215EA4" w14:textId="77777777" w:rsidR="008E4565" w:rsidRPr="005947DB" w:rsidRDefault="008E4565" w:rsidP="008E4565">
      <w:pPr>
        <w:rPr>
          <w:b/>
          <w:bCs/>
        </w:rPr>
      </w:pPr>
      <w:r w:rsidRPr="005947DB">
        <w:rPr>
          <w:rFonts w:hint="eastAsia"/>
          <w:b/>
          <w:bCs/>
        </w:rPr>
        <w:t>理由</w:t>
      </w:r>
      <w:r w:rsidRPr="005947DB">
        <w:rPr>
          <w:b/>
          <w:bCs/>
        </w:rPr>
        <w:t xml:space="preserve"> </w:t>
      </w:r>
    </w:p>
    <w:p w14:paraId="17EA67E7" w14:textId="57971A31" w:rsidR="00CC2BF6" w:rsidRPr="005947DB" w:rsidRDefault="00CC2BF6" w:rsidP="008E4565">
      <w:pPr>
        <w:ind w:firstLineChars="100" w:firstLine="210"/>
      </w:pPr>
      <w:r w:rsidRPr="005947DB">
        <w:rPr>
          <w:rFonts w:hint="eastAsia"/>
        </w:rPr>
        <w:t>障害</w:t>
      </w:r>
      <w:r w:rsidR="00C468B5" w:rsidRPr="005947DB">
        <w:rPr>
          <w:rFonts w:hint="eastAsia"/>
        </w:rPr>
        <w:t>のある</w:t>
      </w:r>
      <w:r w:rsidRPr="005947DB">
        <w:rPr>
          <w:rFonts w:hint="eastAsia"/>
        </w:rPr>
        <w:t>女性が直面する</w:t>
      </w:r>
      <w:r w:rsidR="001625D8" w:rsidRPr="005947DB">
        <w:rPr>
          <w:rFonts w:hint="eastAsia"/>
        </w:rPr>
        <w:t>多重的</w:t>
      </w:r>
      <w:r w:rsidRPr="005947DB">
        <w:rPr>
          <w:rFonts w:hint="eastAsia"/>
        </w:rPr>
        <w:t>かつ交差的な差別に対処する。</w:t>
      </w:r>
    </w:p>
    <w:p w14:paraId="16A0B6C7" w14:textId="77777777" w:rsidR="00CC2BF6" w:rsidRPr="005947DB" w:rsidRDefault="00CC2BF6" w:rsidP="00CC2BF6"/>
    <w:p w14:paraId="2E90AA10" w14:textId="77777777" w:rsidR="00CC2BF6" w:rsidRPr="005947DB" w:rsidRDefault="00CC2BF6" w:rsidP="00CC2BF6">
      <w:pPr>
        <w:rPr>
          <w:b/>
          <w:bCs/>
        </w:rPr>
      </w:pPr>
      <w:r w:rsidRPr="005947DB">
        <w:rPr>
          <w:b/>
          <w:bCs/>
        </w:rPr>
        <w:t>III 連絡先</w:t>
      </w:r>
    </w:p>
    <w:p w14:paraId="7ED9035F" w14:textId="77777777" w:rsidR="00CC2BF6" w:rsidRPr="005947DB" w:rsidRDefault="00CC2BF6" w:rsidP="00CC2BF6">
      <w:r w:rsidRPr="005947DB">
        <w:rPr>
          <w:rFonts w:hint="eastAsia"/>
        </w:rPr>
        <w:t>イサベル・カバレロ・ペレス</w:t>
      </w:r>
    </w:p>
    <w:p w14:paraId="6663525D" w14:textId="5E495D5F" w:rsidR="00CC2BF6" w:rsidRPr="005947DB" w:rsidRDefault="00CC2BF6" w:rsidP="00CC2BF6">
      <w:r w:rsidRPr="005947DB">
        <w:t>CERMI女性</w:t>
      </w:r>
      <w:r w:rsidR="00E23E3A" w:rsidRPr="005947DB">
        <w:rPr>
          <w:rFonts w:hint="eastAsia"/>
        </w:rPr>
        <w:t>財団</w:t>
      </w:r>
      <w:r w:rsidRPr="005947DB">
        <w:t>コーディネーター</w:t>
      </w:r>
    </w:p>
    <w:p w14:paraId="0B5BA78F" w14:textId="77777777" w:rsidR="00CC2BF6" w:rsidRPr="005947DB" w:rsidRDefault="00CC2BF6" w:rsidP="00CC2BF6">
      <w:r w:rsidRPr="005947DB">
        <w:t>coordinacion@fundacioncermimujeres.es</w:t>
      </w:r>
    </w:p>
    <w:p w14:paraId="5637D065" w14:textId="77777777" w:rsidR="00CC2BF6" w:rsidRPr="005947DB" w:rsidRDefault="00CC2BF6" w:rsidP="00CC2BF6">
      <w:r w:rsidRPr="005947DB">
        <w:rPr>
          <w:rFonts w:hint="eastAsia"/>
        </w:rPr>
        <w:t>電話番号</w:t>
      </w:r>
      <w:r w:rsidRPr="005947DB">
        <w:t xml:space="preserve"> +34 915 90 73 51 </w:t>
      </w:r>
    </w:p>
    <w:p w14:paraId="7C310D9B" w14:textId="336EDBD6" w:rsidR="00CC2BF6" w:rsidRPr="005947DB" w:rsidRDefault="0038720E" w:rsidP="00CC2BF6">
      <w:hyperlink r:id="rId9" w:history="1">
        <w:r w:rsidR="008E4565" w:rsidRPr="005947DB">
          <w:rPr>
            <w:rStyle w:val="a3"/>
          </w:rPr>
          <w:t>www.fundacioncermimujeres.es</w:t>
        </w:r>
      </w:hyperlink>
    </w:p>
    <w:p w14:paraId="5A586245" w14:textId="2950E9BB" w:rsidR="008E4565" w:rsidRPr="005947DB" w:rsidRDefault="008E4565" w:rsidP="00CC2BF6"/>
    <w:p w14:paraId="2023618F" w14:textId="00683BB3" w:rsidR="008E4565" w:rsidRPr="008E4565" w:rsidRDefault="008E4565" w:rsidP="008E4565">
      <w:pPr>
        <w:jc w:val="right"/>
      </w:pPr>
      <w:r w:rsidRPr="005947DB">
        <w:rPr>
          <w:rFonts w:hint="eastAsia"/>
        </w:rPr>
        <w:t>（翻訳：佐藤久夫、</w:t>
      </w:r>
      <w:r w:rsidR="005947DB" w:rsidRPr="005947DB">
        <w:rPr>
          <w:rFonts w:hint="eastAsia"/>
        </w:rPr>
        <w:t>高島恭子</w:t>
      </w:r>
      <w:r w:rsidRPr="005947DB">
        <w:rPr>
          <w:rFonts w:hint="eastAsia"/>
        </w:rPr>
        <w:t>）</w:t>
      </w:r>
    </w:p>
    <w:sectPr w:rsidR="008E4565" w:rsidRPr="008E4565">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50E8" w14:textId="77777777" w:rsidR="007F706A" w:rsidRDefault="007F706A" w:rsidP="008E4565">
      <w:r>
        <w:separator/>
      </w:r>
    </w:p>
  </w:endnote>
  <w:endnote w:type="continuationSeparator" w:id="0">
    <w:p w14:paraId="38A9CE19" w14:textId="77777777" w:rsidR="007F706A" w:rsidRDefault="007F706A" w:rsidP="008E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690016"/>
      <w:docPartObj>
        <w:docPartGallery w:val="Page Numbers (Bottom of Page)"/>
        <w:docPartUnique/>
      </w:docPartObj>
    </w:sdtPr>
    <w:sdtEndPr/>
    <w:sdtContent>
      <w:p w14:paraId="1E5C4690" w14:textId="07A9D1FA" w:rsidR="008E4565" w:rsidRDefault="008E4565">
        <w:pPr>
          <w:pStyle w:val="a6"/>
        </w:pPr>
        <w:r>
          <w:fldChar w:fldCharType="begin"/>
        </w:r>
        <w:r>
          <w:instrText>PAGE   \* MERGEFORMAT</w:instrText>
        </w:r>
        <w:r>
          <w:fldChar w:fldCharType="separate"/>
        </w:r>
        <w:r w:rsidR="001C481F" w:rsidRPr="001C481F">
          <w:rPr>
            <w:noProof/>
            <w:lang w:val="ja-JP"/>
          </w:rPr>
          <w:t>1</w:t>
        </w:r>
        <w:r>
          <w:fldChar w:fldCharType="end"/>
        </w:r>
      </w:p>
    </w:sdtContent>
  </w:sdt>
  <w:p w14:paraId="0214F216" w14:textId="77777777" w:rsidR="008E4565" w:rsidRDefault="008E45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641E" w14:textId="77777777" w:rsidR="007F706A" w:rsidRDefault="007F706A" w:rsidP="008E4565">
      <w:r>
        <w:separator/>
      </w:r>
    </w:p>
  </w:footnote>
  <w:footnote w:type="continuationSeparator" w:id="0">
    <w:p w14:paraId="4330B536" w14:textId="77777777" w:rsidR="007F706A" w:rsidRDefault="007F706A" w:rsidP="008E4565">
      <w:r>
        <w:continuationSeparator/>
      </w:r>
    </w:p>
  </w:footnote>
  <w:footnote w:id="1">
    <w:p w14:paraId="6240FEA3" w14:textId="77777777" w:rsidR="00436B19" w:rsidRDefault="00436B19" w:rsidP="00F3755C">
      <w:pPr>
        <w:pStyle w:val="a9"/>
        <w:rPr>
          <w:sz w:val="16"/>
          <w:szCs w:val="16"/>
          <w:lang w:val="en-GB" w:eastAsia="en-US"/>
        </w:rPr>
      </w:pPr>
      <w:r>
        <w:rPr>
          <w:rStyle w:val="aa"/>
          <w:sz w:val="16"/>
          <w:szCs w:val="16"/>
        </w:rPr>
        <w:footnoteRef/>
      </w:r>
      <w:r>
        <w:rPr>
          <w:sz w:val="16"/>
          <w:szCs w:val="16"/>
        </w:rPr>
        <w:t xml:space="preserve"> Paragraph 58, Committee on the Rights of Persons with Disabilities General comment No. 3 (2016) on women and girls with disabilities, </w:t>
      </w:r>
      <w:hyperlink r:id="rId1" w:history="1">
        <w:r>
          <w:rPr>
            <w:rStyle w:val="a3"/>
            <w:sz w:val="16"/>
            <w:szCs w:val="16"/>
          </w:rPr>
          <w:t>https://tbinternet.ohchr.org/_layouts/15/treatybodyexternal/Download.aspx?symbolno=CRPD/C/GC/3&amp;Lang=en</w:t>
        </w:r>
      </w:hyperlink>
      <w:r>
        <w:rPr>
          <w:sz w:val="16"/>
          <w:szCs w:val="16"/>
        </w:rPr>
        <w:t>.</w:t>
      </w:r>
    </w:p>
  </w:footnote>
  <w:footnote w:id="2">
    <w:p w14:paraId="6E3E595A" w14:textId="77777777" w:rsidR="00F3755C" w:rsidRDefault="00F3755C" w:rsidP="00F3755C">
      <w:pPr>
        <w:pStyle w:val="a9"/>
        <w:rPr>
          <w:sz w:val="16"/>
          <w:szCs w:val="16"/>
          <w:lang w:val="en-GB" w:eastAsia="en-US"/>
        </w:rPr>
      </w:pPr>
      <w:r>
        <w:rPr>
          <w:rStyle w:val="aa"/>
          <w:sz w:val="16"/>
          <w:szCs w:val="16"/>
        </w:rPr>
        <w:footnoteRef/>
      </w:r>
      <w:r>
        <w:rPr>
          <w:sz w:val="16"/>
          <w:szCs w:val="16"/>
        </w:rPr>
        <w:t xml:space="preserve"> P. 152, United Nations Disability and Development Report, </w:t>
      </w:r>
      <w:hyperlink r:id="rId2" w:history="1">
        <w:r>
          <w:rPr>
            <w:rStyle w:val="a3"/>
            <w:sz w:val="16"/>
            <w:szCs w:val="16"/>
          </w:rPr>
          <w:t>https://social.un.org/publications/UN-Flagship-Report-Disability-Final.pdf</w:t>
        </w:r>
      </w:hyperlink>
      <w:r>
        <w:rPr>
          <w:sz w:val="16"/>
          <w:szCs w:val="16"/>
        </w:rPr>
        <w:t>.</w:t>
      </w:r>
    </w:p>
  </w:footnote>
  <w:footnote w:id="3">
    <w:p w14:paraId="773523B6" w14:textId="77777777" w:rsidR="006920DC" w:rsidRDefault="006920DC" w:rsidP="006920DC">
      <w:pPr>
        <w:pStyle w:val="a9"/>
        <w:jc w:val="both"/>
        <w:rPr>
          <w:sz w:val="16"/>
          <w:szCs w:val="16"/>
          <w:lang w:val="en-GB" w:eastAsia="en-US"/>
        </w:rPr>
      </w:pPr>
      <w:r>
        <w:rPr>
          <w:rStyle w:val="aa"/>
          <w:sz w:val="16"/>
          <w:szCs w:val="16"/>
        </w:rPr>
        <w:footnoteRef/>
      </w:r>
      <w:r>
        <w:rPr>
          <w:sz w:val="16"/>
          <w:szCs w:val="16"/>
        </w:rPr>
        <w:t xml:space="preserve"> In paragraph 5 of its General comment No. 23 (2016) on the right to just and </w:t>
      </w:r>
      <w:proofErr w:type="spellStart"/>
      <w:r>
        <w:rPr>
          <w:sz w:val="16"/>
          <w:szCs w:val="16"/>
        </w:rPr>
        <w:t>favourable</w:t>
      </w:r>
      <w:proofErr w:type="spellEnd"/>
      <w:r>
        <w:rPr>
          <w:sz w:val="16"/>
          <w:szCs w:val="16"/>
        </w:rPr>
        <w:t xml:space="preserve"> conditions of work (article 7 of the International</w:t>
      </w:r>
    </w:p>
    <w:p w14:paraId="4CA80363" w14:textId="77777777" w:rsidR="006920DC" w:rsidRDefault="006920DC" w:rsidP="006920DC">
      <w:pPr>
        <w:pStyle w:val="a9"/>
        <w:jc w:val="both"/>
        <w:rPr>
          <w:sz w:val="16"/>
          <w:szCs w:val="16"/>
        </w:rPr>
      </w:pPr>
      <w:r>
        <w:rPr>
          <w:sz w:val="16"/>
          <w:szCs w:val="16"/>
        </w:rPr>
        <w:t xml:space="preserve">Covenant on Economic, Social and Cultural Rights), the Committee on Economic, Social and Cultural Rights notes that the right to just and </w:t>
      </w:r>
      <w:proofErr w:type="spellStart"/>
      <w:r>
        <w:rPr>
          <w:sz w:val="16"/>
          <w:szCs w:val="16"/>
        </w:rPr>
        <w:t>favourable</w:t>
      </w:r>
      <w:proofErr w:type="spellEnd"/>
      <w:r>
        <w:rPr>
          <w:sz w:val="16"/>
          <w:szCs w:val="16"/>
        </w:rPr>
        <w:t xml:space="preserve"> conditions of work is a right of everyone, without distinction of any kind. The reference to “everyone” highlights the fact that the right applies to all workers in all settings, regardless of gender, as well as young and older workers, workers with disabilities, workers in the informal sector, migrant workers, workers from ethnic and other minorities, domestic workers, self-employed workers, agricultural workers, refugee workers and unpaid workers, </w:t>
      </w:r>
      <w:hyperlink r:id="rId3" w:history="1">
        <w:r>
          <w:rPr>
            <w:rStyle w:val="a3"/>
            <w:sz w:val="16"/>
            <w:szCs w:val="16"/>
          </w:rPr>
          <w:t>https://tbinternet.ohchr.org/_layouts/15/treatybodyexternal/Download.aspx?symbolno=E%2fC.12%2fGC%2f23&amp;Lang=en</w:t>
        </w:r>
      </w:hyperlink>
      <w:r>
        <w:rPr>
          <w:sz w:val="16"/>
          <w:szCs w:val="16"/>
        </w:rPr>
        <w:t>.</w:t>
      </w:r>
    </w:p>
  </w:footnote>
  <w:footnote w:id="4">
    <w:p w14:paraId="72776EB4" w14:textId="77777777" w:rsidR="00B57E37" w:rsidRDefault="00B57E37" w:rsidP="00B57E37">
      <w:pPr>
        <w:pStyle w:val="a9"/>
        <w:jc w:val="both"/>
        <w:rPr>
          <w:sz w:val="16"/>
          <w:szCs w:val="16"/>
          <w:lang w:val="en-GB" w:eastAsia="en-US"/>
        </w:rPr>
      </w:pPr>
      <w:r>
        <w:rPr>
          <w:rStyle w:val="aa"/>
          <w:sz w:val="16"/>
          <w:szCs w:val="16"/>
        </w:rPr>
        <w:footnoteRef/>
      </w:r>
      <w:r>
        <w:rPr>
          <w:sz w:val="16"/>
          <w:szCs w:val="16"/>
        </w:rPr>
        <w:t xml:space="preserve"> Page 28, World Report on Disability, WHO, 2011.</w:t>
      </w:r>
    </w:p>
  </w:footnote>
  <w:footnote w:id="5">
    <w:p w14:paraId="1A95E527" w14:textId="77777777" w:rsidR="003F1DF2" w:rsidRDefault="003F1DF2" w:rsidP="003F1DF2">
      <w:pPr>
        <w:pStyle w:val="a9"/>
        <w:jc w:val="both"/>
        <w:rPr>
          <w:sz w:val="16"/>
          <w:szCs w:val="16"/>
          <w:lang w:val="en-GB" w:eastAsia="en-US"/>
        </w:rPr>
      </w:pPr>
      <w:r>
        <w:rPr>
          <w:rStyle w:val="aa"/>
          <w:sz w:val="16"/>
          <w:szCs w:val="16"/>
          <w:lang w:val="es-ES"/>
        </w:rPr>
        <w:footnoteRef/>
      </w:r>
      <w:r>
        <w:rPr>
          <w:sz w:val="16"/>
          <w:szCs w:val="16"/>
        </w:rPr>
        <w:t xml:space="preserve"> See, for example, the Committee’s COBs on the combined fourth to seventh periodic reports of Latvia, CEDAW/C/LVA/CO/4-7,  </w:t>
      </w:r>
      <w:hyperlink r:id="rId4" w:history="1">
        <w:r>
          <w:rPr>
            <w:rStyle w:val="a3"/>
            <w:sz w:val="16"/>
            <w:szCs w:val="16"/>
          </w:rPr>
          <w:t>https://tbinternet.ohchr.org/_layouts/15/treatybodyexternal/Download.aspx?symbolno=CEDAW%2fC%2fLVA%2fCO%2f4-7&amp;Lang=en</w:t>
        </w:r>
      </w:hyperlink>
      <w:r>
        <w:rPr>
          <w:sz w:val="16"/>
          <w:szCs w:val="16"/>
        </w:rPr>
        <w:t xml:space="preserve">, and its COBs on the ninth periodic report of Austria, CEDAW/C/AUT/CO/9, </w:t>
      </w:r>
      <w:hyperlink r:id="rId5" w:history="1">
        <w:r>
          <w:rPr>
            <w:rStyle w:val="a3"/>
            <w:sz w:val="16"/>
            <w:szCs w:val="16"/>
          </w:rPr>
          <w:t>https://tbinternet.ohchr.org/_layouts/15/treatybodyexternal/Download.aspx?symbolno=CEDAW%2fC%2fAUT%2fCO%2f9&amp;Lang=en</w:t>
        </w:r>
      </w:hyperlink>
      <w:r>
        <w:rPr>
          <w:sz w:val="16"/>
          <w:szCs w:val="16"/>
        </w:rPr>
        <w:t>.</w:t>
      </w:r>
    </w:p>
  </w:footnote>
  <w:footnote w:id="6">
    <w:p w14:paraId="2CCD59C0" w14:textId="77777777" w:rsidR="00511FBF" w:rsidRDefault="00511FBF" w:rsidP="00511FBF">
      <w:pPr>
        <w:pStyle w:val="a9"/>
        <w:jc w:val="both"/>
        <w:rPr>
          <w:sz w:val="16"/>
          <w:szCs w:val="16"/>
          <w:lang w:val="en-GB" w:eastAsia="en-US"/>
        </w:rPr>
      </w:pPr>
      <w:r>
        <w:rPr>
          <w:rStyle w:val="aa"/>
          <w:sz w:val="16"/>
          <w:szCs w:val="16"/>
        </w:rPr>
        <w:footnoteRef/>
      </w:r>
      <w:r>
        <w:rPr>
          <w:sz w:val="16"/>
          <w:szCs w:val="16"/>
        </w:rPr>
        <w:t xml:space="preserve"> Committee on the Rights of Persons with Disabilities General Comment No. 3 (2016) on women and girls with disabilities, CRPD/C/GC/3.</w:t>
      </w:r>
    </w:p>
  </w:footnote>
  <w:footnote w:id="7">
    <w:p w14:paraId="7C00DE0A" w14:textId="77777777" w:rsidR="00511FBF" w:rsidRDefault="00511FBF" w:rsidP="00511FBF">
      <w:pPr>
        <w:pStyle w:val="a9"/>
        <w:jc w:val="both"/>
        <w:rPr>
          <w:sz w:val="16"/>
          <w:szCs w:val="16"/>
          <w:lang w:val="en-GB" w:eastAsia="en-US"/>
        </w:rPr>
      </w:pPr>
      <w:r>
        <w:rPr>
          <w:rStyle w:val="aa"/>
          <w:sz w:val="16"/>
          <w:szCs w:val="16"/>
          <w:lang w:val="es-ES"/>
        </w:rPr>
        <w:footnoteRef/>
      </w:r>
      <w:r>
        <w:rPr>
          <w:sz w:val="16"/>
          <w:szCs w:val="16"/>
          <w:lang w:val="es-ES"/>
        </w:rPr>
        <w:t xml:space="preserve"> </w:t>
      </w:r>
      <w:r>
        <w:rPr>
          <w:sz w:val="16"/>
          <w:szCs w:val="16"/>
        </w:rPr>
        <w:t xml:space="preserve">Thematic study on the issue of violence against women and girls and disability, Report of the Office of the United Nations High Commissioner for Human Rights, </w:t>
      </w:r>
      <w:hyperlink r:id="rId6" w:history="1">
        <w:r>
          <w:rPr>
            <w:rStyle w:val="a3"/>
            <w:sz w:val="16"/>
            <w:szCs w:val="16"/>
          </w:rPr>
          <w:t>https://undocs.org/en/A/HRC/20/5</w:t>
        </w:r>
      </w:hyperlink>
      <w:r>
        <w:rPr>
          <w:sz w:val="16"/>
          <w:szCs w:val="16"/>
        </w:rPr>
        <w:t>.</w:t>
      </w:r>
    </w:p>
  </w:footnote>
  <w:footnote w:id="8">
    <w:p w14:paraId="22FBA183" w14:textId="77777777" w:rsidR="006D25E6" w:rsidRDefault="006D25E6" w:rsidP="006D25E6">
      <w:pPr>
        <w:pStyle w:val="a9"/>
        <w:jc w:val="both"/>
        <w:rPr>
          <w:sz w:val="16"/>
          <w:szCs w:val="16"/>
          <w:lang w:eastAsia="en-US"/>
        </w:rPr>
      </w:pPr>
      <w:r>
        <w:rPr>
          <w:rStyle w:val="aa"/>
          <w:sz w:val="16"/>
          <w:szCs w:val="16"/>
        </w:rPr>
        <w:footnoteRef/>
      </w:r>
      <w:r>
        <w:rPr>
          <w:sz w:val="16"/>
          <w:szCs w:val="16"/>
        </w:rPr>
        <w:t xml:space="preserve"> CESCR General Comment No. 23 (2016) </w:t>
      </w:r>
      <w:r>
        <w:rPr>
          <w:i/>
          <w:iCs/>
          <w:sz w:val="16"/>
          <w:szCs w:val="16"/>
        </w:rPr>
        <w:t xml:space="preserve">The right to just and </w:t>
      </w:r>
      <w:proofErr w:type="spellStart"/>
      <w:r>
        <w:rPr>
          <w:i/>
          <w:iCs/>
          <w:sz w:val="16"/>
          <w:szCs w:val="16"/>
        </w:rPr>
        <w:t>favourable</w:t>
      </w:r>
      <w:proofErr w:type="spellEnd"/>
      <w:r>
        <w:rPr>
          <w:i/>
          <w:iCs/>
          <w:sz w:val="16"/>
          <w:szCs w:val="16"/>
        </w:rPr>
        <w:t xml:space="preserve"> conditions of work (art.7) </w:t>
      </w:r>
      <w:r>
        <w:rPr>
          <w:sz w:val="16"/>
          <w:szCs w:val="16"/>
        </w:rPr>
        <w:t xml:space="preserve">is a substantial general comment—80 paragraphs and 20 pages long. It addresses each of the components in Article 27(1) four-line sub-paragraph (b). </w:t>
      </w:r>
    </w:p>
  </w:footnote>
  <w:footnote w:id="9">
    <w:p w14:paraId="0B828E44" w14:textId="77777777" w:rsidR="006D25E6" w:rsidRDefault="006D25E6" w:rsidP="006D25E6">
      <w:pPr>
        <w:pStyle w:val="a9"/>
        <w:jc w:val="both"/>
        <w:rPr>
          <w:sz w:val="16"/>
          <w:szCs w:val="16"/>
          <w:lang w:val="en-GB" w:eastAsia="en-US"/>
        </w:rPr>
      </w:pPr>
      <w:r>
        <w:rPr>
          <w:rStyle w:val="aa"/>
          <w:sz w:val="16"/>
          <w:szCs w:val="16"/>
          <w:lang w:val="es-ES"/>
        </w:rPr>
        <w:footnoteRef/>
      </w:r>
      <w:r>
        <w:rPr>
          <w:sz w:val="16"/>
          <w:szCs w:val="16"/>
        </w:rPr>
        <w:t xml:space="preserve"> Article 11, CEDAW, </w:t>
      </w:r>
      <w:hyperlink r:id="rId7" w:history="1">
        <w:r>
          <w:rPr>
            <w:rStyle w:val="a3"/>
            <w:sz w:val="16"/>
            <w:szCs w:val="16"/>
          </w:rPr>
          <w:t>https://www.ohchr.org/SP/ProfessionalInterest/Pages/CEDAW.aspx</w:t>
        </w:r>
      </w:hyperlink>
      <w:r>
        <w:rPr>
          <w:sz w:val="16"/>
          <w:szCs w:val="16"/>
        </w:rPr>
        <w:t>.</w:t>
      </w:r>
    </w:p>
  </w:footnote>
  <w:footnote w:id="10">
    <w:p w14:paraId="3A6A59FC" w14:textId="77777777" w:rsidR="00E31E34" w:rsidRDefault="00E31E34" w:rsidP="00E31E34">
      <w:pPr>
        <w:pStyle w:val="a9"/>
        <w:jc w:val="both"/>
        <w:rPr>
          <w:sz w:val="16"/>
          <w:szCs w:val="16"/>
          <w:lang w:val="en-GB" w:eastAsia="en-US"/>
        </w:rPr>
      </w:pPr>
      <w:r>
        <w:rPr>
          <w:rStyle w:val="aa"/>
          <w:sz w:val="16"/>
          <w:szCs w:val="16"/>
          <w:lang w:val="es-ES"/>
        </w:rPr>
        <w:footnoteRef/>
      </w:r>
      <w:r>
        <w:rPr>
          <w:sz w:val="16"/>
          <w:szCs w:val="16"/>
        </w:rPr>
        <w:t xml:space="preserve"> UN Women, Making the SDGs count for women and girls with disabilities, </w:t>
      </w:r>
      <w:hyperlink r:id="rId8" w:history="1">
        <w:r>
          <w:rPr>
            <w:rStyle w:val="a3"/>
            <w:sz w:val="16"/>
            <w:szCs w:val="16"/>
          </w:rPr>
          <w:t>https://www.unwomen.org/en/digital-library/publications/2017/6/issue-brief-making-the-sdgs-count-for-women-and-girls-with-disabilities</w:t>
        </w:r>
      </w:hyperlink>
      <w:r>
        <w:rPr>
          <w:sz w:val="16"/>
          <w:szCs w:val="16"/>
        </w:rPr>
        <w:t>.</w:t>
      </w:r>
    </w:p>
  </w:footnote>
  <w:footnote w:id="11">
    <w:p w14:paraId="5EAF14A5" w14:textId="77777777" w:rsidR="00D85349" w:rsidRDefault="00D85349" w:rsidP="00D85349">
      <w:pPr>
        <w:pStyle w:val="a9"/>
        <w:jc w:val="both"/>
        <w:rPr>
          <w:sz w:val="16"/>
          <w:szCs w:val="16"/>
          <w:lang w:val="en-GB" w:eastAsia="en-US"/>
        </w:rPr>
      </w:pPr>
      <w:r>
        <w:rPr>
          <w:rStyle w:val="aa"/>
          <w:sz w:val="16"/>
          <w:szCs w:val="16"/>
          <w:lang w:val="es-ES"/>
        </w:rPr>
        <w:footnoteRef/>
      </w:r>
      <w:r>
        <w:rPr>
          <w:sz w:val="16"/>
          <w:szCs w:val="16"/>
          <w:lang w:val="es-ES"/>
        </w:rPr>
        <w:t xml:space="preserve"> </w:t>
      </w:r>
      <w:hyperlink r:id="rId9" w:history="1">
        <w:r>
          <w:rPr>
            <w:rStyle w:val="a3"/>
            <w:sz w:val="16"/>
            <w:szCs w:val="16"/>
          </w:rPr>
          <w:t>https://eige.europa.eu/gender-equality-index/2021</w:t>
        </w:r>
      </w:hyperlink>
      <w:r>
        <w:rPr>
          <w:sz w:val="16"/>
          <w:szCs w:val="16"/>
        </w:rPr>
        <w:t>.</w:t>
      </w:r>
    </w:p>
  </w:footnote>
  <w:footnote w:id="12">
    <w:p w14:paraId="5ECA39F8" w14:textId="77777777" w:rsidR="00923AD7" w:rsidRDefault="00923AD7" w:rsidP="00923AD7">
      <w:pPr>
        <w:pStyle w:val="a9"/>
        <w:jc w:val="both"/>
        <w:rPr>
          <w:sz w:val="16"/>
          <w:szCs w:val="16"/>
          <w:lang w:val="en-GB" w:eastAsia="en-US"/>
        </w:rPr>
      </w:pPr>
      <w:r>
        <w:rPr>
          <w:rStyle w:val="aa"/>
          <w:sz w:val="16"/>
          <w:szCs w:val="16"/>
          <w:lang w:val="es-ES"/>
        </w:rPr>
        <w:footnoteRef/>
      </w:r>
      <w:r>
        <w:rPr>
          <w:sz w:val="16"/>
          <w:szCs w:val="16"/>
        </w:rPr>
        <w:t xml:space="preserve"> UN Women, Making the SDGs count for women and girls with disabilities, </w:t>
      </w:r>
      <w:hyperlink r:id="rId10" w:history="1">
        <w:r>
          <w:rPr>
            <w:rStyle w:val="a3"/>
            <w:sz w:val="16"/>
            <w:szCs w:val="16"/>
          </w:rPr>
          <w:t>https://www.unwomen.org/en/digital-library/publications/2017/6/issue-brief-making-the-sdgs-count-for-women-and-girls-with-disabilities</w:t>
        </w:r>
      </w:hyperlink>
      <w:r>
        <w:rPr>
          <w:sz w:val="16"/>
          <w:szCs w:val="16"/>
        </w:rPr>
        <w:t>.</w:t>
      </w:r>
    </w:p>
  </w:footnote>
  <w:footnote w:id="13">
    <w:p w14:paraId="40C133BF" w14:textId="77777777" w:rsidR="001A66C6" w:rsidRDefault="001A66C6" w:rsidP="001A66C6">
      <w:pPr>
        <w:pStyle w:val="a9"/>
        <w:jc w:val="both"/>
        <w:rPr>
          <w:sz w:val="16"/>
          <w:szCs w:val="16"/>
          <w:lang w:val="en-GB" w:eastAsia="en-US"/>
        </w:rPr>
      </w:pPr>
      <w:r>
        <w:rPr>
          <w:rStyle w:val="aa"/>
          <w:sz w:val="16"/>
          <w:szCs w:val="16"/>
          <w:lang w:val="es-ES"/>
        </w:rPr>
        <w:footnoteRef/>
      </w:r>
      <w:r>
        <w:rPr>
          <w:sz w:val="16"/>
          <w:szCs w:val="16"/>
        </w:rPr>
        <w:t xml:space="preserve"> Paragraph  60, Committee on the Rights of Persons with Disabilities General Comment No. 3 (2016) on women and girls with disabilities, CRPD/C/GC/3, </w:t>
      </w:r>
      <w:hyperlink r:id="rId11" w:history="1">
        <w:r>
          <w:rPr>
            <w:rStyle w:val="a3"/>
            <w:sz w:val="16"/>
            <w:szCs w:val="16"/>
          </w:rPr>
          <w:t>https://tbinternet.ohchr.org/_layouts/15/treatybodyexternal/Download.aspx?symbolno=CRPD/C/GC/3&amp;Lang=en</w:t>
        </w:r>
      </w:hyperlink>
      <w:r>
        <w:rPr>
          <w:sz w:val="16"/>
          <w:szCs w:val="16"/>
        </w:rPr>
        <w:t>.</w:t>
      </w:r>
    </w:p>
  </w:footnote>
  <w:footnote w:id="14">
    <w:p w14:paraId="632465CF" w14:textId="77777777" w:rsidR="00003072" w:rsidRDefault="00003072" w:rsidP="00003072">
      <w:pPr>
        <w:pStyle w:val="a9"/>
        <w:jc w:val="both"/>
        <w:rPr>
          <w:sz w:val="16"/>
          <w:szCs w:val="16"/>
          <w:lang w:val="en-GB" w:eastAsia="en-US"/>
        </w:rPr>
      </w:pPr>
      <w:r>
        <w:rPr>
          <w:rStyle w:val="aa"/>
          <w:sz w:val="16"/>
          <w:szCs w:val="16"/>
          <w:lang w:val="es-ES"/>
        </w:rPr>
        <w:footnoteRef/>
      </w:r>
      <w:r>
        <w:rPr>
          <w:sz w:val="16"/>
          <w:szCs w:val="16"/>
        </w:rPr>
        <w:t xml:space="preserve"> Paragraph 17, Situation of women and girls with disabilities and the Status of the Convention on the Rights of Persons with Disabilities</w:t>
      </w:r>
    </w:p>
    <w:p w14:paraId="0662A120" w14:textId="77777777" w:rsidR="00003072" w:rsidRDefault="00003072" w:rsidP="00003072">
      <w:pPr>
        <w:pStyle w:val="a9"/>
        <w:jc w:val="both"/>
        <w:rPr>
          <w:sz w:val="16"/>
          <w:szCs w:val="16"/>
        </w:rPr>
      </w:pPr>
      <w:r>
        <w:rPr>
          <w:sz w:val="16"/>
          <w:szCs w:val="16"/>
        </w:rPr>
        <w:t xml:space="preserve">and the Optional Protocol thereto, Report of the Secretary-General submitted pursuant to General Assembly resolution 70/145, A/72/227, </w:t>
      </w:r>
      <w:hyperlink r:id="rId12" w:history="1">
        <w:r>
          <w:rPr>
            <w:rStyle w:val="a3"/>
            <w:sz w:val="16"/>
            <w:szCs w:val="16"/>
          </w:rPr>
          <w:t>https://undocs.org/A/72/227</w:t>
        </w:r>
      </w:hyperlink>
      <w:r>
        <w:rPr>
          <w:sz w:val="16"/>
          <w:szCs w:val="16"/>
        </w:rPr>
        <w:t>.</w:t>
      </w:r>
    </w:p>
  </w:footnote>
  <w:footnote w:id="15">
    <w:p w14:paraId="2F3AC97A" w14:textId="77777777" w:rsidR="001277B1" w:rsidRDefault="001277B1" w:rsidP="001277B1">
      <w:pPr>
        <w:pStyle w:val="a9"/>
        <w:jc w:val="both"/>
        <w:rPr>
          <w:sz w:val="16"/>
          <w:szCs w:val="16"/>
          <w:lang w:val="en-GB" w:eastAsia="en-US"/>
        </w:rPr>
      </w:pPr>
      <w:r>
        <w:rPr>
          <w:rStyle w:val="aa"/>
          <w:sz w:val="16"/>
          <w:szCs w:val="16"/>
          <w:lang w:val="es-ES"/>
        </w:rPr>
        <w:footnoteRef/>
      </w:r>
      <w:r>
        <w:rPr>
          <w:sz w:val="16"/>
          <w:szCs w:val="16"/>
        </w:rPr>
        <w:t xml:space="preserve"> Ibid, paragraph 16.</w:t>
      </w:r>
    </w:p>
  </w:footnote>
  <w:footnote w:id="16">
    <w:p w14:paraId="6F4628CD" w14:textId="77777777" w:rsidR="00F64C56" w:rsidRDefault="00F64C56" w:rsidP="00F64C56">
      <w:pPr>
        <w:pStyle w:val="a9"/>
        <w:jc w:val="both"/>
        <w:rPr>
          <w:sz w:val="16"/>
          <w:szCs w:val="16"/>
          <w:lang w:val="en-GB" w:eastAsia="en-US"/>
        </w:rPr>
      </w:pPr>
      <w:r>
        <w:rPr>
          <w:rStyle w:val="aa"/>
          <w:sz w:val="16"/>
          <w:szCs w:val="16"/>
          <w:lang w:val="es-ES"/>
        </w:rPr>
        <w:footnoteRef/>
      </w:r>
      <w:r>
        <w:rPr>
          <w:sz w:val="16"/>
          <w:szCs w:val="16"/>
        </w:rPr>
        <w:t xml:space="preserve"> Domestic Workers Convention, 2011 (No. 189), International </w:t>
      </w:r>
      <w:proofErr w:type="spellStart"/>
      <w:r>
        <w:rPr>
          <w:sz w:val="16"/>
          <w:szCs w:val="16"/>
        </w:rPr>
        <w:t>Labour</w:t>
      </w:r>
      <w:proofErr w:type="spellEnd"/>
      <w:r>
        <w:rPr>
          <w:sz w:val="16"/>
          <w:szCs w:val="16"/>
        </w:rPr>
        <w:t xml:space="preserve"> Organization, </w:t>
      </w:r>
      <w:hyperlink r:id="rId13" w:history="1">
        <w:r>
          <w:rPr>
            <w:rStyle w:val="a3"/>
            <w:sz w:val="16"/>
            <w:szCs w:val="16"/>
          </w:rPr>
          <w:t>https://www.ilo.org/dyn/normlex/en/f?p=NORMLEXPUB:12100:0::NO::P12100_ILO_CODE:C189</w:t>
        </w:r>
      </w:hyperlink>
      <w:r>
        <w:rPr>
          <w:sz w:val="16"/>
          <w:szCs w:val="16"/>
        </w:rPr>
        <w:t>.</w:t>
      </w:r>
    </w:p>
  </w:footnote>
  <w:footnote w:id="17">
    <w:p w14:paraId="54415FF6" w14:textId="77777777" w:rsidR="006946BD" w:rsidRDefault="006946BD" w:rsidP="006946BD">
      <w:pPr>
        <w:pStyle w:val="a9"/>
        <w:jc w:val="both"/>
        <w:rPr>
          <w:sz w:val="16"/>
          <w:szCs w:val="16"/>
          <w:lang w:val="en-GB" w:eastAsia="en-US"/>
        </w:rPr>
      </w:pPr>
      <w:r>
        <w:rPr>
          <w:rStyle w:val="aa"/>
          <w:sz w:val="16"/>
          <w:szCs w:val="16"/>
          <w:lang w:val="es-ES"/>
        </w:rPr>
        <w:footnoteRef/>
      </w:r>
      <w:r>
        <w:rPr>
          <w:sz w:val="16"/>
          <w:szCs w:val="16"/>
        </w:rPr>
        <w:t xml:space="preserve"> Paragraph 20, CEDAW Committee General recommendation No. 38 (2020) on trafficking in women and girls in the context of global migration, CEDAW/C/GC/38, </w:t>
      </w:r>
      <w:hyperlink r:id="rId14" w:history="1">
        <w:r>
          <w:rPr>
            <w:rStyle w:val="a3"/>
            <w:sz w:val="16"/>
            <w:szCs w:val="16"/>
          </w:rPr>
          <w:t>https://tbinternet.ohchr.org/_layouts/15/treatybodyexternal/Download.aspx?symbolno=CEDAW/C/GC/38&amp;Lang=en</w:t>
        </w:r>
      </w:hyperlink>
      <w:r>
        <w:rPr>
          <w:sz w:val="16"/>
          <w:szCs w:val="16"/>
        </w:rPr>
        <w:t xml:space="preserve">. </w:t>
      </w:r>
    </w:p>
  </w:footnote>
  <w:footnote w:id="18">
    <w:p w14:paraId="6559E47B" w14:textId="77777777" w:rsidR="00E23E3A" w:rsidRDefault="00E23E3A" w:rsidP="00E23E3A">
      <w:pPr>
        <w:pStyle w:val="a9"/>
        <w:jc w:val="both"/>
        <w:rPr>
          <w:sz w:val="16"/>
          <w:szCs w:val="16"/>
          <w:lang w:val="en-GB" w:eastAsia="en-US"/>
        </w:rPr>
      </w:pPr>
      <w:r>
        <w:rPr>
          <w:rStyle w:val="aa"/>
          <w:sz w:val="16"/>
          <w:szCs w:val="16"/>
          <w:lang w:val="es-ES"/>
        </w:rPr>
        <w:footnoteRef/>
      </w:r>
      <w:r>
        <w:rPr>
          <w:sz w:val="16"/>
          <w:szCs w:val="16"/>
        </w:rPr>
        <w:t xml:space="preserve"> Ibid., </w:t>
      </w:r>
      <w:proofErr w:type="spellStart"/>
      <w:r>
        <w:rPr>
          <w:sz w:val="16"/>
          <w:szCs w:val="16"/>
        </w:rPr>
        <w:t>párrafo</w:t>
      </w:r>
      <w:proofErr w:type="spellEnd"/>
      <w:r>
        <w:rPr>
          <w:sz w:val="16"/>
          <w:szCs w:val="16"/>
        </w:rPr>
        <w:t xml:space="preserve"> 31.</w:t>
      </w:r>
    </w:p>
  </w:footnote>
  <w:footnote w:id="19">
    <w:p w14:paraId="54C2CFCE" w14:textId="77777777" w:rsidR="00E23E3A" w:rsidRDefault="00E23E3A" w:rsidP="00E23E3A">
      <w:pPr>
        <w:pStyle w:val="a9"/>
        <w:jc w:val="both"/>
        <w:rPr>
          <w:sz w:val="16"/>
          <w:szCs w:val="16"/>
          <w:lang w:val="en-GB" w:eastAsia="en-US"/>
        </w:rPr>
      </w:pPr>
      <w:r>
        <w:rPr>
          <w:rStyle w:val="aa"/>
          <w:sz w:val="16"/>
          <w:szCs w:val="16"/>
          <w:lang w:val="es-ES"/>
        </w:rPr>
        <w:footnoteRef/>
      </w:r>
      <w:r>
        <w:rPr>
          <w:sz w:val="16"/>
          <w:szCs w:val="16"/>
        </w:rPr>
        <w:t xml:space="preserve"> Article 11, CEDAW.</w:t>
      </w:r>
    </w:p>
  </w:footnote>
  <w:footnote w:id="20">
    <w:p w14:paraId="32C8CEE2" w14:textId="77777777" w:rsidR="00E23E3A" w:rsidRDefault="00E23E3A" w:rsidP="00E23E3A">
      <w:pPr>
        <w:pStyle w:val="a9"/>
        <w:jc w:val="both"/>
        <w:rPr>
          <w:sz w:val="16"/>
          <w:szCs w:val="16"/>
          <w:lang w:val="en-GB" w:eastAsia="en-US"/>
        </w:rPr>
      </w:pPr>
      <w:r>
        <w:rPr>
          <w:rStyle w:val="aa"/>
          <w:sz w:val="16"/>
          <w:szCs w:val="16"/>
          <w:lang w:val="es-ES"/>
        </w:rPr>
        <w:footnoteRef/>
      </w:r>
      <w:r>
        <w:rPr>
          <w:sz w:val="16"/>
          <w:szCs w:val="16"/>
          <w:lang w:val="es-ES"/>
        </w:rPr>
        <w:t xml:space="preserve"> </w:t>
      </w:r>
      <w:r>
        <w:rPr>
          <w:sz w:val="16"/>
          <w:szCs w:val="16"/>
        </w:rPr>
        <w:t>In line with SDG target 8.5.</w:t>
      </w:r>
    </w:p>
  </w:footnote>
  <w:footnote w:id="21">
    <w:p w14:paraId="42BB577C" w14:textId="77777777" w:rsidR="00155F4B" w:rsidRDefault="00155F4B" w:rsidP="00155F4B">
      <w:pPr>
        <w:pStyle w:val="a9"/>
        <w:jc w:val="both"/>
        <w:rPr>
          <w:sz w:val="16"/>
          <w:szCs w:val="16"/>
          <w:lang w:val="en-GB" w:eastAsia="en-US"/>
        </w:rPr>
      </w:pPr>
      <w:r>
        <w:rPr>
          <w:rStyle w:val="aa"/>
          <w:sz w:val="16"/>
          <w:szCs w:val="16"/>
          <w:lang w:val="es-ES"/>
        </w:rPr>
        <w:footnoteRef/>
      </w:r>
      <w:r>
        <w:rPr>
          <w:sz w:val="16"/>
          <w:szCs w:val="16"/>
          <w:lang w:val="es-ES"/>
        </w:rPr>
        <w:t xml:space="preserve"> </w:t>
      </w:r>
      <w:r>
        <w:rPr>
          <w:sz w:val="16"/>
          <w:szCs w:val="16"/>
        </w:rPr>
        <w:t>In line with CRPD Committee General Comment No. 3 on women and girls with disabilities and CEDAW Committee General Recommendation No. 18 on disabled women.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2B"/>
    <w:rsid w:val="00003072"/>
    <w:rsid w:val="00023365"/>
    <w:rsid w:val="0009028B"/>
    <w:rsid w:val="00097914"/>
    <w:rsid w:val="000D2A72"/>
    <w:rsid w:val="000E2801"/>
    <w:rsid w:val="00101E5F"/>
    <w:rsid w:val="001277B1"/>
    <w:rsid w:val="00155F4B"/>
    <w:rsid w:val="00157E21"/>
    <w:rsid w:val="001625D8"/>
    <w:rsid w:val="001970E1"/>
    <w:rsid w:val="00197B68"/>
    <w:rsid w:val="001A66C6"/>
    <w:rsid w:val="001B0F24"/>
    <w:rsid w:val="001C481F"/>
    <w:rsid w:val="001D202B"/>
    <w:rsid w:val="002100ED"/>
    <w:rsid w:val="002210E2"/>
    <w:rsid w:val="00233FFF"/>
    <w:rsid w:val="0023464A"/>
    <w:rsid w:val="002416FB"/>
    <w:rsid w:val="0025647E"/>
    <w:rsid w:val="00297144"/>
    <w:rsid w:val="002F2A86"/>
    <w:rsid w:val="00333E24"/>
    <w:rsid w:val="0038720E"/>
    <w:rsid w:val="00387E6B"/>
    <w:rsid w:val="0039677B"/>
    <w:rsid w:val="003D69C2"/>
    <w:rsid w:val="003F1DF2"/>
    <w:rsid w:val="0040525B"/>
    <w:rsid w:val="00435533"/>
    <w:rsid w:val="00436B19"/>
    <w:rsid w:val="004862B7"/>
    <w:rsid w:val="0048643F"/>
    <w:rsid w:val="00487AFB"/>
    <w:rsid w:val="004970FC"/>
    <w:rsid w:val="004A1BEF"/>
    <w:rsid w:val="004A55FA"/>
    <w:rsid w:val="004D073C"/>
    <w:rsid w:val="004D49AB"/>
    <w:rsid w:val="00511FBF"/>
    <w:rsid w:val="00517182"/>
    <w:rsid w:val="00554BC8"/>
    <w:rsid w:val="0059227B"/>
    <w:rsid w:val="005947DB"/>
    <w:rsid w:val="005A098F"/>
    <w:rsid w:val="005D3EB6"/>
    <w:rsid w:val="006156B7"/>
    <w:rsid w:val="006920DC"/>
    <w:rsid w:val="00693110"/>
    <w:rsid w:val="006946BD"/>
    <w:rsid w:val="006D25E6"/>
    <w:rsid w:val="006F2CC5"/>
    <w:rsid w:val="007C5C36"/>
    <w:rsid w:val="007F1D7E"/>
    <w:rsid w:val="007F706A"/>
    <w:rsid w:val="008665AF"/>
    <w:rsid w:val="00881C20"/>
    <w:rsid w:val="008A1A9C"/>
    <w:rsid w:val="008E39CB"/>
    <w:rsid w:val="008E4565"/>
    <w:rsid w:val="00910743"/>
    <w:rsid w:val="00923AD7"/>
    <w:rsid w:val="009245F2"/>
    <w:rsid w:val="0096404F"/>
    <w:rsid w:val="00971DB1"/>
    <w:rsid w:val="009D0799"/>
    <w:rsid w:val="00AD0D8A"/>
    <w:rsid w:val="00AD7426"/>
    <w:rsid w:val="00AE3C09"/>
    <w:rsid w:val="00B35A4B"/>
    <w:rsid w:val="00B40647"/>
    <w:rsid w:val="00B57E37"/>
    <w:rsid w:val="00B724A4"/>
    <w:rsid w:val="00B94999"/>
    <w:rsid w:val="00C468B5"/>
    <w:rsid w:val="00C8429E"/>
    <w:rsid w:val="00CA307E"/>
    <w:rsid w:val="00CB3537"/>
    <w:rsid w:val="00CB4631"/>
    <w:rsid w:val="00CC2BF6"/>
    <w:rsid w:val="00CE3357"/>
    <w:rsid w:val="00D1084B"/>
    <w:rsid w:val="00D547D6"/>
    <w:rsid w:val="00D57E90"/>
    <w:rsid w:val="00D66C27"/>
    <w:rsid w:val="00D85349"/>
    <w:rsid w:val="00D9072A"/>
    <w:rsid w:val="00DF2FCB"/>
    <w:rsid w:val="00E23E3A"/>
    <w:rsid w:val="00E31E34"/>
    <w:rsid w:val="00E9629F"/>
    <w:rsid w:val="00F3755C"/>
    <w:rsid w:val="00F42BA0"/>
    <w:rsid w:val="00F64C56"/>
    <w:rsid w:val="00F9221A"/>
    <w:rsid w:val="00FA35F9"/>
    <w:rsid w:val="00FC36A9"/>
    <w:rsid w:val="00FE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519AB"/>
  <w15:chartTrackingRefBased/>
  <w15:docId w15:val="{32A894F6-2584-49E2-BE8F-9ABBFCFE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565"/>
    <w:rPr>
      <w:color w:val="0563C1" w:themeColor="hyperlink"/>
      <w:u w:val="single"/>
    </w:rPr>
  </w:style>
  <w:style w:type="character" w:customStyle="1" w:styleId="1">
    <w:name w:val="未解決のメンション1"/>
    <w:basedOn w:val="a0"/>
    <w:uiPriority w:val="99"/>
    <w:semiHidden/>
    <w:unhideWhenUsed/>
    <w:rsid w:val="008E4565"/>
    <w:rPr>
      <w:color w:val="605E5C"/>
      <w:shd w:val="clear" w:color="auto" w:fill="E1DFDD"/>
    </w:rPr>
  </w:style>
  <w:style w:type="paragraph" w:styleId="a4">
    <w:name w:val="header"/>
    <w:basedOn w:val="a"/>
    <w:link w:val="a5"/>
    <w:uiPriority w:val="99"/>
    <w:unhideWhenUsed/>
    <w:rsid w:val="008E4565"/>
    <w:pPr>
      <w:tabs>
        <w:tab w:val="center" w:pos="4252"/>
        <w:tab w:val="right" w:pos="8504"/>
      </w:tabs>
      <w:snapToGrid w:val="0"/>
    </w:pPr>
  </w:style>
  <w:style w:type="character" w:customStyle="1" w:styleId="a5">
    <w:name w:val="ヘッダー (文字)"/>
    <w:basedOn w:val="a0"/>
    <w:link w:val="a4"/>
    <w:uiPriority w:val="99"/>
    <w:rsid w:val="008E4565"/>
  </w:style>
  <w:style w:type="paragraph" w:styleId="a6">
    <w:name w:val="footer"/>
    <w:basedOn w:val="a"/>
    <w:link w:val="a7"/>
    <w:uiPriority w:val="99"/>
    <w:unhideWhenUsed/>
    <w:rsid w:val="008E4565"/>
    <w:pPr>
      <w:tabs>
        <w:tab w:val="center" w:pos="4252"/>
        <w:tab w:val="right" w:pos="8504"/>
      </w:tabs>
      <w:snapToGrid w:val="0"/>
    </w:pPr>
  </w:style>
  <w:style w:type="character" w:customStyle="1" w:styleId="a7">
    <w:name w:val="フッター (文字)"/>
    <w:basedOn w:val="a0"/>
    <w:link w:val="a6"/>
    <w:uiPriority w:val="99"/>
    <w:rsid w:val="008E4565"/>
  </w:style>
  <w:style w:type="character" w:customStyle="1" w:styleId="a8">
    <w:name w:val="脚注文字列 (文字)"/>
    <w:aliases w:val="5_G (文字)"/>
    <w:basedOn w:val="a0"/>
    <w:link w:val="a9"/>
    <w:semiHidden/>
    <w:locked/>
    <w:rsid w:val="00436B19"/>
    <w:rPr>
      <w:sz w:val="20"/>
      <w:szCs w:val="20"/>
    </w:rPr>
  </w:style>
  <w:style w:type="paragraph" w:styleId="a9">
    <w:name w:val="footnote text"/>
    <w:aliases w:val="5_G"/>
    <w:basedOn w:val="a"/>
    <w:link w:val="a8"/>
    <w:semiHidden/>
    <w:unhideWhenUsed/>
    <w:rsid w:val="00436B19"/>
    <w:pPr>
      <w:widowControl/>
      <w:jc w:val="left"/>
    </w:pPr>
    <w:rPr>
      <w:sz w:val="20"/>
      <w:szCs w:val="20"/>
    </w:rPr>
  </w:style>
  <w:style w:type="character" w:customStyle="1" w:styleId="10">
    <w:name w:val="脚注文字列 (文字)1"/>
    <w:basedOn w:val="a0"/>
    <w:uiPriority w:val="99"/>
    <w:semiHidden/>
    <w:rsid w:val="00436B19"/>
  </w:style>
  <w:style w:type="character" w:styleId="aa">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a0"/>
    <w:link w:val="4GCharCharChar"/>
    <w:uiPriority w:val="99"/>
    <w:unhideWhenUsed/>
    <w:qFormat/>
    <w:rsid w:val="00436B1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a"/>
    <w:uiPriority w:val="99"/>
    <w:rsid w:val="00436B19"/>
    <w:pPr>
      <w:widowControl/>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043">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53975264">
      <w:bodyDiv w:val="1"/>
      <w:marLeft w:val="0"/>
      <w:marRight w:val="0"/>
      <w:marTop w:val="0"/>
      <w:marBottom w:val="0"/>
      <w:divBdr>
        <w:top w:val="none" w:sz="0" w:space="0" w:color="auto"/>
        <w:left w:val="none" w:sz="0" w:space="0" w:color="auto"/>
        <w:bottom w:val="none" w:sz="0" w:space="0" w:color="auto"/>
        <w:right w:val="none" w:sz="0" w:space="0" w:color="auto"/>
      </w:divBdr>
    </w:div>
    <w:div w:id="269364835">
      <w:bodyDiv w:val="1"/>
      <w:marLeft w:val="0"/>
      <w:marRight w:val="0"/>
      <w:marTop w:val="0"/>
      <w:marBottom w:val="0"/>
      <w:divBdr>
        <w:top w:val="none" w:sz="0" w:space="0" w:color="auto"/>
        <w:left w:val="none" w:sz="0" w:space="0" w:color="auto"/>
        <w:bottom w:val="none" w:sz="0" w:space="0" w:color="auto"/>
        <w:right w:val="none" w:sz="0" w:space="0" w:color="auto"/>
      </w:divBdr>
    </w:div>
    <w:div w:id="419912881">
      <w:bodyDiv w:val="1"/>
      <w:marLeft w:val="0"/>
      <w:marRight w:val="0"/>
      <w:marTop w:val="0"/>
      <w:marBottom w:val="0"/>
      <w:divBdr>
        <w:top w:val="none" w:sz="0" w:space="0" w:color="auto"/>
        <w:left w:val="none" w:sz="0" w:space="0" w:color="auto"/>
        <w:bottom w:val="none" w:sz="0" w:space="0" w:color="auto"/>
        <w:right w:val="none" w:sz="0" w:space="0" w:color="auto"/>
      </w:divBdr>
    </w:div>
    <w:div w:id="454178330">
      <w:bodyDiv w:val="1"/>
      <w:marLeft w:val="0"/>
      <w:marRight w:val="0"/>
      <w:marTop w:val="0"/>
      <w:marBottom w:val="0"/>
      <w:divBdr>
        <w:top w:val="none" w:sz="0" w:space="0" w:color="auto"/>
        <w:left w:val="none" w:sz="0" w:space="0" w:color="auto"/>
        <w:bottom w:val="none" w:sz="0" w:space="0" w:color="auto"/>
        <w:right w:val="none" w:sz="0" w:space="0" w:color="auto"/>
      </w:divBdr>
    </w:div>
    <w:div w:id="503399785">
      <w:bodyDiv w:val="1"/>
      <w:marLeft w:val="0"/>
      <w:marRight w:val="0"/>
      <w:marTop w:val="0"/>
      <w:marBottom w:val="0"/>
      <w:divBdr>
        <w:top w:val="none" w:sz="0" w:space="0" w:color="auto"/>
        <w:left w:val="none" w:sz="0" w:space="0" w:color="auto"/>
        <w:bottom w:val="none" w:sz="0" w:space="0" w:color="auto"/>
        <w:right w:val="none" w:sz="0" w:space="0" w:color="auto"/>
      </w:divBdr>
    </w:div>
    <w:div w:id="828985499">
      <w:bodyDiv w:val="1"/>
      <w:marLeft w:val="0"/>
      <w:marRight w:val="0"/>
      <w:marTop w:val="0"/>
      <w:marBottom w:val="0"/>
      <w:divBdr>
        <w:top w:val="none" w:sz="0" w:space="0" w:color="auto"/>
        <w:left w:val="none" w:sz="0" w:space="0" w:color="auto"/>
        <w:bottom w:val="none" w:sz="0" w:space="0" w:color="auto"/>
        <w:right w:val="none" w:sz="0" w:space="0" w:color="auto"/>
      </w:divBdr>
    </w:div>
    <w:div w:id="1165166550">
      <w:bodyDiv w:val="1"/>
      <w:marLeft w:val="0"/>
      <w:marRight w:val="0"/>
      <w:marTop w:val="0"/>
      <w:marBottom w:val="0"/>
      <w:divBdr>
        <w:top w:val="none" w:sz="0" w:space="0" w:color="auto"/>
        <w:left w:val="none" w:sz="0" w:space="0" w:color="auto"/>
        <w:bottom w:val="none" w:sz="0" w:space="0" w:color="auto"/>
        <w:right w:val="none" w:sz="0" w:space="0" w:color="auto"/>
      </w:divBdr>
    </w:div>
    <w:div w:id="1361396818">
      <w:bodyDiv w:val="1"/>
      <w:marLeft w:val="0"/>
      <w:marRight w:val="0"/>
      <w:marTop w:val="0"/>
      <w:marBottom w:val="0"/>
      <w:divBdr>
        <w:top w:val="none" w:sz="0" w:space="0" w:color="auto"/>
        <w:left w:val="none" w:sz="0" w:space="0" w:color="auto"/>
        <w:bottom w:val="none" w:sz="0" w:space="0" w:color="auto"/>
        <w:right w:val="none" w:sz="0" w:space="0" w:color="auto"/>
      </w:divBdr>
    </w:div>
    <w:div w:id="1373574376">
      <w:bodyDiv w:val="1"/>
      <w:marLeft w:val="0"/>
      <w:marRight w:val="0"/>
      <w:marTop w:val="0"/>
      <w:marBottom w:val="0"/>
      <w:divBdr>
        <w:top w:val="none" w:sz="0" w:space="0" w:color="auto"/>
        <w:left w:val="none" w:sz="0" w:space="0" w:color="auto"/>
        <w:bottom w:val="none" w:sz="0" w:space="0" w:color="auto"/>
        <w:right w:val="none" w:sz="0" w:space="0" w:color="auto"/>
      </w:divBdr>
    </w:div>
    <w:div w:id="1409302798">
      <w:bodyDiv w:val="1"/>
      <w:marLeft w:val="0"/>
      <w:marRight w:val="0"/>
      <w:marTop w:val="0"/>
      <w:marBottom w:val="0"/>
      <w:divBdr>
        <w:top w:val="none" w:sz="0" w:space="0" w:color="auto"/>
        <w:left w:val="none" w:sz="0" w:space="0" w:color="auto"/>
        <w:bottom w:val="none" w:sz="0" w:space="0" w:color="auto"/>
        <w:right w:val="none" w:sz="0" w:space="0" w:color="auto"/>
      </w:divBdr>
    </w:div>
    <w:div w:id="1462727269">
      <w:bodyDiv w:val="1"/>
      <w:marLeft w:val="0"/>
      <w:marRight w:val="0"/>
      <w:marTop w:val="0"/>
      <w:marBottom w:val="0"/>
      <w:divBdr>
        <w:top w:val="none" w:sz="0" w:space="0" w:color="auto"/>
        <w:left w:val="none" w:sz="0" w:space="0" w:color="auto"/>
        <w:bottom w:val="none" w:sz="0" w:space="0" w:color="auto"/>
        <w:right w:val="none" w:sz="0" w:space="0" w:color="auto"/>
      </w:divBdr>
    </w:div>
    <w:div w:id="1591695372">
      <w:bodyDiv w:val="1"/>
      <w:marLeft w:val="0"/>
      <w:marRight w:val="0"/>
      <w:marTop w:val="0"/>
      <w:marBottom w:val="0"/>
      <w:divBdr>
        <w:top w:val="none" w:sz="0" w:space="0" w:color="auto"/>
        <w:left w:val="none" w:sz="0" w:space="0" w:color="auto"/>
        <w:bottom w:val="none" w:sz="0" w:space="0" w:color="auto"/>
        <w:right w:val="none" w:sz="0" w:space="0" w:color="auto"/>
      </w:divBdr>
    </w:div>
    <w:div w:id="1625698767">
      <w:bodyDiv w:val="1"/>
      <w:marLeft w:val="0"/>
      <w:marRight w:val="0"/>
      <w:marTop w:val="0"/>
      <w:marBottom w:val="0"/>
      <w:divBdr>
        <w:top w:val="none" w:sz="0" w:space="0" w:color="auto"/>
        <w:left w:val="none" w:sz="0" w:space="0" w:color="auto"/>
        <w:bottom w:val="none" w:sz="0" w:space="0" w:color="auto"/>
        <w:right w:val="none" w:sz="0" w:space="0" w:color="auto"/>
      </w:divBdr>
    </w:div>
    <w:div w:id="1626303408">
      <w:bodyDiv w:val="1"/>
      <w:marLeft w:val="0"/>
      <w:marRight w:val="0"/>
      <w:marTop w:val="0"/>
      <w:marBottom w:val="0"/>
      <w:divBdr>
        <w:top w:val="none" w:sz="0" w:space="0" w:color="auto"/>
        <w:left w:val="none" w:sz="0" w:space="0" w:color="auto"/>
        <w:bottom w:val="none" w:sz="0" w:space="0" w:color="auto"/>
        <w:right w:val="none" w:sz="0" w:space="0" w:color="auto"/>
      </w:divBdr>
    </w:div>
    <w:div w:id="1661931066">
      <w:bodyDiv w:val="1"/>
      <w:marLeft w:val="0"/>
      <w:marRight w:val="0"/>
      <w:marTop w:val="0"/>
      <w:marBottom w:val="0"/>
      <w:divBdr>
        <w:top w:val="none" w:sz="0" w:space="0" w:color="auto"/>
        <w:left w:val="none" w:sz="0" w:space="0" w:color="auto"/>
        <w:bottom w:val="none" w:sz="0" w:space="0" w:color="auto"/>
        <w:right w:val="none" w:sz="0" w:space="0" w:color="auto"/>
      </w:divBdr>
    </w:div>
    <w:div w:id="1691292573">
      <w:bodyDiv w:val="1"/>
      <w:marLeft w:val="0"/>
      <w:marRight w:val="0"/>
      <w:marTop w:val="0"/>
      <w:marBottom w:val="0"/>
      <w:divBdr>
        <w:top w:val="none" w:sz="0" w:space="0" w:color="auto"/>
        <w:left w:val="none" w:sz="0" w:space="0" w:color="auto"/>
        <w:bottom w:val="none" w:sz="0" w:space="0" w:color="auto"/>
        <w:right w:val="none" w:sz="0" w:space="0" w:color="auto"/>
      </w:divBdr>
    </w:div>
    <w:div w:id="1960336932">
      <w:bodyDiv w:val="1"/>
      <w:marLeft w:val="0"/>
      <w:marRight w:val="0"/>
      <w:marTop w:val="0"/>
      <w:marBottom w:val="0"/>
      <w:divBdr>
        <w:top w:val="none" w:sz="0" w:space="0" w:color="auto"/>
        <w:left w:val="none" w:sz="0" w:space="0" w:color="auto"/>
        <w:bottom w:val="none" w:sz="0" w:space="0" w:color="auto"/>
        <w:right w:val="none" w:sz="0" w:space="0" w:color="auto"/>
      </w:divBdr>
    </w:div>
    <w:div w:id="1975599678">
      <w:bodyDiv w:val="1"/>
      <w:marLeft w:val="0"/>
      <w:marRight w:val="0"/>
      <w:marTop w:val="0"/>
      <w:marBottom w:val="0"/>
      <w:divBdr>
        <w:top w:val="none" w:sz="0" w:space="0" w:color="auto"/>
        <w:left w:val="none" w:sz="0" w:space="0" w:color="auto"/>
        <w:bottom w:val="none" w:sz="0" w:space="0" w:color="auto"/>
        <w:right w:val="none" w:sz="0" w:space="0" w:color="auto"/>
      </w:divBdr>
    </w:div>
    <w:div w:id="2036037376">
      <w:bodyDiv w:val="1"/>
      <w:marLeft w:val="0"/>
      <w:marRight w:val="0"/>
      <w:marTop w:val="0"/>
      <w:marBottom w:val="0"/>
      <w:divBdr>
        <w:top w:val="none" w:sz="0" w:space="0" w:color="auto"/>
        <w:left w:val="none" w:sz="0" w:space="0" w:color="auto"/>
        <w:bottom w:val="none" w:sz="0" w:space="0" w:color="auto"/>
        <w:right w:val="none" w:sz="0" w:space="0" w:color="auto"/>
      </w:divBdr>
    </w:div>
    <w:div w:id="20993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undacioncermimujeres.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women.org/en/digital-library/publications/2017/6/issue-brief-making-the-sdgs-count-for-women-and-girls-with-disabilities" TargetMode="External"/><Relationship Id="rId13" Type="http://schemas.openxmlformats.org/officeDocument/2006/relationships/hyperlink" Target="https://www.ilo.org/dyn/normlex/en/f?p=NORMLEXPUB:12100:0::NO::P12100_ILO_CODE:C189" TargetMode="External"/><Relationship Id="rId3" Type="http://schemas.openxmlformats.org/officeDocument/2006/relationships/hyperlink" Target="https://tbinternet.ohchr.org/_layouts/15/treatybodyexternal/Download.aspx?symbolno=E%2fC.12%2fGC%2f23&amp;Lang=en" TargetMode="External"/><Relationship Id="rId7" Type="http://schemas.openxmlformats.org/officeDocument/2006/relationships/hyperlink" Target="https://www.ohchr.org/SP/ProfessionalInterest/Pages/CEDAW.aspx" TargetMode="External"/><Relationship Id="rId12" Type="http://schemas.openxmlformats.org/officeDocument/2006/relationships/hyperlink" Target="https://undocs.org/A/72/227" TargetMode="External"/><Relationship Id="rId2" Type="http://schemas.openxmlformats.org/officeDocument/2006/relationships/hyperlink" Target="https://social.un.org/publications/UN-Flagship-Report-Disability-Final.pdf" TargetMode="External"/><Relationship Id="rId1" Type="http://schemas.openxmlformats.org/officeDocument/2006/relationships/hyperlink" Target="https://tbinternet.ohchr.org/_layouts/15/treatybodyexternal/Download.aspx?symbolno=CRPD/C/GC/3&amp;Lang=en" TargetMode="External"/><Relationship Id="rId6" Type="http://schemas.openxmlformats.org/officeDocument/2006/relationships/hyperlink" Target="https://undocs.org/en/A/HRC/20/5" TargetMode="External"/><Relationship Id="rId11" Type="http://schemas.openxmlformats.org/officeDocument/2006/relationships/hyperlink" Target="https://tbinternet.ohchr.org/_layouts/15/treatybodyexternal/Download.aspx?symbolno=CRPD/C/GC/3&amp;Lang=en" TargetMode="External"/><Relationship Id="rId5" Type="http://schemas.openxmlformats.org/officeDocument/2006/relationships/hyperlink" Target="https://tbinternet.ohchr.org/_layouts/15/treatybodyexternal/Download.aspx?symbolno=CEDAW%2fC%2fAUT%2fCO%2f9&amp;Lang=en" TargetMode="External"/><Relationship Id="rId10" Type="http://schemas.openxmlformats.org/officeDocument/2006/relationships/hyperlink" Target="https://www.unwomen.org/en/digital-library/publications/2017/6/issue-brief-making-the-sdgs-count-for-women-and-girls-with-disabilities" TargetMode="External"/><Relationship Id="rId4" Type="http://schemas.openxmlformats.org/officeDocument/2006/relationships/hyperlink" Target="https://tbinternet.ohchr.org/_layouts/15/treatybodyexternal/Download.aspx?symbolno=CEDAW%2fC%2fLVA%2fCO%2f4-7&amp;Lang=en" TargetMode="External"/><Relationship Id="rId9" Type="http://schemas.openxmlformats.org/officeDocument/2006/relationships/hyperlink" Target="https://eige.europa.eu/gender-equality-index/2021" TargetMode="External"/><Relationship Id="rId14" Type="http://schemas.openxmlformats.org/officeDocument/2006/relationships/hyperlink" Target="https://tbinternet.ohchr.org/_layouts/15/treatybodyexternal/Download.aspx?symbolno=CEDAW/C/GC/38&amp;Lan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A0BA714BB07A1458CDBEA02B36F0689" ma:contentTypeVersion="11" ma:contentTypeDescription="新しいドキュメントを作成します。" ma:contentTypeScope="" ma:versionID="6dd210dd7d68beee48ae65a66b2b600c">
  <xsd:schema xmlns:xsd="http://www.w3.org/2001/XMLSchema" xmlns:xs="http://www.w3.org/2001/XMLSchema" xmlns:p="http://schemas.microsoft.com/office/2006/metadata/properties" xmlns:ns3="c93f7202-1f51-4dad-810e-9299fbc1ddc9" targetNamespace="http://schemas.microsoft.com/office/2006/metadata/properties" ma:root="true" ma:fieldsID="e19e6908992856d45cc237b5ef2fa4c3" ns3:_="">
    <xsd:import namespace="c93f7202-1f51-4dad-810e-9299fbc1dd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f7202-1f51-4dad-810e-9299fbc1d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0A25B-2585-414F-BF79-908E468AE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674D3A-98C1-4841-BF44-21A46D658AFC}">
  <ds:schemaRefs>
    <ds:schemaRef ds:uri="http://schemas.microsoft.com/sharepoint/v3/contenttype/forms"/>
  </ds:schemaRefs>
</ds:datastoreItem>
</file>

<file path=customXml/itemProps3.xml><?xml version="1.0" encoding="utf-8"?>
<ds:datastoreItem xmlns:ds="http://schemas.openxmlformats.org/officeDocument/2006/customXml" ds:itemID="{4108B15A-F5B0-47CC-A112-2EAEAB6C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f7202-1f51-4dad-810e-9299fbc1d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1429</Words>
  <Characters>8150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2022-05-06T03:53:00Z</dcterms:created>
  <dcterms:modified xsi:type="dcterms:W3CDTF">2022-05-06T03:53:00Z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0x0101005A0BA714BB07A1458CDBEA02B36F0689</vt:lpwstr>
  </property>
</Properties>
</file>