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9594" w14:textId="3E25A536" w:rsidR="00E4192A" w:rsidRPr="00E4192A" w:rsidRDefault="00E4192A" w:rsidP="00E4192A">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４２</w:t>
      </w:r>
    </w:p>
    <w:bookmarkEnd w:id="0"/>
    <w:p w14:paraId="7FCDB8B3" w14:textId="77777777" w:rsidR="00E4192A" w:rsidRPr="00E4192A" w:rsidRDefault="00E4192A" w:rsidP="008804E0">
      <w:pPr>
        <w:rPr>
          <w:rFonts w:ascii="ＭＳ ゴシック" w:eastAsia="ＭＳ ゴシック" w:hAnsi="ＭＳ ゴシック"/>
          <w:b/>
          <w:bCs/>
          <w:sz w:val="24"/>
          <w:szCs w:val="24"/>
        </w:rPr>
      </w:pPr>
    </w:p>
    <w:p w14:paraId="29895146" w14:textId="3AB9AA79" w:rsidR="008804E0" w:rsidRPr="002C3864" w:rsidRDefault="008804E0" w:rsidP="008804E0">
      <w:pPr>
        <w:rPr>
          <w:rFonts w:ascii="ＭＳ ゴシック" w:eastAsia="ＭＳ ゴシック" w:hAnsi="ＭＳ ゴシック"/>
          <w:b/>
          <w:bCs/>
          <w:sz w:val="24"/>
          <w:szCs w:val="24"/>
        </w:rPr>
      </w:pPr>
      <w:r w:rsidRPr="002C3864">
        <w:rPr>
          <w:rFonts w:ascii="ＭＳ ゴシック" w:eastAsia="ＭＳ ゴシック" w:hAnsi="ＭＳ ゴシック" w:hint="eastAsia"/>
          <w:b/>
          <w:bCs/>
          <w:sz w:val="24"/>
          <w:szCs w:val="24"/>
        </w:rPr>
        <w:t>労働の権利に関する一般的意見案についての障害者権利委員会への意見</w:t>
      </w:r>
    </w:p>
    <w:p w14:paraId="13FFB8CF" w14:textId="77777777" w:rsidR="008804E0" w:rsidRPr="002C3864" w:rsidRDefault="00B84801" w:rsidP="00B84801">
      <w:pPr>
        <w:jc w:val="right"/>
      </w:pPr>
      <w:r w:rsidRPr="002C3864">
        <w:rPr>
          <w:rFonts w:hint="eastAsia"/>
        </w:rPr>
        <w:t>（JD仮訳）</w:t>
      </w:r>
    </w:p>
    <w:p w14:paraId="54619086" w14:textId="77777777" w:rsidR="008804E0" w:rsidRPr="002C3864" w:rsidRDefault="00C53053" w:rsidP="008804E0">
      <w:pPr>
        <w:rPr>
          <w:rFonts w:ascii="ＭＳ Ｐゴシック" w:eastAsia="ＭＳ Ｐゴシック" w:hAnsi="ＭＳ Ｐゴシック"/>
          <w:b/>
          <w:bCs/>
        </w:rPr>
      </w:pPr>
      <w:bookmarkStart w:id="1" w:name="_Hlk94733511"/>
      <w:r w:rsidRPr="002C3864">
        <w:rPr>
          <w:rFonts w:ascii="ＭＳ Ｐゴシック" w:eastAsia="ＭＳ Ｐゴシック" w:hAnsi="ＭＳ Ｐゴシック" w:hint="eastAsia"/>
          <w:b/>
          <w:bCs/>
        </w:rPr>
        <w:t>性の権利イニシアチブ</w:t>
      </w:r>
    </w:p>
    <w:bookmarkEnd w:id="1"/>
    <w:p w14:paraId="3DF24EC7" w14:textId="77777777" w:rsidR="008804E0" w:rsidRPr="002C3864" w:rsidRDefault="008804E0" w:rsidP="008804E0">
      <w:r w:rsidRPr="002C3864">
        <w:t>Submission to the Committee on the Rights of Persons with Disabilities on its Draft General Comment on the right to work</w:t>
      </w:r>
    </w:p>
    <w:p w14:paraId="13C509ED" w14:textId="77777777" w:rsidR="008804E0" w:rsidRPr="002C3864" w:rsidRDefault="008804E0" w:rsidP="008804E0">
      <w:r w:rsidRPr="002C3864">
        <w:t>Sexual Rights Initiative</w:t>
      </w:r>
    </w:p>
    <w:p w14:paraId="091A9694" w14:textId="0EEA2D88" w:rsidR="00CE3357" w:rsidRPr="002C3864" w:rsidRDefault="008804E0" w:rsidP="008804E0">
      <w:r w:rsidRPr="002C3864">
        <w:t>December 2021</w:t>
      </w:r>
    </w:p>
    <w:p w14:paraId="48E17CDE" w14:textId="52E29055" w:rsidR="0055035F" w:rsidRPr="002C3864" w:rsidRDefault="0055035F" w:rsidP="004F439C">
      <w:pPr>
        <w:ind w:leftChars="945" w:left="1984"/>
      </w:pPr>
      <w:r w:rsidRPr="002C3864">
        <w:rPr>
          <w:rFonts w:hint="eastAsia"/>
        </w:rPr>
        <w:t>（訳注　原文では</w:t>
      </w:r>
      <w:r w:rsidR="004F439C" w:rsidRPr="002C3864">
        <w:rPr>
          <w:rFonts w:hint="eastAsia"/>
        </w:rPr>
        <w:t>削除は黄色マーカー、加筆は緑マーカーで表示されていたが、本仮訳ではそれぞれ、取り消し線、下線で表示した。）</w:t>
      </w:r>
    </w:p>
    <w:p w14:paraId="5C0F5832" w14:textId="77777777" w:rsidR="00B84801" w:rsidRPr="002C3864" w:rsidRDefault="00B84801" w:rsidP="008804E0"/>
    <w:p w14:paraId="53B76B5A" w14:textId="77777777" w:rsidR="00B84801" w:rsidRPr="002C3864" w:rsidRDefault="00B039E9" w:rsidP="006E6A5A">
      <w:pPr>
        <w:ind w:firstLineChars="100" w:firstLine="210"/>
      </w:pPr>
      <w:r w:rsidRPr="002C3864">
        <w:rPr>
          <w:rFonts w:hint="eastAsia"/>
        </w:rPr>
        <w:t>この意見</w:t>
      </w:r>
      <w:r w:rsidR="00B84801" w:rsidRPr="002C3864">
        <w:rPr>
          <w:rFonts w:hint="eastAsia"/>
        </w:rPr>
        <w:t>は、</w:t>
      </w:r>
      <w:r w:rsidR="00DD0836" w:rsidRPr="002C3864">
        <w:rPr>
          <w:rFonts w:hint="eastAsia"/>
        </w:rPr>
        <w:t>性の権利イニシアチブ（</w:t>
      </w:r>
      <w:r w:rsidR="00B84801" w:rsidRPr="002C3864">
        <w:t>Sexual Rights Initiative</w:t>
      </w:r>
      <w:r w:rsidR="00DD0836" w:rsidRPr="002C3864">
        <w:rPr>
          <w:rFonts w:hint="eastAsia"/>
        </w:rPr>
        <w:t>,</w:t>
      </w:r>
      <w:r w:rsidR="00DD0836" w:rsidRPr="002C3864">
        <w:t xml:space="preserve"> </w:t>
      </w:r>
      <w:r w:rsidR="00B84801" w:rsidRPr="002C3864">
        <w:t>SRI）</w:t>
      </w:r>
      <w:r w:rsidR="00956F0F" w:rsidRPr="002C3864">
        <w:rPr>
          <w:rFonts w:ascii="Nunito" w:eastAsia="Nunito" w:hAnsi="Nunito" w:cs="Nunito"/>
          <w:vertAlign w:val="superscript"/>
        </w:rPr>
        <w:footnoteReference w:id="1"/>
      </w:r>
      <w:r w:rsidR="00B84801" w:rsidRPr="002C3864">
        <w:t xml:space="preserve">によって作成されたものである。 </w:t>
      </w:r>
      <w:r w:rsidR="00DD0836" w:rsidRPr="002C3864">
        <w:rPr>
          <w:rFonts w:hint="eastAsia"/>
        </w:rPr>
        <w:t>性の権利イニシアチブ</w:t>
      </w:r>
      <w:r w:rsidR="00B84801" w:rsidRPr="002C3864">
        <w:t>は、カナダ、ポーランド、インド、エジプト、アルゼンチン、南アフリカに拠点を置く国・地域組織の連合体であり、国連においてセクシュアリティに関連する人権を推進するために協働</w:t>
      </w:r>
      <w:r w:rsidR="00DD0836" w:rsidRPr="002C3864">
        <w:rPr>
          <w:rFonts w:hint="eastAsia"/>
        </w:rPr>
        <w:t>してい</w:t>
      </w:r>
      <w:r w:rsidR="00B84801" w:rsidRPr="002C3864">
        <w:t>る。</w:t>
      </w:r>
    </w:p>
    <w:p w14:paraId="3E9E38D5" w14:textId="77777777" w:rsidR="00B84801" w:rsidRPr="002C3864" w:rsidRDefault="00B84801" w:rsidP="00B84801"/>
    <w:p w14:paraId="56F714C0" w14:textId="77777777" w:rsidR="00B84801" w:rsidRPr="002C3864" w:rsidRDefault="00B84801" w:rsidP="00B84801">
      <w:pPr>
        <w:rPr>
          <w:b/>
          <w:bCs/>
        </w:rPr>
      </w:pPr>
      <w:r w:rsidRPr="002C3864">
        <w:rPr>
          <w:rFonts w:hint="eastAsia"/>
          <w:b/>
          <w:bCs/>
        </w:rPr>
        <w:t>はじめに</w:t>
      </w:r>
    </w:p>
    <w:p w14:paraId="5FE3EDA1" w14:textId="77777777" w:rsidR="00B84801" w:rsidRPr="002C3864" w:rsidRDefault="00B84801" w:rsidP="006E6A5A">
      <w:pPr>
        <w:ind w:firstLineChars="100" w:firstLine="210"/>
      </w:pPr>
      <w:r w:rsidRPr="002C3864">
        <w:rPr>
          <w:rFonts w:hint="eastAsia"/>
        </w:rPr>
        <w:t>この文書で提案されている一般</w:t>
      </w:r>
      <w:r w:rsidR="00DD0836" w:rsidRPr="002C3864">
        <w:rPr>
          <w:rFonts w:hint="eastAsia"/>
        </w:rPr>
        <w:t>的意見</w:t>
      </w:r>
      <w:r w:rsidRPr="002C3864">
        <w:rPr>
          <w:rFonts w:hint="eastAsia"/>
        </w:rPr>
        <w:t>の変更案は、その概要について委員会に提出したもの</w:t>
      </w:r>
      <w:r w:rsidR="00956F0F" w:rsidRPr="002C3864">
        <w:rPr>
          <w:rFonts w:ascii="Nunito" w:eastAsia="Nunito" w:hAnsi="Nunito" w:cs="Nunito"/>
          <w:vertAlign w:val="superscript"/>
        </w:rPr>
        <w:endnoteReference w:id="1"/>
      </w:r>
      <w:r w:rsidRPr="002C3864">
        <w:rPr>
          <w:rFonts w:hint="eastAsia"/>
        </w:rPr>
        <w:t>、および</w:t>
      </w:r>
      <w:r w:rsidR="006E6A5A" w:rsidRPr="002C3864">
        <w:rPr>
          <w:rFonts w:hint="eastAsia"/>
        </w:rPr>
        <w:t>障害のある人</w:t>
      </w:r>
      <w:r w:rsidRPr="002C3864">
        <w:rPr>
          <w:rFonts w:hint="eastAsia"/>
        </w:rPr>
        <w:t>の労働と雇用の権利に関する一般討論での</w:t>
      </w:r>
      <w:r w:rsidR="00DD0836" w:rsidRPr="002C3864">
        <w:rPr>
          <w:rFonts w:hint="eastAsia"/>
        </w:rPr>
        <w:t>発言</w:t>
      </w:r>
      <w:r w:rsidRPr="002C3864">
        <w:rPr>
          <w:rFonts w:hint="eastAsia"/>
        </w:rPr>
        <w:t>に基づく。</w:t>
      </w:r>
      <w:r w:rsidR="00DD0836" w:rsidRPr="002C3864">
        <w:rPr>
          <w:rFonts w:hint="eastAsia"/>
        </w:rPr>
        <w:t>我々</w:t>
      </w:r>
      <w:r w:rsidR="00B039E9" w:rsidRPr="002C3864">
        <w:rPr>
          <w:rFonts w:hint="eastAsia"/>
        </w:rPr>
        <w:t>の別の意見</w:t>
      </w:r>
      <w:r w:rsidRPr="002C3864">
        <w:rPr>
          <w:rFonts w:hint="eastAsia"/>
        </w:rPr>
        <w:t>の中で、</w:t>
      </w:r>
      <w:r w:rsidR="00DD0836" w:rsidRPr="002C3864">
        <w:rPr>
          <w:rFonts w:hint="eastAsia"/>
        </w:rPr>
        <w:t>我々</w:t>
      </w:r>
      <w:r w:rsidRPr="002C3864">
        <w:rPr>
          <w:rFonts w:hint="eastAsia"/>
        </w:rPr>
        <w:t>は、生産性と依存を定義する</w:t>
      </w:r>
      <w:r w:rsidR="00DD0836" w:rsidRPr="002C3864">
        <w:rPr>
          <w:rFonts w:hint="eastAsia"/>
        </w:rPr>
        <w:t>、</w:t>
      </w:r>
      <w:r w:rsidRPr="002C3864">
        <w:rPr>
          <w:rFonts w:hint="eastAsia"/>
        </w:rPr>
        <w:t>能力主義</w:t>
      </w:r>
      <w:r w:rsidR="00F67EE5" w:rsidRPr="002C3864">
        <w:rPr>
          <w:rFonts w:hint="eastAsia"/>
        </w:rPr>
        <w:t>者</w:t>
      </w:r>
      <w:r w:rsidR="00DD0836" w:rsidRPr="002C3864">
        <w:rPr>
          <w:rFonts w:hint="eastAsia"/>
        </w:rPr>
        <w:t>（</w:t>
      </w:r>
      <w:r w:rsidR="00DD0836" w:rsidRPr="002C3864">
        <w:t>ableis</w:t>
      </w:r>
      <w:r w:rsidR="00F67EE5" w:rsidRPr="002C3864">
        <w:t>t</w:t>
      </w:r>
      <w:r w:rsidR="00DD0836" w:rsidRPr="002C3864">
        <w:t>,</w:t>
      </w:r>
      <w:r w:rsidR="00F67EE5" w:rsidRPr="002C3864">
        <w:t xml:space="preserve"> </w:t>
      </w:r>
      <w:r w:rsidR="00DD0836" w:rsidRPr="002C3864">
        <w:t>非障害者優先主義</w:t>
      </w:r>
      <w:r w:rsidR="00F67EE5" w:rsidRPr="002C3864">
        <w:rPr>
          <w:rFonts w:hint="eastAsia"/>
        </w:rPr>
        <w:t>者</w:t>
      </w:r>
      <w:r w:rsidR="00DD0836" w:rsidRPr="002C3864">
        <w:t>）</w:t>
      </w:r>
      <w:r w:rsidRPr="002C3864">
        <w:rPr>
          <w:rFonts w:hint="eastAsia"/>
        </w:rPr>
        <w:t>、性差別</w:t>
      </w:r>
      <w:r w:rsidR="00DD0836" w:rsidRPr="002C3864">
        <w:rPr>
          <w:rFonts w:hint="eastAsia"/>
        </w:rPr>
        <w:t>主義</w:t>
      </w:r>
      <w:r w:rsidR="00F67EE5" w:rsidRPr="002C3864">
        <w:rPr>
          <w:rFonts w:hint="eastAsia"/>
        </w:rPr>
        <w:t>者（</w:t>
      </w:r>
      <w:r w:rsidR="00F67EE5" w:rsidRPr="002C3864">
        <w:t>sexist</w:t>
      </w:r>
      <w:r w:rsidR="00F67EE5" w:rsidRPr="002C3864">
        <w:rPr>
          <w:rFonts w:hint="eastAsia"/>
        </w:rPr>
        <w:t>）</w:t>
      </w:r>
      <w:r w:rsidRPr="002C3864">
        <w:rPr>
          <w:rFonts w:hint="eastAsia"/>
        </w:rPr>
        <w:t>、家父長制のシステム、構造、制度を認識する交</w:t>
      </w:r>
      <w:r w:rsidR="00B039E9" w:rsidRPr="002C3864">
        <w:rPr>
          <w:rFonts w:hint="eastAsia"/>
        </w:rPr>
        <w:t>差分析の重要性を強調している。これらのシステム、構造、制度の変革</w:t>
      </w:r>
      <w:r w:rsidRPr="002C3864">
        <w:rPr>
          <w:rFonts w:hint="eastAsia"/>
        </w:rPr>
        <w:t>は、</w:t>
      </w:r>
      <w:r w:rsidR="006E6A5A" w:rsidRPr="002C3864">
        <w:rPr>
          <w:rFonts w:hint="eastAsia"/>
        </w:rPr>
        <w:t>障害のある人</w:t>
      </w:r>
      <w:r w:rsidRPr="002C3864">
        <w:rPr>
          <w:rFonts w:hint="eastAsia"/>
        </w:rPr>
        <w:t>、特に</w:t>
      </w:r>
      <w:r w:rsidR="006E6A5A" w:rsidRPr="002C3864">
        <w:rPr>
          <w:rFonts w:hint="eastAsia"/>
        </w:rPr>
        <w:t>障害のある</w:t>
      </w:r>
      <w:r w:rsidR="00F67EE5" w:rsidRPr="002C3864">
        <w:rPr>
          <w:rFonts w:hint="eastAsia"/>
        </w:rPr>
        <w:t>女性</w:t>
      </w:r>
      <w:r w:rsidRPr="002C3864">
        <w:rPr>
          <w:rFonts w:hint="eastAsia"/>
        </w:rPr>
        <w:t>が、抑圧、差別、スティグマ、強制、暴力、機会の欠如、</w:t>
      </w:r>
      <w:r w:rsidR="00F67EE5" w:rsidRPr="002C3864">
        <w:rPr>
          <w:rFonts w:hint="eastAsia"/>
        </w:rPr>
        <w:t>あるいは</w:t>
      </w:r>
      <w:r w:rsidRPr="002C3864">
        <w:rPr>
          <w:rFonts w:hint="eastAsia"/>
        </w:rPr>
        <w:t>起こりうる結果に制限されない選択をし、行使する能力を持つ、身体の自律の実現に寄与</w:t>
      </w:r>
      <w:r w:rsidR="00C53053" w:rsidRPr="002C3864">
        <w:rPr>
          <w:rFonts w:hint="eastAsia"/>
        </w:rPr>
        <w:t>する</w:t>
      </w:r>
      <w:r w:rsidRPr="002C3864">
        <w:rPr>
          <w:rFonts w:hint="eastAsia"/>
        </w:rPr>
        <w:t>。選択がもはや幻想でなくなって初めて、</w:t>
      </w:r>
      <w:r w:rsidR="00DD0836" w:rsidRPr="002C3864">
        <w:rPr>
          <w:rFonts w:hint="eastAsia"/>
        </w:rPr>
        <w:t>我々</w:t>
      </w:r>
      <w:r w:rsidRPr="002C3864">
        <w:rPr>
          <w:rFonts w:hint="eastAsia"/>
        </w:rPr>
        <w:t>は</w:t>
      </w:r>
      <w:r w:rsidRPr="002C3864">
        <w:t>CRPD条約第27条の表現にあるように、「自由に選択し、または</w:t>
      </w:r>
      <w:r w:rsidR="00F67EE5" w:rsidRPr="002C3864">
        <w:rPr>
          <w:rFonts w:hint="eastAsia"/>
        </w:rPr>
        <w:t>受諾す</w:t>
      </w:r>
      <w:r w:rsidRPr="002C3864">
        <w:t>る」</w:t>
      </w:r>
      <w:r w:rsidR="00F67EE5" w:rsidRPr="002C3864">
        <w:rPr>
          <w:rFonts w:hint="eastAsia"/>
        </w:rPr>
        <w:t>労働</w:t>
      </w:r>
      <w:r w:rsidRPr="002C3864">
        <w:t>に有意義に従事することができるのである</w:t>
      </w:r>
      <w:r w:rsidR="00956F0F" w:rsidRPr="002C3864">
        <w:rPr>
          <w:rFonts w:ascii="Nunito" w:eastAsia="Nunito" w:hAnsi="Nunito" w:cs="Nunito"/>
          <w:vertAlign w:val="superscript"/>
        </w:rPr>
        <w:endnoteReference w:id="2"/>
      </w:r>
      <w:r w:rsidRPr="002C3864">
        <w:t>。</w:t>
      </w:r>
    </w:p>
    <w:p w14:paraId="46201833" w14:textId="77777777" w:rsidR="00B84801" w:rsidRPr="002C3864" w:rsidRDefault="00B84801" w:rsidP="00B84801"/>
    <w:p w14:paraId="584D26C8" w14:textId="77777777" w:rsidR="00B84801" w:rsidRPr="002C3864" w:rsidRDefault="00B84801" w:rsidP="00B84801">
      <w:pPr>
        <w:rPr>
          <w:b/>
          <w:bCs/>
        </w:rPr>
      </w:pPr>
      <w:r w:rsidRPr="002C3864">
        <w:rPr>
          <w:rFonts w:hint="eastAsia"/>
          <w:b/>
          <w:bCs/>
        </w:rPr>
        <w:t>修正案</w:t>
      </w:r>
      <w:r w:rsidRPr="002C3864">
        <w:rPr>
          <w:b/>
          <w:bCs/>
        </w:rPr>
        <w:t xml:space="preserve"> </w:t>
      </w:r>
    </w:p>
    <w:p w14:paraId="22D5A0B9" w14:textId="77777777" w:rsidR="00B84801" w:rsidRPr="002C3864" w:rsidRDefault="00B84801" w:rsidP="00B84801"/>
    <w:p w14:paraId="7883996B" w14:textId="77777777" w:rsidR="00B84801" w:rsidRPr="002C3864" w:rsidRDefault="006E0F2B" w:rsidP="00B84801">
      <w:pPr>
        <w:rPr>
          <w:b/>
          <w:bCs/>
        </w:rPr>
      </w:pPr>
      <w:r w:rsidRPr="002C3864">
        <w:rPr>
          <w:rFonts w:hint="eastAsia"/>
          <w:b/>
          <w:bCs/>
        </w:rPr>
        <w:t>パラグラフ</w:t>
      </w:r>
      <w:r w:rsidR="00B84801" w:rsidRPr="002C3864">
        <w:rPr>
          <w:b/>
          <w:bCs/>
        </w:rPr>
        <w:t>24</w:t>
      </w:r>
    </w:p>
    <w:p w14:paraId="6BA19142" w14:textId="77777777" w:rsidR="00B84801" w:rsidRPr="002C3864" w:rsidRDefault="006E0F2B" w:rsidP="00B41C05">
      <w:pPr>
        <w:ind w:firstLineChars="100" w:firstLine="210"/>
      </w:pPr>
      <w:r w:rsidRPr="002C3864">
        <w:rPr>
          <w:rFonts w:hint="eastAsia"/>
        </w:rPr>
        <w:t>障害のある人は、しばしば交差的および多重的な差別の影響を特に多く受けている。障害のある人の多様性は、働く権利を実現するために様々な障壁に直面することを意味し、生涯を通して労働への様々な経路をたどることを意味する。多重的差別（</w:t>
      </w:r>
      <w:r w:rsidRPr="002C3864">
        <w:t>multiple discrimination）</w:t>
      </w:r>
      <w:r w:rsidRPr="002C3864">
        <w:lastRenderedPageBreak/>
        <w:t>とは、ある人が2つ以上の理由で差別を受け、その結果、差別が複合化または悪化する状況を指す</w:t>
      </w:r>
      <w:r w:rsidR="00956F0F" w:rsidRPr="002C3864">
        <w:rPr>
          <w:rFonts w:ascii="Nunito" w:eastAsia="Nunito" w:hAnsi="Nunito" w:cs="Nunito"/>
          <w:vertAlign w:val="superscript"/>
        </w:rPr>
        <w:endnoteReference w:id="3"/>
      </w:r>
      <w:r w:rsidRPr="002C3864">
        <w:t>。交差的差別（intersectional discrimination）とは、</w:t>
      </w:r>
      <w:r w:rsidRPr="002C3864">
        <w:rPr>
          <w:dstrike/>
        </w:rPr>
        <w:t>複数の理由が切り離せない形で同時に相互作用する場合に生じる。</w:t>
      </w:r>
      <w:r w:rsidR="00B039E9" w:rsidRPr="002C3864">
        <w:rPr>
          <w:u w:val="single"/>
        </w:rPr>
        <w:t>異なる形態の差別や抑圧のシステムの相互作用による構造的かつ</w:t>
      </w:r>
      <w:r w:rsidR="00B039E9" w:rsidRPr="002C3864">
        <w:rPr>
          <w:rFonts w:hint="eastAsia"/>
          <w:u w:val="single"/>
        </w:rPr>
        <w:t>ダイナミック</w:t>
      </w:r>
      <w:r w:rsidR="00887FBD" w:rsidRPr="002C3864">
        <w:rPr>
          <w:u w:val="single"/>
        </w:rPr>
        <w:t>な結果を捉える。</w:t>
      </w:r>
      <w:r w:rsidRPr="002C3864">
        <w:t>交差的差</w:t>
      </w:r>
      <w:r w:rsidRPr="002C3864">
        <w:rPr>
          <w:rFonts w:hint="eastAsia"/>
        </w:rPr>
        <w:t>別は、</w:t>
      </w:r>
      <w:r w:rsidRPr="002C3864">
        <w:rPr>
          <w:rFonts w:hint="eastAsia"/>
          <w:dstrike/>
        </w:rPr>
        <w:t>個人が均質なグループの一員として差別を経験するのではなく、アイデンティティ、地位、生活状況などの多次元の層を持つ個人として差別を経験するものである。</w:t>
      </w:r>
      <w:r w:rsidR="00B41C05" w:rsidRPr="002C3864">
        <w:rPr>
          <w:u w:val="single"/>
        </w:rPr>
        <w:t>人種差別</w:t>
      </w:r>
      <w:r w:rsidR="00B41C05" w:rsidRPr="002C3864">
        <w:rPr>
          <w:rFonts w:hint="eastAsia"/>
          <w:u w:val="single"/>
        </w:rPr>
        <w:t>主義</w:t>
      </w:r>
      <w:r w:rsidR="00B41C05" w:rsidRPr="002C3864">
        <w:rPr>
          <w:u w:val="single"/>
        </w:rPr>
        <w:t>、家父長制、能力主義、経済的不利、その他の差別的制度が、社会における個人の相対的地位を構造化する不平等の層を作り出す</w:t>
      </w:r>
      <w:r w:rsidR="00B41C05" w:rsidRPr="002C3864">
        <w:rPr>
          <w:rFonts w:hint="eastAsia"/>
          <w:u w:val="single"/>
        </w:rPr>
        <w:t>仕組み</w:t>
      </w:r>
      <w:r w:rsidR="00B41C05" w:rsidRPr="002C3864">
        <w:rPr>
          <w:u w:val="single"/>
        </w:rPr>
        <w:t>を認識する。</w:t>
      </w:r>
      <w:r w:rsidRPr="002C3864">
        <w:rPr>
          <w:rFonts w:hint="eastAsia"/>
          <w:dstrike/>
        </w:rPr>
        <w:t>障害以外の理由には、年齢、人種、先住民、出身国または社会的出身、難民、移民または亡命希望者の地位、政治的またはその他の意見、宗教、性別、性的指向および性自認が含まれる。</w:t>
      </w:r>
    </w:p>
    <w:p w14:paraId="304E86B1" w14:textId="77777777" w:rsidR="00F67EE5" w:rsidRPr="002C3864" w:rsidRDefault="00F67EE5" w:rsidP="00B84801"/>
    <w:p w14:paraId="4F91F590" w14:textId="77777777" w:rsidR="00B84801" w:rsidRPr="002C3864" w:rsidRDefault="00B84801" w:rsidP="00B84801">
      <w:pPr>
        <w:rPr>
          <w:b/>
          <w:bCs/>
        </w:rPr>
      </w:pPr>
      <w:r w:rsidRPr="002C3864">
        <w:rPr>
          <w:rFonts w:hint="eastAsia"/>
          <w:b/>
          <w:bCs/>
        </w:rPr>
        <w:t>理由</w:t>
      </w:r>
    </w:p>
    <w:p w14:paraId="2D86772C" w14:textId="022F8716" w:rsidR="00B84801" w:rsidRPr="002C3864" w:rsidRDefault="00B84801" w:rsidP="00C53053">
      <w:pPr>
        <w:ind w:firstLineChars="100" w:firstLine="210"/>
      </w:pPr>
      <w:r w:rsidRPr="002C3864">
        <w:t>2000年に</w:t>
      </w:r>
      <w:r w:rsidR="00B039E9" w:rsidRPr="002C3864">
        <w:rPr>
          <w:rFonts w:hint="eastAsia"/>
        </w:rPr>
        <w:t>国連人権高等弁務官事務所（</w:t>
      </w:r>
      <w:r w:rsidRPr="002C3864">
        <w:t>OHCHR</w:t>
      </w:r>
      <w:r w:rsidR="00B039E9" w:rsidRPr="002C3864">
        <w:rPr>
          <w:rFonts w:hint="eastAsia"/>
        </w:rPr>
        <w:t>）</w:t>
      </w:r>
      <w:r w:rsidRPr="002C3864">
        <w:t>が招集した「ジェンダーと人種差別に関する専門家グループ会議」の交差性</w:t>
      </w:r>
      <w:r w:rsidR="00B41C05" w:rsidRPr="002C3864">
        <w:rPr>
          <w:rFonts w:hint="eastAsia"/>
        </w:rPr>
        <w:t>（</w:t>
      </w:r>
      <w:r w:rsidR="00B41C05" w:rsidRPr="002C3864">
        <w:t>intersectionality</w:t>
      </w:r>
      <w:r w:rsidR="00B41C05" w:rsidRPr="002C3864">
        <w:rPr>
          <w:rFonts w:hint="eastAsia"/>
        </w:rPr>
        <w:t>）</w:t>
      </w:r>
      <w:r w:rsidRPr="002C3864">
        <w:t>の定義は、</w:t>
      </w:r>
      <w:r w:rsidR="00B41C05" w:rsidRPr="002C3864">
        <w:rPr>
          <w:rFonts w:hint="eastAsia"/>
        </w:rPr>
        <w:t>無力化（</w:t>
      </w:r>
      <w:r w:rsidR="00B41C05" w:rsidRPr="002C3864">
        <w:t>disempowerment</w:t>
      </w:r>
      <w:r w:rsidR="00B41C05" w:rsidRPr="002C3864">
        <w:rPr>
          <w:rFonts w:hint="eastAsia"/>
        </w:rPr>
        <w:t>）</w:t>
      </w:r>
      <w:r w:rsidRPr="002C3864">
        <w:t>の力学を生み出す不平等の構造的</w:t>
      </w:r>
      <w:r w:rsidR="00AF6C3B" w:rsidRPr="002C3864">
        <w:rPr>
          <w:rFonts w:hint="eastAsia"/>
        </w:rPr>
        <w:t>輪郭</w:t>
      </w:r>
      <w:r w:rsidRPr="002C3864">
        <w:t>について明確に言及している。交差性の定義のこの要素を強調することは、持続可能で長続きする変革のために必要な国家の義務に明らかにつながる。専門家グループによって指摘されたように、「『交差性』の考え方は、2つ以上の形態の差別や従属のシステムの間の相互作用</w:t>
      </w:r>
      <w:r w:rsidR="00AF6C3B" w:rsidRPr="002C3864">
        <w:rPr>
          <w:rFonts w:hint="eastAsia"/>
        </w:rPr>
        <w:t>の</w:t>
      </w:r>
      <w:r w:rsidRPr="002C3864">
        <w:t>構造的</w:t>
      </w:r>
      <w:r w:rsidR="00AF6C3B" w:rsidRPr="002C3864">
        <w:t>結果</w:t>
      </w:r>
      <w:r w:rsidR="00B039E9" w:rsidRPr="002C3864">
        <w:t>および</w:t>
      </w:r>
      <w:r w:rsidR="00B039E9" w:rsidRPr="002C3864">
        <w:rPr>
          <w:rFonts w:hint="eastAsia"/>
        </w:rPr>
        <w:t>ダイナミック</w:t>
      </w:r>
      <w:r w:rsidRPr="002C3864">
        <w:t>な結果の両方を捉えようとするものである。具体的には、人種差別</w:t>
      </w:r>
      <w:r w:rsidR="00AF6C3B" w:rsidRPr="002C3864">
        <w:rPr>
          <w:rFonts w:hint="eastAsia"/>
        </w:rPr>
        <w:t>主義</w:t>
      </w:r>
      <w:r w:rsidRPr="002C3864">
        <w:t>、家父長制、経済的不利、その他の差別的</w:t>
      </w:r>
      <w:r w:rsidRPr="002C3864">
        <w:rPr>
          <w:rFonts w:hint="eastAsia"/>
        </w:rPr>
        <w:t>システムが、女性と男性、人種、その他の</w:t>
      </w:r>
      <w:r w:rsidR="00B039E9" w:rsidRPr="002C3864">
        <w:rPr>
          <w:rFonts w:hint="eastAsia"/>
        </w:rPr>
        <w:t>集団の相対的地位を構造化する</w:t>
      </w:r>
      <w:r w:rsidR="00CF5A64" w:rsidRPr="002C3864">
        <w:rPr>
          <w:rFonts w:hint="eastAsia"/>
        </w:rPr>
        <w:t>不平等の層を作り出すことへの寄与について</w:t>
      </w:r>
      <w:r w:rsidRPr="002C3864">
        <w:rPr>
          <w:rFonts w:hint="eastAsia"/>
        </w:rPr>
        <w:t>取り上げている。</w:t>
      </w:r>
      <w:r w:rsidR="002C3864" w:rsidRPr="002C3864">
        <w:rPr>
          <w:rFonts w:ascii="Times New Roman" w:hAnsi="Times New Roman" w:cs="Times New Roman"/>
          <w:szCs w:val="21"/>
          <w:lang w:val="en-GB"/>
        </w:rPr>
        <w:t>さらに、</w:t>
      </w:r>
      <w:r w:rsidR="002C3864" w:rsidRPr="002C3864">
        <w:rPr>
          <w:rFonts w:ascii="Times New Roman" w:hAnsi="Times New Roman" w:cs="Times New Roman"/>
          <w:szCs w:val="21"/>
          <w:lang w:val="en-GB"/>
        </w:rPr>
        <w:t xml:space="preserve"> </w:t>
      </w:r>
      <w:r w:rsidR="002C3864" w:rsidRPr="002C3864">
        <w:rPr>
          <w:rFonts w:ascii="Times New Roman" w:hAnsi="Times New Roman" w:cs="Times New Roman"/>
          <w:szCs w:val="21"/>
          <w:lang w:val="en-GB"/>
        </w:rPr>
        <w:t>特定の行為や政策が負荷を生み、その負荷がこれらの交差する軸に沿って伝わり、無力化を進める力を積極的に生み出す仕組みをとり上げている。</w:t>
      </w:r>
      <w:r w:rsidR="00DC626A" w:rsidRPr="002C3864">
        <w:rPr>
          <w:rFonts w:ascii="Nunito" w:eastAsia="Nunito" w:hAnsi="Nunito" w:cs="Nunito"/>
          <w:vertAlign w:val="superscript"/>
        </w:rPr>
        <w:endnoteReference w:id="4"/>
      </w:r>
      <w:r w:rsidR="00DC626A" w:rsidRPr="002C3864">
        <w:rPr>
          <w:rFonts w:hint="eastAsia"/>
        </w:rPr>
        <w:t>」</w:t>
      </w:r>
      <w:r w:rsidRPr="002C3864">
        <w:rPr>
          <w:rFonts w:hint="eastAsia"/>
        </w:rPr>
        <w:t>。</w:t>
      </w:r>
      <w:r w:rsidR="00AF6C3B" w:rsidRPr="002C3864">
        <w:rPr>
          <w:rFonts w:hint="eastAsia"/>
        </w:rPr>
        <w:t xml:space="preserve">　</w:t>
      </w:r>
    </w:p>
    <w:p w14:paraId="1A968F01" w14:textId="77777777" w:rsidR="00B84801" w:rsidRPr="002C3864" w:rsidRDefault="00B84801" w:rsidP="00B84801"/>
    <w:p w14:paraId="1CF8DFCC" w14:textId="77777777" w:rsidR="00B84801" w:rsidRPr="002C3864" w:rsidRDefault="00B84801" w:rsidP="00C53053">
      <w:pPr>
        <w:ind w:firstLineChars="100" w:firstLine="210"/>
      </w:pPr>
      <w:r w:rsidRPr="002C3864">
        <w:rPr>
          <w:rFonts w:hint="eastAsia"/>
        </w:rPr>
        <w:t>交差</w:t>
      </w:r>
      <w:r w:rsidR="00604265" w:rsidRPr="002C3864">
        <w:rPr>
          <w:rFonts w:hint="eastAsia"/>
        </w:rPr>
        <w:t>的</w:t>
      </w:r>
      <w:r w:rsidRPr="002C3864">
        <w:rPr>
          <w:rFonts w:hint="eastAsia"/>
        </w:rPr>
        <w:t>差別とは、</w:t>
      </w:r>
      <w:r w:rsidR="00E10FD8" w:rsidRPr="002C3864">
        <w:rPr>
          <w:rFonts w:hint="eastAsia"/>
        </w:rPr>
        <w:t>アイデンティティ</w:t>
      </w:r>
      <w:r w:rsidRPr="002C3864">
        <w:rPr>
          <w:rFonts w:hint="eastAsia"/>
        </w:rPr>
        <w:t>ではなく、権力のシステムが</w:t>
      </w:r>
      <w:r w:rsidR="004601E0" w:rsidRPr="002C3864">
        <w:rPr>
          <w:rFonts w:hint="eastAsia"/>
        </w:rPr>
        <w:t>差別を通じて現れることを指している。その結果、制度や構造が確認</w:t>
      </w:r>
      <w:r w:rsidRPr="002C3864">
        <w:rPr>
          <w:rFonts w:hint="eastAsia"/>
        </w:rPr>
        <w:t>されれば、</w:t>
      </w:r>
      <w:r w:rsidR="00604265" w:rsidRPr="002C3864">
        <w:rPr>
          <w:rFonts w:hint="eastAsia"/>
        </w:rPr>
        <w:t>（差別の）理由</w:t>
      </w:r>
      <w:r w:rsidRPr="002C3864">
        <w:rPr>
          <w:rFonts w:hint="eastAsia"/>
        </w:rPr>
        <w:t>やアイデンティティのリストを持つ必要はない。しかし、委員会が理由やアイデンティティのリストを保持することを決定した場合、我々は、あらゆる形態の差別を含むように「とりわけ」を追加することを提案する。</w:t>
      </w:r>
    </w:p>
    <w:p w14:paraId="12AE6510" w14:textId="77777777" w:rsidR="00B84801" w:rsidRPr="002C3864" w:rsidRDefault="00B84801" w:rsidP="00B84801"/>
    <w:p w14:paraId="4767C305" w14:textId="77777777" w:rsidR="00B84801" w:rsidRPr="002C3864" w:rsidRDefault="00B84801" w:rsidP="00B84801">
      <w:pPr>
        <w:rPr>
          <w:b/>
          <w:bCs/>
        </w:rPr>
      </w:pPr>
      <w:r w:rsidRPr="002C3864">
        <w:rPr>
          <w:rFonts w:hint="eastAsia"/>
          <w:b/>
          <w:bCs/>
        </w:rPr>
        <w:t>パラグラフ</w:t>
      </w:r>
      <w:r w:rsidRPr="002C3864">
        <w:rPr>
          <w:b/>
          <w:bCs/>
        </w:rPr>
        <w:t>25</w:t>
      </w:r>
    </w:p>
    <w:p w14:paraId="72B17719" w14:textId="77777777" w:rsidR="00604265" w:rsidRPr="002C3864" w:rsidRDefault="00604265" w:rsidP="00604265">
      <w:pPr>
        <w:ind w:firstLineChars="100" w:firstLine="210"/>
      </w:pPr>
      <w:r w:rsidRPr="002C3864">
        <w:rPr>
          <w:rFonts w:hint="eastAsia"/>
        </w:rPr>
        <w:t>多重的差別と交差的差別の概念は、これらの形</w:t>
      </w:r>
      <w:r w:rsidR="004601E0" w:rsidRPr="002C3864">
        <w:rPr>
          <w:rFonts w:hint="eastAsia"/>
        </w:rPr>
        <w:t>態の差別によって引き起こされる個人の不利益が強まったという生の</w:t>
      </w:r>
      <w:r w:rsidRPr="002C3864">
        <w:rPr>
          <w:rFonts w:hint="eastAsia"/>
        </w:rPr>
        <w:t>現実と経験を踏まえたものである</w:t>
      </w:r>
      <w:r w:rsidRPr="002C3864">
        <w:t>。委員会は、以下のような多重的・交差的差別のさまざまな状況を取り上げてきた。</w:t>
      </w:r>
    </w:p>
    <w:p w14:paraId="1D32E395" w14:textId="77777777" w:rsidR="00604265" w:rsidRPr="002C3864" w:rsidRDefault="00604265" w:rsidP="00604265">
      <w:r w:rsidRPr="002C3864">
        <w:t>a.</w:t>
      </w:r>
      <w:r w:rsidRPr="002C3864">
        <w:tab/>
        <w:t>障害のある女性および障害のあるジェンダー・ノン・コンフォーミング（gender non-conforming）</w:t>
      </w:r>
      <w:r w:rsidR="00D127E5" w:rsidRPr="002C3864">
        <w:t>の人</w:t>
      </w:r>
      <w:r w:rsidR="00D127E5" w:rsidRPr="002C3864">
        <w:rPr>
          <w:rFonts w:hint="eastAsia"/>
        </w:rPr>
        <w:t>（訳注　性に関する旧来の固定観念に合致しない人）</w:t>
      </w:r>
      <w:r w:rsidRPr="002C3864">
        <w:t>は、</w:t>
      </w:r>
      <w:r w:rsidRPr="002C3864">
        <w:rPr>
          <w:dstrike/>
        </w:rPr>
        <w:t>ジェンダー</w:t>
      </w:r>
      <w:r w:rsidRPr="002C3864">
        <w:rPr>
          <w:dstrike/>
        </w:rPr>
        <w:lastRenderedPageBreak/>
        <w:t>と障害に関連した、態度、状況、労働そのものの障壁の交差</w:t>
      </w:r>
      <w:r w:rsidRPr="002C3864">
        <w:t>働く機会を制限する</w:t>
      </w:r>
      <w:r w:rsidR="00BB093B" w:rsidRPr="002C3864">
        <w:rPr>
          <w:u w:val="single"/>
        </w:rPr>
        <w:t>多重</w:t>
      </w:r>
      <w:r w:rsidR="00BB093B" w:rsidRPr="002C3864">
        <w:rPr>
          <w:rFonts w:hint="eastAsia"/>
          <w:u w:val="single"/>
        </w:rPr>
        <w:t>的</w:t>
      </w:r>
      <w:r w:rsidR="00BB093B" w:rsidRPr="002C3864">
        <w:rPr>
          <w:u w:val="single"/>
        </w:rPr>
        <w:t>交差</w:t>
      </w:r>
      <w:r w:rsidR="00BB093B" w:rsidRPr="002C3864">
        <w:rPr>
          <w:rFonts w:hint="eastAsia"/>
          <w:u w:val="single"/>
        </w:rPr>
        <w:t>的</w:t>
      </w:r>
      <w:r w:rsidR="00BB093B" w:rsidRPr="002C3864">
        <w:rPr>
          <w:u w:val="single"/>
        </w:rPr>
        <w:t>差別</w:t>
      </w:r>
      <w:r w:rsidR="00BB093B" w:rsidRPr="002C3864">
        <w:rPr>
          <w:rFonts w:hint="eastAsia"/>
          <w:u w:val="single"/>
        </w:rPr>
        <w:t>、</w:t>
      </w:r>
      <w:r w:rsidRPr="002C3864">
        <w:rPr>
          <w:dstrike/>
        </w:rPr>
        <w:t>二重差別の複合的影響、</w:t>
      </w:r>
      <w:r w:rsidRPr="002C3864">
        <w:t>職場における暴力やハラスメントのリスクの増加、その他の障壁</w:t>
      </w:r>
      <w:r w:rsidRPr="002C3864">
        <w:rPr>
          <w:dstrike/>
        </w:rPr>
        <w:t>を含む 。</w:t>
      </w:r>
      <w:r w:rsidR="00BB093B" w:rsidRPr="002C3864">
        <w:rPr>
          <w:rFonts w:hint="eastAsia"/>
        </w:rPr>
        <w:t>に</w:t>
      </w:r>
      <w:r w:rsidR="00BB093B" w:rsidRPr="002C3864">
        <w:t>直面している</w:t>
      </w:r>
      <w:r w:rsidR="00DC626A" w:rsidRPr="002C3864">
        <w:rPr>
          <w:rFonts w:ascii="Nunito" w:eastAsia="Nunito" w:hAnsi="Nunito" w:cs="Nunito"/>
          <w:b/>
          <w:vertAlign w:val="superscript"/>
        </w:rPr>
        <w:endnoteReference w:id="5"/>
      </w:r>
      <w:r w:rsidR="00DC626A" w:rsidRPr="002C3864">
        <w:rPr>
          <w:rFonts w:ascii="Nunito" w:eastAsia="Nunito" w:hAnsi="Nunito" w:cs="Nunito"/>
        </w:rPr>
        <w:t>.</w:t>
      </w:r>
      <w:r w:rsidR="00BB093B" w:rsidRPr="002C3864">
        <w:t>。</w:t>
      </w:r>
    </w:p>
    <w:p w14:paraId="44519B61" w14:textId="77777777" w:rsidR="00604265" w:rsidRPr="002C3864" w:rsidRDefault="00604265" w:rsidP="00604265">
      <w:r w:rsidRPr="002C3864">
        <w:t>b.</w:t>
      </w:r>
      <w:r w:rsidRPr="002C3864">
        <w:tab/>
        <w:t>障害と年齢も相互に作用し、働く権利を実現する上で、障害のある若者と障害のある高齢者が実質的に異なる困難に直面しうることを意味する。</w:t>
      </w:r>
    </w:p>
    <w:p w14:paraId="09C2A053" w14:textId="77777777" w:rsidR="00604265" w:rsidRPr="002C3864" w:rsidRDefault="00604265" w:rsidP="00B84801"/>
    <w:p w14:paraId="0A8D3997" w14:textId="77777777" w:rsidR="00B84801" w:rsidRPr="002C3864" w:rsidRDefault="00B84801" w:rsidP="00B84801">
      <w:pPr>
        <w:rPr>
          <w:b/>
          <w:bCs/>
        </w:rPr>
      </w:pPr>
      <w:r w:rsidRPr="002C3864">
        <w:rPr>
          <w:rFonts w:hint="eastAsia"/>
          <w:b/>
          <w:bCs/>
        </w:rPr>
        <w:t>根拠</w:t>
      </w:r>
    </w:p>
    <w:p w14:paraId="66E71A7D" w14:textId="77777777" w:rsidR="00B84801" w:rsidRPr="002C3864" w:rsidRDefault="00B84801" w:rsidP="00C53053">
      <w:pPr>
        <w:ind w:firstLineChars="100" w:firstLine="210"/>
      </w:pPr>
      <w:r w:rsidRPr="002C3864">
        <w:rPr>
          <w:rFonts w:hint="eastAsia"/>
        </w:rPr>
        <w:t>交差</w:t>
      </w:r>
      <w:r w:rsidR="00DA6600" w:rsidRPr="002C3864">
        <w:rPr>
          <w:rFonts w:hint="eastAsia"/>
        </w:rPr>
        <w:t>的</w:t>
      </w:r>
      <w:r w:rsidRPr="002C3864">
        <w:rPr>
          <w:rFonts w:hint="eastAsia"/>
        </w:rPr>
        <w:t>差別は、異なる差別の制度の影響を取り入れ、強調しようとする。しかし、</w:t>
      </w:r>
      <w:r w:rsidR="00DA6600" w:rsidRPr="002C3864">
        <w:rPr>
          <w:rFonts w:hint="eastAsia"/>
        </w:rPr>
        <w:t>キンベール・クレンシャウ</w:t>
      </w:r>
      <w:r w:rsidRPr="002C3864">
        <w:t>が言うように、交差性とは差別の総</w:t>
      </w:r>
      <w:r w:rsidR="00DA6600" w:rsidRPr="002C3864">
        <w:rPr>
          <w:rFonts w:hint="eastAsia"/>
        </w:rPr>
        <w:t>和</w:t>
      </w:r>
      <w:r w:rsidRPr="002C3864">
        <w:t>では</w:t>
      </w:r>
      <w:r w:rsidR="00DA6600" w:rsidRPr="002C3864">
        <w:rPr>
          <w:rFonts w:hint="eastAsia"/>
        </w:rPr>
        <w:t>ない</w:t>
      </w:r>
      <w:r w:rsidRPr="002C3864">
        <w:t>。</w:t>
      </w:r>
    </w:p>
    <w:p w14:paraId="4AF015EF" w14:textId="77777777" w:rsidR="00B84801" w:rsidRPr="002C3864" w:rsidRDefault="00B1408D" w:rsidP="00B1408D">
      <w:pPr>
        <w:ind w:leftChars="405" w:left="850" w:firstLineChars="100" w:firstLine="210"/>
      </w:pPr>
      <w:r w:rsidRPr="002C3864">
        <w:rPr>
          <w:rFonts w:hint="eastAsia"/>
        </w:rPr>
        <w:t>「</w:t>
      </w:r>
      <w:r w:rsidR="00B84801" w:rsidRPr="002C3864">
        <w:t>交差的な経験は人種差別と性差別の合計よりも大きいので、交差性を考慮しない分析は、黒人女性が従属させられている特定の</w:t>
      </w:r>
      <w:r w:rsidRPr="002C3864">
        <w:rPr>
          <w:rFonts w:hint="eastAsia"/>
        </w:rPr>
        <w:t>仕組み</w:t>
      </w:r>
      <w:r w:rsidR="00B84801" w:rsidRPr="002C3864">
        <w:t>に十分に対処することができない。</w:t>
      </w:r>
      <w:r w:rsidRPr="002C3864">
        <w:rPr>
          <w:rFonts w:hint="eastAsia"/>
        </w:rPr>
        <w:t>」</w:t>
      </w:r>
      <w:r w:rsidR="00DC626A" w:rsidRPr="002C3864">
        <w:rPr>
          <w:rFonts w:ascii="Nunito" w:eastAsia="Nunito" w:hAnsi="Nunito" w:cs="Nunito"/>
          <w:sz w:val="22"/>
          <w:vertAlign w:val="superscript"/>
        </w:rPr>
        <w:endnoteReference w:id="6"/>
      </w:r>
      <w:r w:rsidR="00B84801" w:rsidRPr="002C3864">
        <w:t xml:space="preserve"> </w:t>
      </w:r>
    </w:p>
    <w:p w14:paraId="77865A92" w14:textId="77777777" w:rsidR="00B84801" w:rsidRPr="002C3864" w:rsidRDefault="00B84801" w:rsidP="00B1408D">
      <w:pPr>
        <w:ind w:firstLineChars="100" w:firstLine="210"/>
      </w:pPr>
      <w:r w:rsidRPr="002C3864">
        <w:rPr>
          <w:rFonts w:hint="eastAsia"/>
        </w:rPr>
        <w:t>さらに、人は</w:t>
      </w:r>
      <w:r w:rsidRPr="002C3864">
        <w:t>2つ以上の差別の形態に直面することがある。</w:t>
      </w:r>
    </w:p>
    <w:p w14:paraId="784D90B1" w14:textId="77777777" w:rsidR="00B84801" w:rsidRPr="002C3864" w:rsidRDefault="00B84801" w:rsidP="00B84801"/>
    <w:p w14:paraId="52B4C7AB" w14:textId="77777777" w:rsidR="00B84801" w:rsidRPr="002C3864" w:rsidRDefault="00B84801" w:rsidP="00C53053">
      <w:pPr>
        <w:ind w:firstLineChars="100" w:firstLine="210"/>
      </w:pPr>
      <w:r w:rsidRPr="002C3864">
        <w:rPr>
          <w:rFonts w:hint="eastAsia"/>
        </w:rPr>
        <w:t>このようなアプローチを認識し、女性差別撤廃委員会は、条約第</w:t>
      </w:r>
      <w:r w:rsidRPr="002C3864">
        <w:t>2条に基づく締約国の中核的義務に関する一般勧告第28号（2010年）において、「性とジェンダーに基づく女性の差別は、人種、民族、宗教または信念、健康、地位、年齢、階級、カーストおよび性的指向と性自認など女性に影響を与える他の要素と</w:t>
      </w:r>
      <w:r w:rsidRPr="002C3864">
        <w:rPr>
          <w:b/>
          <w:bCs/>
        </w:rPr>
        <w:t>密接に関連</w:t>
      </w:r>
      <w:r w:rsidRPr="002C3864">
        <w:t>している</w:t>
      </w:r>
      <w:r w:rsidR="00B1408D" w:rsidRPr="002C3864">
        <w:rPr>
          <w:rFonts w:hint="eastAsia"/>
        </w:rPr>
        <w:t>。</w:t>
      </w:r>
      <w:r w:rsidRPr="002C3864">
        <w:t>締約国は、このような交差する形態の差別と、それらが関係する女性に及ぼす複合的な負の影響を法的に認識し、それらを禁止しなければならない。</w:t>
      </w:r>
      <w:r w:rsidR="00B1408D" w:rsidRPr="002C3864">
        <w:t>」と述べている。</w:t>
      </w:r>
    </w:p>
    <w:p w14:paraId="7C5CBE37" w14:textId="77777777" w:rsidR="00B84801" w:rsidRPr="002C3864" w:rsidRDefault="00B84801" w:rsidP="00B84801"/>
    <w:p w14:paraId="0CFA2EAF" w14:textId="77777777" w:rsidR="00B84801" w:rsidRPr="002C3864" w:rsidRDefault="00B84801" w:rsidP="00B84801">
      <w:pPr>
        <w:rPr>
          <w:b/>
          <w:bCs/>
        </w:rPr>
      </w:pPr>
      <w:r w:rsidRPr="002C3864">
        <w:rPr>
          <w:rFonts w:hint="eastAsia"/>
          <w:b/>
          <w:bCs/>
        </w:rPr>
        <w:t>パラグラフ</w:t>
      </w:r>
      <w:r w:rsidRPr="002C3864">
        <w:rPr>
          <w:b/>
          <w:bCs/>
        </w:rPr>
        <w:t xml:space="preserve"> 64</w:t>
      </w:r>
    </w:p>
    <w:p w14:paraId="74DD95DC" w14:textId="77777777" w:rsidR="00155924" w:rsidRPr="002C3864" w:rsidRDefault="00155924" w:rsidP="00155924">
      <w:pPr>
        <w:ind w:firstLineChars="100" w:firstLine="210"/>
      </w:pPr>
      <w:r w:rsidRPr="002C3864">
        <w:rPr>
          <w:rFonts w:hint="eastAsia"/>
        </w:rPr>
        <w:t>障害のある女性は、インフォーマル経済や無報酬の仕事で搾取される大きなリスクにさらされている。一般に女性は、インフォーマル経済、無給の</w:t>
      </w:r>
      <w:r w:rsidRPr="002C3864">
        <w:rPr>
          <w:rFonts w:hint="eastAsia"/>
          <w:dstrike/>
        </w:rPr>
        <w:t>在宅</w:t>
      </w:r>
      <w:r w:rsidR="00BE0BAB" w:rsidRPr="002C3864">
        <w:rPr>
          <w:rFonts w:hint="eastAsia"/>
          <w:u w:val="single"/>
        </w:rPr>
        <w:t>ケア</w:t>
      </w:r>
      <w:r w:rsidRPr="002C3864">
        <w:rPr>
          <w:rFonts w:hint="eastAsia"/>
        </w:rPr>
        <w:t>労働、家族経営</w:t>
      </w:r>
      <w:r w:rsidR="004601E0" w:rsidRPr="002C3864">
        <w:rPr>
          <w:rFonts w:hint="eastAsia"/>
        </w:rPr>
        <w:t>の企業</w:t>
      </w:r>
      <w:r w:rsidRPr="002C3864">
        <w:rPr>
          <w:rFonts w:hint="eastAsia"/>
        </w:rPr>
        <w:t>の中で過大な割合を占めることが多く、そのことが報酬、健康と安全、休息、余暇、有給休暇などの分野での不平等を悪化させている。障害のある女性はさらに危険にさらされている。障害のある若年者は、無給のインターンシップや研修プログラムの不適切な利用により、正規の経済で搾取されるリスクがより大きい。</w:t>
      </w:r>
    </w:p>
    <w:p w14:paraId="73CB1227" w14:textId="77777777" w:rsidR="00155924" w:rsidRPr="002C3864" w:rsidRDefault="00155924" w:rsidP="00B84801"/>
    <w:p w14:paraId="50845E79" w14:textId="77777777" w:rsidR="00B84801" w:rsidRPr="002C3864" w:rsidRDefault="00B84801" w:rsidP="00B84801">
      <w:pPr>
        <w:rPr>
          <w:b/>
          <w:bCs/>
        </w:rPr>
      </w:pPr>
      <w:r w:rsidRPr="002C3864">
        <w:rPr>
          <w:rFonts w:hint="eastAsia"/>
          <w:b/>
          <w:bCs/>
        </w:rPr>
        <w:t>根拠</w:t>
      </w:r>
    </w:p>
    <w:p w14:paraId="01292EFD" w14:textId="77777777" w:rsidR="00B84801" w:rsidRPr="002C3864" w:rsidRDefault="00B84801" w:rsidP="00C53053">
      <w:pPr>
        <w:ind w:firstLineChars="100" w:firstLine="210"/>
      </w:pPr>
      <w:r w:rsidRPr="002C3864">
        <w:t>ILOによると、</w:t>
      </w:r>
      <w:r w:rsidR="00BA0637" w:rsidRPr="002C3864">
        <w:rPr>
          <w:rFonts w:hint="eastAsia"/>
        </w:rPr>
        <w:t>家内労働（</w:t>
      </w:r>
      <w:r w:rsidR="00ED3ED5" w:rsidRPr="002C3864">
        <w:rPr>
          <w:rFonts w:hint="eastAsia"/>
        </w:rPr>
        <w:t>在宅</w:t>
      </w:r>
      <w:r w:rsidR="00BA0637" w:rsidRPr="002C3864">
        <w:rPr>
          <w:rFonts w:hint="eastAsia"/>
        </w:rPr>
        <w:t>形態の</w:t>
      </w:r>
      <w:r w:rsidR="00ED3ED5" w:rsidRPr="002C3864">
        <w:rPr>
          <w:rFonts w:hint="eastAsia"/>
        </w:rPr>
        <w:t>労働</w:t>
      </w:r>
      <w:r w:rsidR="00BA0637" w:rsidRPr="002C3864">
        <w:rPr>
          <w:rFonts w:hint="eastAsia"/>
        </w:rPr>
        <w:t>）</w:t>
      </w:r>
      <w:r w:rsidR="00ED3ED5" w:rsidRPr="002C3864">
        <w:rPr>
          <w:rFonts w:hint="eastAsia"/>
        </w:rPr>
        <w:t>（</w:t>
      </w:r>
      <w:r w:rsidRPr="002C3864">
        <w:t>ホームワーク</w:t>
      </w:r>
      <w:r w:rsidR="00ED3ED5" w:rsidRPr="002C3864">
        <w:rPr>
          <w:rFonts w:hint="eastAsia"/>
        </w:rPr>
        <w:t>、h</w:t>
      </w:r>
      <w:r w:rsidR="00ED3ED5" w:rsidRPr="002C3864">
        <w:t>ome work</w:t>
      </w:r>
      <w:r w:rsidR="00ED3ED5" w:rsidRPr="002C3864">
        <w:rPr>
          <w:rFonts w:hint="eastAsia"/>
        </w:rPr>
        <w:t>）</w:t>
      </w:r>
      <w:r w:rsidRPr="002C3864">
        <w:t>には家事や無報酬の</w:t>
      </w:r>
      <w:r w:rsidR="00ED3ED5" w:rsidRPr="002C3864">
        <w:rPr>
          <w:rFonts w:hint="eastAsia"/>
        </w:rPr>
        <w:t>労働</w:t>
      </w:r>
      <w:r w:rsidRPr="002C3864">
        <w:t>は含まれない。</w:t>
      </w:r>
    </w:p>
    <w:p w14:paraId="23FC4A06" w14:textId="77777777" w:rsidR="00B84801" w:rsidRPr="002C3864" w:rsidRDefault="00B84801" w:rsidP="00ED3ED5">
      <w:pPr>
        <w:ind w:leftChars="405" w:left="850" w:firstLineChars="100" w:firstLine="210"/>
      </w:pPr>
      <w:r w:rsidRPr="002C3864">
        <w:t>1995年</w:t>
      </w:r>
      <w:r w:rsidR="00ED3ED5" w:rsidRPr="002C3864">
        <w:rPr>
          <w:rFonts w:hint="eastAsia"/>
        </w:rPr>
        <w:t>と</w:t>
      </w:r>
      <w:r w:rsidRPr="002C3864">
        <w:t>1996年の第82回および第83回国際労働総会で、</w:t>
      </w:r>
      <w:r w:rsidR="00BA0637" w:rsidRPr="002C3864">
        <w:rPr>
          <w:rFonts w:hint="eastAsia"/>
        </w:rPr>
        <w:t>家内労働（</w:t>
      </w:r>
      <w:r w:rsidRPr="002C3864">
        <w:t>在宅</w:t>
      </w:r>
      <w:r w:rsidR="00BA0637" w:rsidRPr="002C3864">
        <w:rPr>
          <w:rFonts w:hint="eastAsia"/>
        </w:rPr>
        <w:t>形態の</w:t>
      </w:r>
      <w:r w:rsidRPr="002C3864">
        <w:t>労働</w:t>
      </w:r>
      <w:r w:rsidR="00BA0637" w:rsidRPr="002C3864">
        <w:rPr>
          <w:rFonts w:hint="eastAsia"/>
        </w:rPr>
        <w:t>）</w:t>
      </w:r>
      <w:r w:rsidRPr="002C3864">
        <w:t>の定義、範囲、</w:t>
      </w:r>
      <w:r w:rsidR="00BA0637" w:rsidRPr="002C3864">
        <w:rPr>
          <w:rFonts w:hint="eastAsia"/>
        </w:rPr>
        <w:t>家内（</w:t>
      </w:r>
      <w:r w:rsidRPr="002C3864">
        <w:t>在宅</w:t>
      </w:r>
      <w:r w:rsidR="00BA0637" w:rsidRPr="002C3864">
        <w:rPr>
          <w:rFonts w:hint="eastAsia"/>
        </w:rPr>
        <w:t>形態の）</w:t>
      </w:r>
      <w:r w:rsidRPr="002C3864">
        <w:t>労働者保護のための措置が議論され、1996年の在宅労働条約（第177 号）および勧告（第184号）が採択されている。第177号条約は、在宅</w:t>
      </w:r>
      <w:r w:rsidR="00BA0637" w:rsidRPr="002C3864">
        <w:rPr>
          <w:rFonts w:hint="eastAsia"/>
        </w:rPr>
        <w:t>形態の</w:t>
      </w:r>
      <w:r w:rsidR="009C162B" w:rsidRPr="002C3864">
        <w:rPr>
          <w:rFonts w:hint="eastAsia"/>
        </w:rPr>
        <w:t>労働</w:t>
      </w:r>
      <w:r w:rsidRPr="002C3864">
        <w:t>を「(</w:t>
      </w:r>
      <w:proofErr w:type="spellStart"/>
      <w:r w:rsidRPr="002C3864">
        <w:t>i</w:t>
      </w:r>
      <w:proofErr w:type="spellEnd"/>
      <w:r w:rsidRPr="002C3864">
        <w:t xml:space="preserve">) </w:t>
      </w:r>
      <w:r w:rsidR="00BA0637" w:rsidRPr="002C3864">
        <w:rPr>
          <w:rFonts w:hint="eastAsia"/>
        </w:rPr>
        <w:t>使用者</w:t>
      </w:r>
      <w:r w:rsidR="00BA0637" w:rsidRPr="002C3864">
        <w:t>の</w:t>
      </w:r>
      <w:r w:rsidR="00BA0637" w:rsidRPr="002C3864">
        <w:rPr>
          <w:rFonts w:hint="eastAsia"/>
        </w:rPr>
        <w:t>作業場</w:t>
      </w:r>
      <w:r w:rsidRPr="002C3864">
        <w:t>以外の</w:t>
      </w:r>
      <w:r w:rsidR="00BA0637" w:rsidRPr="002C3864">
        <w:rPr>
          <w:rFonts w:hint="eastAsia"/>
        </w:rPr>
        <w:t>、</w:t>
      </w:r>
      <w:r w:rsidRPr="002C3864">
        <w:t>自宅又は</w:t>
      </w:r>
      <w:r w:rsidR="00BA0637" w:rsidRPr="002C3864">
        <w:rPr>
          <w:rFonts w:hint="eastAsia"/>
        </w:rPr>
        <w:t>自ら</w:t>
      </w:r>
      <w:r w:rsidR="00BA0637" w:rsidRPr="002C3864">
        <w:t>選</w:t>
      </w:r>
      <w:r w:rsidR="00BA0637" w:rsidRPr="002C3864">
        <w:lastRenderedPageBreak/>
        <w:t>択する</w:t>
      </w:r>
      <w:r w:rsidR="00BA0637" w:rsidRPr="002C3864">
        <w:rPr>
          <w:rFonts w:hint="eastAsia"/>
        </w:rPr>
        <w:t>建物</w:t>
      </w:r>
      <w:r w:rsidR="00BA0637" w:rsidRPr="002C3864">
        <w:t>にお</w:t>
      </w:r>
      <w:r w:rsidR="00BA0637" w:rsidRPr="002C3864">
        <w:rPr>
          <w:rFonts w:hint="eastAsia"/>
        </w:rPr>
        <w:t>ける労働</w:t>
      </w:r>
      <w:r w:rsidRPr="002C3864">
        <w:t xml:space="preserve">、(ii) </w:t>
      </w:r>
      <w:r w:rsidR="00BA0637" w:rsidRPr="002C3864">
        <w:t>報酬</w:t>
      </w:r>
      <w:r w:rsidR="00BA0637" w:rsidRPr="002C3864">
        <w:rPr>
          <w:rFonts w:hint="eastAsia"/>
        </w:rPr>
        <w:t>のための労働</w:t>
      </w:r>
      <w:r w:rsidRPr="002C3864">
        <w:t>、 (iii)使用される</w:t>
      </w:r>
      <w:r w:rsidR="00BA0637" w:rsidRPr="002C3864">
        <w:rPr>
          <w:rFonts w:hint="eastAsia"/>
        </w:rPr>
        <w:t>設備、</w:t>
      </w:r>
      <w:r w:rsidR="00BA0637" w:rsidRPr="002C3864">
        <w:t>材料又は他の</w:t>
      </w:r>
      <w:r w:rsidR="00BA0637" w:rsidRPr="002C3864">
        <w:rPr>
          <w:rFonts w:hint="eastAsia"/>
        </w:rPr>
        <w:t>機材の提供者のいかんを問わず、使用者が特定する</w:t>
      </w:r>
      <w:r w:rsidR="00BA0637" w:rsidRPr="002C3864">
        <w:t>製品又はサービスをもたらす</w:t>
      </w:r>
      <w:r w:rsidR="009C162B" w:rsidRPr="002C3864">
        <w:rPr>
          <w:rFonts w:hint="eastAsia"/>
        </w:rPr>
        <w:t>労働</w:t>
      </w:r>
      <w:r w:rsidRPr="002C3864">
        <w:t>」</w:t>
      </w:r>
      <w:r w:rsidRPr="002C3864">
        <w:rPr>
          <w:rFonts w:hint="eastAsia"/>
        </w:rPr>
        <w:t>（第</w:t>
      </w:r>
      <w:r w:rsidRPr="002C3864">
        <w:t>1条）と定義している</w:t>
      </w:r>
      <w:r w:rsidR="00DC626A" w:rsidRPr="002C3864">
        <w:rPr>
          <w:rFonts w:ascii="Nunito" w:eastAsia="Nunito" w:hAnsi="Nunito" w:cs="Nunito"/>
          <w:sz w:val="22"/>
          <w:vertAlign w:val="superscript"/>
        </w:rPr>
        <w:endnoteReference w:id="7"/>
      </w:r>
      <w:r w:rsidRPr="002C3864">
        <w:t>。</w:t>
      </w:r>
    </w:p>
    <w:p w14:paraId="20B07ECE" w14:textId="77777777" w:rsidR="00B84801" w:rsidRPr="002C3864" w:rsidRDefault="00B84801" w:rsidP="00B84801"/>
    <w:p w14:paraId="2DFD73C6" w14:textId="77777777" w:rsidR="00B84801" w:rsidRPr="002C3864" w:rsidRDefault="00B84801" w:rsidP="00C53053">
      <w:pPr>
        <w:ind w:firstLineChars="100" w:firstLine="210"/>
      </w:pPr>
      <w:r w:rsidRPr="002C3864">
        <w:t>ILOによると、</w:t>
      </w:r>
      <w:r w:rsidR="006735E3" w:rsidRPr="002C3864">
        <w:rPr>
          <w:rFonts w:hint="eastAsia"/>
        </w:rPr>
        <w:t>ケア</w:t>
      </w:r>
      <w:r w:rsidRPr="002C3864">
        <w:t>労働者</w:t>
      </w:r>
      <w:r w:rsidR="00BE0BAB" w:rsidRPr="002C3864">
        <w:rPr>
          <w:rFonts w:hint="eastAsia"/>
        </w:rPr>
        <w:t>（</w:t>
      </w:r>
      <w:r w:rsidR="00BE0BAB" w:rsidRPr="002C3864">
        <w:t>care worker</w:t>
      </w:r>
      <w:r w:rsidR="00BE0BAB" w:rsidRPr="002C3864">
        <w:rPr>
          <w:rFonts w:hint="eastAsia"/>
        </w:rPr>
        <w:t>）</w:t>
      </w:r>
      <w:r w:rsidRPr="002C3864">
        <w:t>という言葉は、家事労働を含むより多様な活動をカバーしている。</w:t>
      </w:r>
    </w:p>
    <w:p w14:paraId="6F4F4755" w14:textId="77777777" w:rsidR="00B84801" w:rsidRPr="002C3864" w:rsidRDefault="00B84801" w:rsidP="00BE0BAB">
      <w:pPr>
        <w:ind w:leftChars="337" w:left="708" w:firstLineChars="100" w:firstLine="210"/>
      </w:pPr>
      <w:r w:rsidRPr="002C3864">
        <w:rPr>
          <w:rFonts w:hint="eastAsia"/>
        </w:rPr>
        <w:t>「</w:t>
      </w:r>
      <w:r w:rsidR="006735E3" w:rsidRPr="002C3864">
        <w:rPr>
          <w:rFonts w:hint="eastAsia"/>
        </w:rPr>
        <w:t>ケア</w:t>
      </w:r>
      <w:r w:rsidRPr="002C3864">
        <w:rPr>
          <w:rFonts w:hint="eastAsia"/>
        </w:rPr>
        <w:t>労働は、</w:t>
      </w:r>
      <w:r w:rsidR="006735E3" w:rsidRPr="002C3864">
        <w:t>2つの重複する活動から構成される。</w:t>
      </w:r>
      <w:r w:rsidRPr="002C3864">
        <w:rPr>
          <w:rFonts w:hint="eastAsia"/>
        </w:rPr>
        <w:t>乳幼児への授乳や病気のパートナーの看護などの直接的、個人的、関係的なケア活動と、料理や掃除などの間接的なケア活動</w:t>
      </w:r>
      <w:r w:rsidR="006735E3" w:rsidRPr="002C3864">
        <w:rPr>
          <w:rFonts w:hint="eastAsia"/>
        </w:rPr>
        <w:t>である。</w:t>
      </w:r>
      <w:r w:rsidRPr="002C3864">
        <w:t>無報酬のケア</w:t>
      </w:r>
      <w:r w:rsidR="006735E3" w:rsidRPr="002C3864">
        <w:rPr>
          <w:rFonts w:hint="eastAsia"/>
        </w:rPr>
        <w:t>労働</w:t>
      </w:r>
      <w:r w:rsidRPr="002C3864">
        <w:t>とは、無報酬の</w:t>
      </w:r>
      <w:r w:rsidR="006735E3" w:rsidRPr="002C3864">
        <w:rPr>
          <w:rFonts w:hint="eastAsia"/>
        </w:rPr>
        <w:t>ケアラー</w:t>
      </w:r>
      <w:r w:rsidRPr="002C3864">
        <w:t>が金銭的な報酬を得ることなく提供するケア</w:t>
      </w:r>
      <w:r w:rsidR="006735E3" w:rsidRPr="002C3864">
        <w:rPr>
          <w:rFonts w:hint="eastAsia"/>
        </w:rPr>
        <w:t>労働</w:t>
      </w:r>
      <w:r w:rsidRPr="002C3864">
        <w:t>のことである。</w:t>
      </w:r>
      <w:r w:rsidRPr="002C3864">
        <w:rPr>
          <w:b/>
          <w:bCs/>
        </w:rPr>
        <w:t>無報酬のケアは</w:t>
      </w:r>
      <w:r w:rsidR="00B55EB4" w:rsidRPr="002C3864">
        <w:rPr>
          <w:rFonts w:hint="eastAsia"/>
          <w:b/>
          <w:bCs/>
        </w:rPr>
        <w:t>労働</w:t>
      </w:r>
      <w:r w:rsidRPr="002C3864">
        <w:rPr>
          <w:b/>
          <w:bCs/>
        </w:rPr>
        <w:t>とみなされるため、</w:t>
      </w:r>
      <w:r w:rsidR="00B55EB4" w:rsidRPr="002C3864">
        <w:rPr>
          <w:rFonts w:hint="eastAsia"/>
          <w:b/>
          <w:bCs/>
        </w:rPr>
        <w:t>労働</w:t>
      </w:r>
      <w:r w:rsidRPr="002C3864">
        <w:rPr>
          <w:b/>
          <w:bCs/>
        </w:rPr>
        <w:t>の世界の重要な一面である。</w:t>
      </w:r>
      <w:r w:rsidRPr="002C3864">
        <w:t>有給</w:t>
      </w:r>
      <w:r w:rsidR="00B55EB4" w:rsidRPr="002C3864">
        <w:rPr>
          <w:rFonts w:hint="eastAsia"/>
        </w:rPr>
        <w:t>ケア</w:t>
      </w:r>
      <w:r w:rsidRPr="002C3864">
        <w:t>労働は、</w:t>
      </w:r>
      <w:r w:rsidR="00B55EB4" w:rsidRPr="002C3864">
        <w:rPr>
          <w:rFonts w:hint="eastAsia"/>
        </w:rPr>
        <w:t>ケア</w:t>
      </w:r>
      <w:r w:rsidRPr="002C3864">
        <w:t>労働者が給与や利益を得て行うものである。</w:t>
      </w:r>
      <w:r w:rsidR="00B55EB4" w:rsidRPr="002C3864">
        <w:rPr>
          <w:rFonts w:hint="eastAsia"/>
        </w:rPr>
        <w:t>ケア</w:t>
      </w:r>
      <w:r w:rsidRPr="002C3864">
        <w:t>労働者は、看護師、教師、医師、</w:t>
      </w:r>
      <w:r w:rsidR="00B55EB4" w:rsidRPr="002C3864">
        <w:rPr>
          <w:rFonts w:hint="eastAsia"/>
        </w:rPr>
        <w:t>対人</w:t>
      </w:r>
      <w:r w:rsidRPr="002C3864">
        <w:t>ケアワーカーなど、さまざまな</w:t>
      </w:r>
      <w:r w:rsidR="004A70D6" w:rsidRPr="002C3864">
        <w:rPr>
          <w:rFonts w:hint="eastAsia"/>
        </w:rPr>
        <w:t>対人</w:t>
      </w:r>
      <w:r w:rsidRPr="002C3864">
        <w:t>サービス労働者から構成されている。家庭内で直接・間</w:t>
      </w:r>
      <w:r w:rsidR="00EC7650" w:rsidRPr="002C3864">
        <w:rPr>
          <w:rFonts w:hint="eastAsia"/>
        </w:rPr>
        <w:t>接のケアを提供する家事労働者もケア労働力</w:t>
      </w:r>
      <w:r w:rsidRPr="002C3864">
        <w:rPr>
          <w:rFonts w:hint="eastAsia"/>
        </w:rPr>
        <w:t>の一部である。</w:t>
      </w:r>
      <w:r w:rsidR="006735E3" w:rsidRPr="002C3864">
        <w:rPr>
          <w:rFonts w:hint="eastAsia"/>
        </w:rPr>
        <w:t>」</w:t>
      </w:r>
      <w:r w:rsidR="00DC626A" w:rsidRPr="002C3864">
        <w:rPr>
          <w:rFonts w:ascii="Nunito" w:eastAsia="Nunito" w:hAnsi="Nunito" w:cs="Nunito"/>
          <w:sz w:val="22"/>
          <w:vertAlign w:val="superscript"/>
        </w:rPr>
        <w:endnoteReference w:id="8"/>
      </w:r>
    </w:p>
    <w:p w14:paraId="2BCF4784" w14:textId="6338845F" w:rsidR="00B55EB4" w:rsidRPr="002C3864" w:rsidRDefault="00B55EB4" w:rsidP="00B84801"/>
    <w:p w14:paraId="49F75CAF" w14:textId="77777777" w:rsidR="00B84801" w:rsidRPr="002C3864" w:rsidRDefault="00B84801" w:rsidP="00B84801">
      <w:pPr>
        <w:rPr>
          <w:b/>
          <w:bCs/>
        </w:rPr>
      </w:pPr>
      <w:r w:rsidRPr="002C3864">
        <w:rPr>
          <w:rFonts w:hint="eastAsia"/>
          <w:b/>
          <w:bCs/>
        </w:rPr>
        <w:t>パラグラフ</w:t>
      </w:r>
      <w:r w:rsidRPr="002C3864">
        <w:rPr>
          <w:b/>
          <w:bCs/>
        </w:rPr>
        <w:t>80</w:t>
      </w:r>
    </w:p>
    <w:p w14:paraId="31AB7539" w14:textId="77777777" w:rsidR="004A70D6" w:rsidRPr="002C3864" w:rsidRDefault="004A70D6" w:rsidP="004A70D6">
      <w:pPr>
        <w:ind w:firstLineChars="100" w:firstLine="210"/>
      </w:pPr>
      <w:r w:rsidRPr="002C3864">
        <w:rPr>
          <w:rFonts w:hint="eastAsia"/>
        </w:rPr>
        <w:t>障害のある女性（第</w:t>
      </w:r>
      <w:r w:rsidRPr="002C3864">
        <w:t>6条）が労働において直面する多重</w:t>
      </w:r>
      <w:r w:rsidRPr="002C3864">
        <w:rPr>
          <w:rFonts w:hint="eastAsia"/>
          <w:u w:val="single"/>
        </w:rPr>
        <w:t>的</w:t>
      </w:r>
      <w:r w:rsidRPr="002C3864">
        <w:rPr>
          <w:u w:val="single"/>
        </w:rPr>
        <w:t>および交差</w:t>
      </w:r>
      <w:r w:rsidRPr="002C3864">
        <w:rPr>
          <w:rFonts w:hint="eastAsia"/>
          <w:u w:val="single"/>
        </w:rPr>
        <w:t>的</w:t>
      </w:r>
      <w:r w:rsidRPr="002C3864">
        <w:t>差別への対処には、障害のある女性の労働と雇用のサイクルを通じて影響を与えている仕組みと態度に対応する実質的な努力が含まれる。</w:t>
      </w:r>
      <w:r w:rsidRPr="002C3864">
        <w:rPr>
          <w:u w:val="single"/>
        </w:rPr>
        <w:t>性</w:t>
      </w:r>
      <w:r w:rsidR="002B52E4" w:rsidRPr="002C3864">
        <w:rPr>
          <w:rFonts w:hint="eastAsia"/>
          <w:u w:val="single"/>
        </w:rPr>
        <w:t>と</w:t>
      </w:r>
      <w:r w:rsidRPr="002C3864">
        <w:rPr>
          <w:u w:val="single"/>
        </w:rPr>
        <w:t>生殖</w:t>
      </w:r>
      <w:r w:rsidR="002B52E4" w:rsidRPr="002C3864">
        <w:rPr>
          <w:rFonts w:hint="eastAsia"/>
          <w:u w:val="single"/>
        </w:rPr>
        <w:t>の</w:t>
      </w:r>
      <w:r w:rsidRPr="002C3864">
        <w:rPr>
          <w:u w:val="single"/>
        </w:rPr>
        <w:t>権利の完全な行使は、障害</w:t>
      </w:r>
      <w:r w:rsidR="002B52E4" w:rsidRPr="002C3864">
        <w:rPr>
          <w:rFonts w:hint="eastAsia"/>
          <w:u w:val="single"/>
        </w:rPr>
        <w:t>のある</w:t>
      </w:r>
      <w:r w:rsidRPr="002C3864">
        <w:rPr>
          <w:u w:val="single"/>
        </w:rPr>
        <w:t>女性が</w:t>
      </w:r>
      <w:r w:rsidR="002B52E4" w:rsidRPr="002C3864">
        <w:rPr>
          <w:rFonts w:hint="eastAsia"/>
          <w:u w:val="single"/>
        </w:rPr>
        <w:t>労働</w:t>
      </w:r>
      <w:r w:rsidRPr="002C3864">
        <w:rPr>
          <w:u w:val="single"/>
        </w:rPr>
        <w:t>にアクセスし、</w:t>
      </w:r>
      <w:r w:rsidR="002B52E4" w:rsidRPr="002C3864">
        <w:rPr>
          <w:rFonts w:hint="eastAsia"/>
          <w:u w:val="single"/>
        </w:rPr>
        <w:t>労働</w:t>
      </w:r>
      <w:r w:rsidRPr="002C3864">
        <w:rPr>
          <w:u w:val="single"/>
        </w:rPr>
        <w:t>を続けることができるために不可欠である</w:t>
      </w:r>
      <w:r w:rsidR="002B52E4" w:rsidRPr="002C3864">
        <w:rPr>
          <w:rFonts w:hint="eastAsia"/>
          <w:u w:val="single"/>
        </w:rPr>
        <w:t>。</w:t>
      </w:r>
      <w:r w:rsidRPr="002C3864">
        <w:t>障害のある女性は、職場への平等な参加への独特の障壁に直面しており、締約国はこれに取り組まなければならない。これにはセクシャルハラスメント、同一価値の労働に対する不平等な賃金、身体的、情報的、コミュニケーション上の障壁とともに、彼女たちの申し立てを却下する差別的態度による救済へのアクセス欠如が含まれる 。</w:t>
      </w:r>
    </w:p>
    <w:p w14:paraId="19BCE8C5" w14:textId="77777777" w:rsidR="004A70D6" w:rsidRPr="002C3864" w:rsidRDefault="004A70D6" w:rsidP="00B84801"/>
    <w:p w14:paraId="7F3A97F7" w14:textId="77777777" w:rsidR="00B84801" w:rsidRPr="002C3864" w:rsidRDefault="00B84801" w:rsidP="00B84801">
      <w:pPr>
        <w:rPr>
          <w:b/>
          <w:bCs/>
        </w:rPr>
      </w:pPr>
      <w:r w:rsidRPr="002C3864">
        <w:rPr>
          <w:rFonts w:hint="eastAsia"/>
          <w:b/>
          <w:bCs/>
        </w:rPr>
        <w:t>根拠</w:t>
      </w:r>
    </w:p>
    <w:p w14:paraId="05E4ED19" w14:textId="77777777" w:rsidR="00B84801" w:rsidRPr="002C3864" w:rsidRDefault="00B84801" w:rsidP="00C53053">
      <w:pPr>
        <w:ind w:firstLineChars="100" w:firstLine="210"/>
      </w:pPr>
      <w:r w:rsidRPr="002C3864">
        <w:t>ILO、UNESCO、UNFPA</w:t>
      </w:r>
      <w:r w:rsidR="005466A7" w:rsidRPr="002C3864">
        <w:rPr>
          <w:rFonts w:hint="eastAsia"/>
        </w:rPr>
        <w:t>（</w:t>
      </w:r>
      <w:r w:rsidR="002B52E4" w:rsidRPr="002C3864">
        <w:rPr>
          <w:rFonts w:hint="eastAsia"/>
        </w:rPr>
        <w:t>国連人口基金</w:t>
      </w:r>
      <w:r w:rsidR="005466A7" w:rsidRPr="002C3864">
        <w:rPr>
          <w:rFonts w:hint="eastAsia"/>
        </w:rPr>
        <w:t>）</w:t>
      </w:r>
      <w:r w:rsidR="00EC7650" w:rsidRPr="002C3864">
        <w:t>が認識しているように、障害のある女性が正</w:t>
      </w:r>
      <w:r w:rsidR="00EC7650" w:rsidRPr="002C3864">
        <w:rPr>
          <w:rFonts w:hint="eastAsia"/>
        </w:rPr>
        <w:t>規の</w:t>
      </w:r>
      <w:r w:rsidR="005466A7" w:rsidRPr="002C3864">
        <w:rPr>
          <w:rFonts w:hint="eastAsia"/>
        </w:rPr>
        <w:t>労働</w:t>
      </w:r>
      <w:r w:rsidRPr="002C3864">
        <w:t>に従事する場合、</w:t>
      </w:r>
      <w:r w:rsidR="005466A7" w:rsidRPr="002C3864">
        <w:rPr>
          <w:rFonts w:hint="eastAsia"/>
        </w:rPr>
        <w:t>「</w:t>
      </w:r>
      <w:r w:rsidRPr="002C3864">
        <w:t>性と生殖</w:t>
      </w:r>
      <w:r w:rsidR="005466A7" w:rsidRPr="002C3864">
        <w:rPr>
          <w:rFonts w:hint="eastAsia"/>
        </w:rPr>
        <w:t>の</w:t>
      </w:r>
      <w:r w:rsidRPr="002C3864">
        <w:t>権利の行使が弱まることは、障害のある女性、少女、若者のエンパワメントとアイデンティティ</w:t>
      </w:r>
      <w:r w:rsidR="005466A7" w:rsidRPr="002C3864">
        <w:rPr>
          <w:rFonts w:hint="eastAsia"/>
        </w:rPr>
        <w:t>発達</w:t>
      </w:r>
      <w:r w:rsidRPr="002C3864">
        <w:t>にマイナスの影響を与え、</w:t>
      </w:r>
      <w:r w:rsidR="005466A7" w:rsidRPr="002C3864">
        <w:rPr>
          <w:rFonts w:hint="eastAsia"/>
        </w:rPr>
        <w:t>労働</w:t>
      </w:r>
      <w:r w:rsidRPr="002C3864">
        <w:t>など他の権利の行使も妨げられる</w:t>
      </w:r>
      <w:r w:rsidR="005466A7" w:rsidRPr="002C3864">
        <w:rPr>
          <w:rFonts w:hint="eastAsia"/>
        </w:rPr>
        <w:t>」</w:t>
      </w:r>
      <w:r w:rsidR="00DC626A" w:rsidRPr="002C3864">
        <w:rPr>
          <w:rFonts w:ascii="Nunito" w:eastAsia="Nunito" w:hAnsi="Nunito" w:cs="Nunito"/>
          <w:vertAlign w:val="superscript"/>
        </w:rPr>
        <w:endnoteReference w:id="9"/>
      </w:r>
      <w:r w:rsidR="005466A7" w:rsidRPr="002C3864">
        <w:rPr>
          <w:rFonts w:hint="eastAsia"/>
        </w:rPr>
        <w:t>。</w:t>
      </w:r>
      <w:r w:rsidRPr="002C3864">
        <w:t xml:space="preserve"> </w:t>
      </w:r>
    </w:p>
    <w:p w14:paraId="3A68900E" w14:textId="77777777" w:rsidR="00B84801" w:rsidRPr="002C3864" w:rsidRDefault="00B84801" w:rsidP="00B84801"/>
    <w:p w14:paraId="586B36DC" w14:textId="77777777" w:rsidR="00B84801" w:rsidRPr="002C3864" w:rsidRDefault="00B84801" w:rsidP="00C53053">
      <w:pPr>
        <w:ind w:firstLineChars="100" w:firstLine="210"/>
      </w:pPr>
      <w:r w:rsidRPr="002C3864">
        <w:t>ILOがペルーで実施した調査で述べたように、性と生殖</w:t>
      </w:r>
      <w:r w:rsidR="005466A7" w:rsidRPr="002C3864">
        <w:rPr>
          <w:rFonts w:hint="eastAsia"/>
        </w:rPr>
        <w:t>の</w:t>
      </w:r>
      <w:r w:rsidRPr="002C3864">
        <w:t>権利の阻害は、障害のある女性をジェンダーに基づく暴力のより大きなリスクにさらす</w:t>
      </w:r>
      <w:r w:rsidR="00DC626A" w:rsidRPr="002C3864">
        <w:rPr>
          <w:rFonts w:ascii="Nunito" w:eastAsia="Nunito" w:hAnsi="Nunito" w:cs="Nunito"/>
          <w:vertAlign w:val="superscript"/>
        </w:rPr>
        <w:endnoteReference w:id="10"/>
      </w:r>
      <w:r w:rsidRPr="002C3864">
        <w:t>。</w:t>
      </w:r>
      <w:r w:rsidR="005466A7" w:rsidRPr="002C3864">
        <w:rPr>
          <w:rFonts w:hint="eastAsia"/>
        </w:rPr>
        <w:t>労働</w:t>
      </w:r>
      <w:r w:rsidRPr="002C3864">
        <w:t>の世界の外で暴力を許し、引き起こす同じ力は、職場環境で再現され</w:t>
      </w:r>
      <w:r w:rsidR="00972E2F" w:rsidRPr="002C3864">
        <w:rPr>
          <w:rFonts w:hint="eastAsia"/>
        </w:rPr>
        <w:t>やすい</w:t>
      </w:r>
      <w:r w:rsidRPr="002C3864">
        <w:t>暴力状況を推進し、障害</w:t>
      </w:r>
      <w:r w:rsidR="005466A7" w:rsidRPr="002C3864">
        <w:rPr>
          <w:rFonts w:hint="eastAsia"/>
        </w:rPr>
        <w:t>のある</w:t>
      </w:r>
      <w:r w:rsidRPr="002C3864">
        <w:t>女性の</w:t>
      </w:r>
      <w:r w:rsidR="005466A7" w:rsidRPr="002C3864">
        <w:rPr>
          <w:rFonts w:hint="eastAsia"/>
        </w:rPr>
        <w:t>労働</w:t>
      </w:r>
      <w:r w:rsidRPr="002C3864">
        <w:t>を続ける能力に影響を与える。医療従事者、教育機関、社会</w:t>
      </w:r>
      <w:r w:rsidR="003A746B" w:rsidRPr="002C3864">
        <w:rPr>
          <w:rFonts w:hint="eastAsia"/>
        </w:rPr>
        <w:t>の</w:t>
      </w:r>
      <w:r w:rsidR="003A746B" w:rsidRPr="002C3864">
        <w:t>固定観念</w:t>
      </w:r>
      <w:r w:rsidR="003A746B" w:rsidRPr="002C3864">
        <w:rPr>
          <w:rFonts w:hint="eastAsia"/>
        </w:rPr>
        <w:t>により</w:t>
      </w:r>
      <w:r w:rsidRPr="002C3864">
        <w:t>、</w:t>
      </w:r>
      <w:r w:rsidR="003A746B" w:rsidRPr="002C3864">
        <w:t>性と生殖</w:t>
      </w:r>
      <w:r w:rsidR="003A746B" w:rsidRPr="002C3864">
        <w:rPr>
          <w:rFonts w:hint="eastAsia"/>
        </w:rPr>
        <w:t>の</w:t>
      </w:r>
      <w:r w:rsidR="003A746B" w:rsidRPr="002C3864">
        <w:t>権利に</w:t>
      </w:r>
      <w:r w:rsidR="003A746B" w:rsidRPr="002C3864">
        <w:rPr>
          <w:rFonts w:hint="eastAsia"/>
        </w:rPr>
        <w:t>関して</w:t>
      </w:r>
      <w:r w:rsidRPr="002C3864">
        <w:t>障害</w:t>
      </w:r>
      <w:r w:rsidR="00972E2F" w:rsidRPr="002C3864">
        <w:t>のある</w:t>
      </w:r>
      <w:r w:rsidRPr="002C3864">
        <w:t>女性</w:t>
      </w:r>
      <w:r w:rsidR="003A746B" w:rsidRPr="002C3864">
        <w:rPr>
          <w:rFonts w:hint="eastAsia"/>
        </w:rPr>
        <w:t>に</w:t>
      </w:r>
      <w:r w:rsidR="00EC7650" w:rsidRPr="002C3864">
        <w:t>提供される誤った情報は、雇用の障壁</w:t>
      </w:r>
      <w:r w:rsidR="00EC7650" w:rsidRPr="002C3864">
        <w:rPr>
          <w:rFonts w:hint="eastAsia"/>
        </w:rPr>
        <w:t>を助長す</w:t>
      </w:r>
      <w:r w:rsidRPr="002C3864">
        <w:t>る。</w:t>
      </w:r>
    </w:p>
    <w:p w14:paraId="24248498" w14:textId="77777777" w:rsidR="00B84801" w:rsidRPr="002C3864" w:rsidRDefault="00B84801" w:rsidP="00B84801"/>
    <w:p w14:paraId="27FF7990" w14:textId="77777777" w:rsidR="00B84801" w:rsidRPr="002C3864" w:rsidRDefault="00B84801" w:rsidP="00B84801">
      <w:pPr>
        <w:rPr>
          <w:b/>
          <w:bCs/>
        </w:rPr>
      </w:pPr>
      <w:r w:rsidRPr="002C3864">
        <w:rPr>
          <w:rFonts w:hint="eastAsia"/>
          <w:b/>
          <w:bCs/>
        </w:rPr>
        <w:t>パラグラフ</w:t>
      </w:r>
      <w:r w:rsidRPr="002C3864">
        <w:rPr>
          <w:b/>
          <w:bCs/>
        </w:rPr>
        <w:t xml:space="preserve"> 85</w:t>
      </w:r>
    </w:p>
    <w:p w14:paraId="0EE74196" w14:textId="77777777" w:rsidR="003A746B" w:rsidRPr="002C3864" w:rsidRDefault="003A746B" w:rsidP="003A746B">
      <w:pPr>
        <w:ind w:firstLineChars="100" w:firstLine="210"/>
      </w:pPr>
      <w:r w:rsidRPr="002C3864">
        <w:rPr>
          <w:rFonts w:hint="eastAsia"/>
        </w:rPr>
        <w:t>搾取、暴力および虐待からの自由に関する第</w:t>
      </w:r>
      <w:r w:rsidRPr="002C3864">
        <w:t>16条は、締約国に対し、物乞いによる障害のある人の搾取と闘い、搾取、暴力および虐待から障害のある人を保護するための適切な注意義務（due diligence）の枠組みを採用することを要求する。</w:t>
      </w:r>
      <w:r w:rsidR="00C338B4" w:rsidRPr="002C3864">
        <w:rPr>
          <w:rFonts w:hint="eastAsia"/>
          <w:u w:val="single"/>
        </w:rPr>
        <w:t>国は、普遍的ベーシックインカムなどを通じて、彼らが尊厳を持って生活することを可能にする社会的保障、保健制度および支援プログラムへの完全なアクセスを確保しなければならない</w:t>
      </w:r>
      <w:r w:rsidR="00C338B4" w:rsidRPr="002C3864">
        <w:rPr>
          <w:u w:val="single"/>
        </w:rPr>
        <w:t>。</w:t>
      </w:r>
      <w:r w:rsidRPr="002C3864">
        <w:rPr>
          <w:dstrike/>
        </w:rPr>
        <w:t>この分野における</w:t>
      </w:r>
      <w:r w:rsidRPr="002C3864">
        <w:t>法律、戦略、プログラムに障害</w:t>
      </w:r>
      <w:r w:rsidR="00C338B4" w:rsidRPr="002C3864">
        <w:rPr>
          <w:rFonts w:hint="eastAsia"/>
          <w:u w:val="single"/>
        </w:rPr>
        <w:t>者の権利</w:t>
      </w:r>
      <w:r w:rsidRPr="002C3864">
        <w:t>の視点を取り入れることには、</w:t>
      </w:r>
      <w:r w:rsidR="00EC7650" w:rsidRPr="002C3864">
        <w:t>法律の中での言及、利用しやすいサービス、警察・検察・裁判官・</w:t>
      </w:r>
      <w:r w:rsidR="00EC7650" w:rsidRPr="002C3864">
        <w:rPr>
          <w:rFonts w:hint="eastAsia"/>
        </w:rPr>
        <w:t>監査</w:t>
      </w:r>
      <w:r w:rsidRPr="002C3864">
        <w:t>官 の現任訓練、それらの実施と監視のための十分な資源の確保が含まれる。</w:t>
      </w:r>
    </w:p>
    <w:p w14:paraId="58CBDAC7" w14:textId="77777777" w:rsidR="00B84801" w:rsidRPr="002C3864" w:rsidRDefault="00B84801" w:rsidP="00B84801"/>
    <w:p w14:paraId="1F94E27B" w14:textId="77777777" w:rsidR="006E6A5A" w:rsidRPr="002C3864" w:rsidRDefault="006E0F2B" w:rsidP="006E6A5A">
      <w:pPr>
        <w:rPr>
          <w:b/>
          <w:bCs/>
        </w:rPr>
      </w:pPr>
      <w:r w:rsidRPr="002C3864">
        <w:rPr>
          <w:rFonts w:hint="eastAsia"/>
          <w:b/>
          <w:bCs/>
        </w:rPr>
        <w:t>パラグラフ</w:t>
      </w:r>
      <w:r w:rsidR="006E6A5A" w:rsidRPr="002C3864">
        <w:rPr>
          <w:b/>
          <w:bCs/>
        </w:rPr>
        <w:t xml:space="preserve"> 93  iv)</w:t>
      </w:r>
    </w:p>
    <w:p w14:paraId="2DC14886" w14:textId="77777777" w:rsidR="008F51A1" w:rsidRPr="002C3864" w:rsidRDefault="008F51A1" w:rsidP="008F51A1">
      <w:pPr>
        <w:ind w:firstLineChars="100" w:firstLine="210"/>
      </w:pPr>
      <w:r w:rsidRPr="002C3864">
        <w:rPr>
          <w:rFonts w:hint="eastAsia"/>
          <w:dstrike/>
        </w:rPr>
        <w:t>障害関連の社会的保障は、貧困状態にある障害のある人のみが利用できる障害給付金のような、収入・資産調査にのみ基づく給付に限定されてはならない。</w:t>
      </w:r>
      <w:r w:rsidRPr="002C3864">
        <w:rPr>
          <w:u w:val="single"/>
        </w:rPr>
        <w:t>障害関連の社会</w:t>
      </w:r>
      <w:r w:rsidR="00084CBB" w:rsidRPr="002C3864">
        <w:rPr>
          <w:rFonts w:hint="eastAsia"/>
          <w:u w:val="single"/>
        </w:rPr>
        <w:t>的保障</w:t>
      </w:r>
      <w:r w:rsidRPr="002C3864">
        <w:rPr>
          <w:u w:val="single"/>
        </w:rPr>
        <w:t>と保健へのアクセスは、</w:t>
      </w:r>
      <w:r w:rsidR="00084CBB" w:rsidRPr="002C3864">
        <w:rPr>
          <w:rFonts w:hint="eastAsia"/>
          <w:u w:val="single"/>
        </w:rPr>
        <w:t>受給</w:t>
      </w:r>
      <w:r w:rsidRPr="002C3864">
        <w:rPr>
          <w:u w:val="single"/>
        </w:rPr>
        <w:t>資格とアクセスが</w:t>
      </w:r>
      <w:r w:rsidR="00EC7650" w:rsidRPr="002C3864">
        <w:rPr>
          <w:rFonts w:hint="eastAsia"/>
          <w:u w:val="single"/>
        </w:rPr>
        <w:t>、資産・収入調査</w:t>
      </w:r>
      <w:r w:rsidR="00EC7650" w:rsidRPr="002C3864">
        <w:rPr>
          <w:u w:val="single"/>
        </w:rPr>
        <w:t>、失業</w:t>
      </w:r>
      <w:r w:rsidRPr="002C3864">
        <w:rPr>
          <w:u w:val="single"/>
        </w:rPr>
        <w:t>、あるいは家族</w:t>
      </w:r>
      <w:r w:rsidR="00EC7650" w:rsidRPr="002C3864">
        <w:rPr>
          <w:rFonts w:hint="eastAsia"/>
          <w:u w:val="single"/>
        </w:rPr>
        <w:t>への</w:t>
      </w:r>
      <w:r w:rsidRPr="002C3864">
        <w:rPr>
          <w:u w:val="single"/>
        </w:rPr>
        <w:t>依存</w:t>
      </w:r>
      <w:r w:rsidR="00EC7650" w:rsidRPr="002C3864">
        <w:rPr>
          <w:rFonts w:hint="eastAsia"/>
          <w:u w:val="single"/>
        </w:rPr>
        <w:t>を要件と</w:t>
      </w:r>
      <w:r w:rsidR="00084CBB" w:rsidRPr="002C3864">
        <w:rPr>
          <w:rFonts w:hint="eastAsia"/>
          <w:u w:val="single"/>
        </w:rPr>
        <w:t>しない</w:t>
      </w:r>
      <w:r w:rsidRPr="002C3864">
        <w:rPr>
          <w:u w:val="single"/>
        </w:rPr>
        <w:t>ように改革されなければならない</w:t>
      </w:r>
      <w:r w:rsidR="00084CBB" w:rsidRPr="002C3864">
        <w:rPr>
          <w:rFonts w:hint="eastAsia"/>
          <w:u w:val="single"/>
        </w:rPr>
        <w:t>。</w:t>
      </w:r>
      <w:r w:rsidRPr="002C3864">
        <w:rPr>
          <w:u w:val="single"/>
        </w:rPr>
        <w:t>さもなければ貧困の連鎖を永続させることになる。</w:t>
      </w:r>
      <w:r w:rsidRPr="002C3864">
        <w:rPr>
          <w:rFonts w:hint="eastAsia"/>
        </w:rPr>
        <w:t>これらは労働の阻害要因となり、医療給付やその他の</w:t>
      </w:r>
      <w:r w:rsidR="00EC7650" w:rsidRPr="002C3864">
        <w:rPr>
          <w:rFonts w:hint="eastAsia"/>
        </w:rPr>
        <w:t>必要</w:t>
      </w:r>
      <w:r w:rsidRPr="002C3864">
        <w:rPr>
          <w:rFonts w:hint="eastAsia"/>
        </w:rPr>
        <w:t>不可欠な支援と結びついている場合には、労働の追求を不可能にしかねない。</w:t>
      </w:r>
    </w:p>
    <w:p w14:paraId="6B080D3A" w14:textId="77777777" w:rsidR="008F51A1" w:rsidRPr="002C3864" w:rsidRDefault="008F51A1" w:rsidP="006E6A5A"/>
    <w:p w14:paraId="2EF04E07" w14:textId="77777777" w:rsidR="006E6A5A" w:rsidRPr="002C3864" w:rsidRDefault="006E6A5A" w:rsidP="006E6A5A">
      <w:pPr>
        <w:rPr>
          <w:b/>
          <w:bCs/>
        </w:rPr>
      </w:pPr>
      <w:r w:rsidRPr="002C3864">
        <w:rPr>
          <w:rFonts w:hint="eastAsia"/>
          <w:b/>
          <w:bCs/>
        </w:rPr>
        <w:t>根拠</w:t>
      </w:r>
    </w:p>
    <w:p w14:paraId="53EE2202" w14:textId="77777777" w:rsidR="006E6A5A" w:rsidRPr="002C3864" w:rsidRDefault="006E6A5A" w:rsidP="006E6A5A"/>
    <w:p w14:paraId="719B7ACB" w14:textId="77777777" w:rsidR="00B84801" w:rsidRPr="002C3864" w:rsidRDefault="006E6A5A" w:rsidP="00C53053">
      <w:pPr>
        <w:ind w:firstLineChars="100" w:firstLine="210"/>
      </w:pPr>
      <w:r w:rsidRPr="002C3864">
        <w:rPr>
          <w:rFonts w:hint="eastAsia"/>
        </w:rPr>
        <w:t>国の政策や制度は、しばしば、家族内の地位によって適用を条件づけ</w:t>
      </w:r>
      <w:r w:rsidR="00E05716" w:rsidRPr="002C3864">
        <w:rPr>
          <w:rFonts w:hint="eastAsia"/>
        </w:rPr>
        <w:t>てい</w:t>
      </w:r>
      <w:r w:rsidRPr="002C3864">
        <w:rPr>
          <w:rFonts w:hint="eastAsia"/>
        </w:rPr>
        <w:t>る。</w:t>
      </w:r>
      <w:r w:rsidR="002F6FD5" w:rsidRPr="002C3864">
        <w:rPr>
          <w:rFonts w:hint="eastAsia"/>
        </w:rPr>
        <w:t>「</w:t>
      </w:r>
      <w:r w:rsidRPr="002C3864">
        <w:rPr>
          <w:rFonts w:hint="eastAsia"/>
        </w:rPr>
        <w:t>生産的」な</w:t>
      </w:r>
      <w:r w:rsidR="002F6FD5" w:rsidRPr="002C3864">
        <w:rPr>
          <w:rFonts w:hint="eastAsia"/>
        </w:rPr>
        <w:t>労働</w:t>
      </w:r>
      <w:r w:rsidRPr="002C3864">
        <w:rPr>
          <w:rFonts w:hint="eastAsia"/>
        </w:rPr>
        <w:t>をする「世帯主」は、社会</w:t>
      </w:r>
      <w:r w:rsidR="002F6FD5" w:rsidRPr="002C3864">
        <w:rPr>
          <w:rFonts w:hint="eastAsia"/>
        </w:rPr>
        <w:t>的保障</w:t>
      </w:r>
      <w:r w:rsidRPr="002C3864">
        <w:rPr>
          <w:rFonts w:hint="eastAsia"/>
        </w:rPr>
        <w:t>や保健制度への直接的なアクセスを可能にする保険料を支払うが、無給で認知されない</w:t>
      </w:r>
      <w:r w:rsidR="002F6FD5" w:rsidRPr="002C3864">
        <w:rPr>
          <w:rFonts w:hint="eastAsia"/>
        </w:rPr>
        <w:t>再生産</w:t>
      </w:r>
      <w:r w:rsidRPr="002C3864">
        <w:rPr>
          <w:rFonts w:hint="eastAsia"/>
        </w:rPr>
        <w:t>労働</w:t>
      </w:r>
      <w:r w:rsidR="002F6FD5" w:rsidRPr="002C3864">
        <w:rPr>
          <w:rFonts w:hint="eastAsia"/>
        </w:rPr>
        <w:t>（</w:t>
      </w:r>
      <w:r w:rsidR="002F6FD5" w:rsidRPr="002C3864">
        <w:t xml:space="preserve">reproductive </w:t>
      </w:r>
      <w:proofErr w:type="spellStart"/>
      <w:r w:rsidR="002F6FD5" w:rsidRPr="002C3864">
        <w:t>labour</w:t>
      </w:r>
      <w:proofErr w:type="spellEnd"/>
      <w:r w:rsidR="002F6FD5" w:rsidRPr="002C3864">
        <w:rPr>
          <w:rFonts w:hint="eastAsia"/>
        </w:rPr>
        <w:t>）</w:t>
      </w:r>
      <w:r w:rsidR="00E10FD8" w:rsidRPr="002C3864">
        <w:rPr>
          <w:rFonts w:ascii="Nunito" w:hAnsi="Nunito"/>
          <w:vertAlign w:val="superscript"/>
        </w:rPr>
        <w:endnoteReference w:id="11"/>
      </w:r>
      <w:r w:rsidRPr="002C3864">
        <w:rPr>
          <w:rFonts w:hint="eastAsia"/>
        </w:rPr>
        <w:t>を行う他の家族は、被扶養者としてアクセスを許可される。このような状況（資源へのアクセスが家族関係に依存する）は、障害のある人の家族に、障害のある人の生活に対するより強い権力と支配力を与えている。国によっては、社会的</w:t>
      </w:r>
      <w:r w:rsidR="00C96653" w:rsidRPr="002C3864">
        <w:rPr>
          <w:rFonts w:hint="eastAsia"/>
        </w:rPr>
        <w:t>保障</w:t>
      </w:r>
      <w:r w:rsidRPr="002C3864">
        <w:rPr>
          <w:rFonts w:hint="eastAsia"/>
        </w:rPr>
        <w:t>へのアクセスが健康へのアクセスと密接に関係しているため、このパラグラフに健康へのアクセスを含めることが必要である。</w:t>
      </w:r>
    </w:p>
    <w:p w14:paraId="74C2B64E" w14:textId="79A7B303" w:rsidR="00C96653" w:rsidRPr="002C3864" w:rsidRDefault="00C96653" w:rsidP="00C96653">
      <w:pPr>
        <w:ind w:firstLineChars="100" w:firstLine="210"/>
        <w:jc w:val="right"/>
      </w:pPr>
      <w:r w:rsidRPr="002C3864">
        <w:rPr>
          <w:rFonts w:hint="eastAsia"/>
        </w:rPr>
        <w:t>（翻訳：佐藤久夫、</w:t>
      </w:r>
      <w:r w:rsidR="00D52930" w:rsidRPr="002C3864">
        <w:rPr>
          <w:rFonts w:hint="eastAsia"/>
        </w:rPr>
        <w:t>松井亮輔</w:t>
      </w:r>
      <w:r w:rsidRPr="002C3864">
        <w:rPr>
          <w:rFonts w:hint="eastAsia"/>
        </w:rPr>
        <w:t>）</w:t>
      </w:r>
    </w:p>
    <w:p w14:paraId="6CD8B237" w14:textId="77777777" w:rsidR="00B84801" w:rsidRPr="002C3864" w:rsidRDefault="00B84801" w:rsidP="00B84801"/>
    <w:sectPr w:rsidR="00B84801" w:rsidRPr="002C3864" w:rsidSect="009473E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DFB3" w14:textId="77777777" w:rsidR="008804E0" w:rsidRDefault="008804E0" w:rsidP="008804E0">
      <w:r>
        <w:separator/>
      </w:r>
    </w:p>
  </w:endnote>
  <w:endnote w:type="continuationSeparator" w:id="0">
    <w:p w14:paraId="7CCB62DA" w14:textId="77777777" w:rsidR="008804E0" w:rsidRDefault="008804E0" w:rsidP="008804E0">
      <w:r>
        <w:continuationSeparator/>
      </w:r>
    </w:p>
  </w:endnote>
  <w:endnote w:id="1">
    <w:p w14:paraId="4EBBAD51" w14:textId="77777777" w:rsidR="00956F0F" w:rsidRPr="00067C45" w:rsidRDefault="00956F0F" w:rsidP="00E10FD8">
      <w:pPr>
        <w:pBdr>
          <w:top w:val="nil"/>
          <w:left w:val="nil"/>
          <w:bottom w:val="nil"/>
          <w:right w:val="nil"/>
          <w:between w:val="nil"/>
        </w:pBdr>
        <w:jc w:val="left"/>
        <w:rPr>
          <w:rFonts w:asciiTheme="majorHAnsi" w:hAnsiTheme="majorHAnsi" w:cstheme="majorHAnsi"/>
          <w:color w:val="000000"/>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color w:val="000000"/>
          <w:sz w:val="18"/>
          <w:szCs w:val="18"/>
        </w:rPr>
        <w:t xml:space="preserve"> Sexual Rights Initiative, Submission to the CRPD on its concept note on art. 27 (right to work). Available at:</w:t>
      </w:r>
    </w:p>
    <w:p w14:paraId="10F4EC86" w14:textId="77777777" w:rsidR="00956F0F" w:rsidRPr="00067C45" w:rsidRDefault="00E4192A" w:rsidP="00E10FD8">
      <w:pPr>
        <w:pBdr>
          <w:top w:val="nil"/>
          <w:left w:val="nil"/>
          <w:bottom w:val="nil"/>
          <w:right w:val="nil"/>
          <w:between w:val="nil"/>
        </w:pBdr>
        <w:jc w:val="left"/>
        <w:rPr>
          <w:rFonts w:asciiTheme="majorHAnsi" w:hAnsiTheme="majorHAnsi" w:cstheme="majorHAnsi"/>
          <w:color w:val="000000"/>
          <w:sz w:val="18"/>
          <w:szCs w:val="18"/>
        </w:rPr>
      </w:pPr>
      <w:hyperlink r:id="rId1">
        <w:r w:rsidR="00956F0F" w:rsidRPr="00067C45">
          <w:rPr>
            <w:rFonts w:asciiTheme="majorHAnsi" w:hAnsiTheme="majorHAnsi" w:cstheme="majorHAnsi"/>
            <w:color w:val="0000FF"/>
            <w:sz w:val="18"/>
            <w:szCs w:val="18"/>
            <w:u w:val="single"/>
          </w:rPr>
          <w:t>https://www.ohchr.org/Documents/HRBodies/CRPD/DGD/2021/Sexual_Rights_Initiative.docx</w:t>
        </w:r>
      </w:hyperlink>
      <w:r w:rsidR="00956F0F" w:rsidRPr="00067C45">
        <w:rPr>
          <w:rFonts w:asciiTheme="majorHAnsi" w:hAnsiTheme="majorHAnsi" w:cstheme="majorHAnsi"/>
          <w:color w:val="000000"/>
          <w:sz w:val="18"/>
          <w:szCs w:val="18"/>
        </w:rPr>
        <w:t xml:space="preserve">  (1 December 2021) </w:t>
      </w:r>
    </w:p>
  </w:endnote>
  <w:endnote w:id="2">
    <w:p w14:paraId="1F2279F8" w14:textId="77777777" w:rsidR="00956F0F" w:rsidRPr="00067C45" w:rsidRDefault="00956F0F" w:rsidP="00E10FD8">
      <w:pPr>
        <w:pBdr>
          <w:top w:val="nil"/>
          <w:left w:val="nil"/>
          <w:bottom w:val="nil"/>
          <w:right w:val="nil"/>
          <w:between w:val="nil"/>
        </w:pBdr>
        <w:jc w:val="left"/>
        <w:rPr>
          <w:rFonts w:asciiTheme="majorHAnsi" w:hAnsiTheme="majorHAnsi" w:cstheme="majorHAnsi"/>
          <w:color w:val="000000"/>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color w:val="000000"/>
          <w:sz w:val="18"/>
          <w:szCs w:val="18"/>
        </w:rPr>
        <w:t xml:space="preserve"> Id.</w:t>
      </w:r>
    </w:p>
  </w:endnote>
  <w:endnote w:id="3">
    <w:p w14:paraId="08ADD5CC" w14:textId="77777777" w:rsidR="00956F0F" w:rsidRPr="00067C45" w:rsidRDefault="00956F0F" w:rsidP="00E10FD8">
      <w:pPr>
        <w:pBdr>
          <w:top w:val="nil"/>
          <w:left w:val="nil"/>
          <w:bottom w:val="nil"/>
          <w:right w:val="nil"/>
          <w:between w:val="nil"/>
        </w:pBdr>
        <w:jc w:val="left"/>
        <w:rPr>
          <w:rFonts w:asciiTheme="majorHAnsi" w:hAnsiTheme="majorHAnsi" w:cstheme="majorHAnsi"/>
          <w:color w:val="000000"/>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color w:val="000000"/>
          <w:sz w:val="18"/>
          <w:szCs w:val="18"/>
        </w:rPr>
        <w:t xml:space="preserve"> CRPD general comment No. 3 (2016), para. 4(c) drawing on Committee on the Elimination of Discrimination against Women, general recommendation No. 25 (2004) on temporary special measures, para. 12.</w:t>
      </w:r>
    </w:p>
  </w:endnote>
  <w:endnote w:id="4">
    <w:p w14:paraId="0FEF9727" w14:textId="77777777" w:rsidR="00DC626A" w:rsidRPr="00067C45" w:rsidRDefault="00DC626A" w:rsidP="00E10FD8">
      <w:pPr>
        <w:jc w:val="left"/>
        <w:rPr>
          <w:rFonts w:asciiTheme="majorHAnsi" w:hAnsiTheme="majorHAnsi" w:cstheme="majorHAnsi"/>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sz w:val="18"/>
          <w:szCs w:val="18"/>
        </w:rPr>
        <w:t xml:space="preserve"> UN Division for the Advancement of Women, Office of the High Commissioner for Human Rights, and the United Nations Development Fund for Women. </w:t>
      </w:r>
      <w:r w:rsidRPr="00067C45">
        <w:rPr>
          <w:rFonts w:asciiTheme="majorHAnsi" w:hAnsiTheme="majorHAnsi" w:cstheme="majorHAnsi"/>
          <w:i/>
          <w:sz w:val="18"/>
          <w:szCs w:val="18"/>
        </w:rPr>
        <w:t>Report of the Expert Group Meeting on Gender and Racial Discrimination</w:t>
      </w:r>
      <w:r w:rsidRPr="00067C45">
        <w:rPr>
          <w:rFonts w:asciiTheme="majorHAnsi" w:hAnsiTheme="majorHAnsi" w:cstheme="majorHAnsi"/>
          <w:sz w:val="18"/>
          <w:szCs w:val="18"/>
        </w:rPr>
        <w:t xml:space="preserve">. 21-24 November 2000, available at </w:t>
      </w:r>
      <w:hyperlink r:id="rId2">
        <w:r w:rsidRPr="00067C45">
          <w:rPr>
            <w:rFonts w:asciiTheme="majorHAnsi" w:hAnsiTheme="majorHAnsi" w:cstheme="majorHAnsi"/>
            <w:color w:val="1155CC"/>
            <w:sz w:val="18"/>
            <w:szCs w:val="18"/>
            <w:u w:val="single"/>
          </w:rPr>
          <w:t>http://www.un.org/womenwatch/daw/csw/genrac/report.htm</w:t>
        </w:r>
      </w:hyperlink>
      <w:r w:rsidRPr="00067C45">
        <w:rPr>
          <w:rFonts w:asciiTheme="majorHAnsi" w:hAnsiTheme="majorHAnsi" w:cstheme="majorHAnsi"/>
          <w:sz w:val="18"/>
          <w:szCs w:val="18"/>
        </w:rPr>
        <w:t xml:space="preserve"> </w:t>
      </w:r>
    </w:p>
  </w:endnote>
  <w:endnote w:id="5">
    <w:p w14:paraId="758674CD" w14:textId="77777777" w:rsidR="00DC626A" w:rsidRPr="00067C45" w:rsidRDefault="00DC626A" w:rsidP="00E10FD8">
      <w:pPr>
        <w:pBdr>
          <w:top w:val="nil"/>
          <w:left w:val="nil"/>
          <w:bottom w:val="nil"/>
          <w:right w:val="nil"/>
          <w:between w:val="nil"/>
        </w:pBdr>
        <w:jc w:val="left"/>
        <w:rPr>
          <w:rFonts w:asciiTheme="majorHAnsi" w:hAnsiTheme="majorHAnsi" w:cstheme="majorHAnsi"/>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sz w:val="18"/>
          <w:szCs w:val="18"/>
        </w:rPr>
        <w:t>Paragraph 24</w:t>
      </w:r>
    </w:p>
    <w:p w14:paraId="423BE12C" w14:textId="77777777" w:rsidR="00DC626A" w:rsidRPr="00067C45" w:rsidRDefault="00DC626A" w:rsidP="00E10FD8">
      <w:pPr>
        <w:pBdr>
          <w:top w:val="nil"/>
          <w:left w:val="nil"/>
          <w:bottom w:val="nil"/>
          <w:right w:val="nil"/>
          <w:between w:val="nil"/>
        </w:pBdr>
        <w:jc w:val="left"/>
        <w:rPr>
          <w:rFonts w:asciiTheme="majorHAnsi" w:hAnsiTheme="majorHAnsi" w:cstheme="majorHAnsi"/>
          <w:color w:val="000000"/>
          <w:sz w:val="18"/>
          <w:szCs w:val="18"/>
        </w:rPr>
      </w:pPr>
      <w:r w:rsidRPr="00067C45">
        <w:rPr>
          <w:rFonts w:asciiTheme="majorHAnsi" w:hAnsiTheme="majorHAnsi" w:cstheme="majorHAnsi"/>
          <w:color w:val="000000"/>
          <w:sz w:val="18"/>
          <w:szCs w:val="18"/>
        </w:rPr>
        <w:t xml:space="preserve"> CRPD General Comment No.3 (2016) on women and girls with disabilities.</w:t>
      </w:r>
    </w:p>
  </w:endnote>
  <w:endnote w:id="6">
    <w:p w14:paraId="0E3A22D7" w14:textId="77777777" w:rsidR="00DC626A" w:rsidRPr="00067C45" w:rsidRDefault="00DC626A" w:rsidP="00E10FD8">
      <w:pPr>
        <w:pBdr>
          <w:top w:val="nil"/>
          <w:left w:val="nil"/>
          <w:bottom w:val="nil"/>
          <w:right w:val="nil"/>
          <w:between w:val="nil"/>
        </w:pBdr>
        <w:jc w:val="left"/>
        <w:rPr>
          <w:rFonts w:asciiTheme="majorHAnsi" w:hAnsiTheme="majorHAnsi" w:cstheme="majorHAnsi"/>
          <w:color w:val="000000"/>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color w:val="000000"/>
          <w:sz w:val="18"/>
          <w:szCs w:val="18"/>
        </w:rPr>
        <w:t xml:space="preserve"> </w:t>
      </w:r>
      <w:r>
        <w:rPr>
          <w:rFonts w:asciiTheme="majorHAnsi" w:hAnsiTheme="majorHAnsi" w:cstheme="majorHAnsi"/>
          <w:color w:val="000000"/>
          <w:sz w:val="18"/>
          <w:szCs w:val="18"/>
        </w:rPr>
        <w:t xml:space="preserve">Kimberle </w:t>
      </w:r>
      <w:r w:rsidRPr="00067C45">
        <w:rPr>
          <w:rFonts w:asciiTheme="majorHAnsi" w:hAnsiTheme="majorHAnsi" w:cstheme="majorHAnsi"/>
          <w:color w:val="000000"/>
          <w:sz w:val="18"/>
          <w:szCs w:val="18"/>
        </w:rPr>
        <w:t xml:space="preserve">Crenshaw, "Demarginalizing the Intersection of Race and Sex: A Black Feminist Critique of Antidiscrimination Doctrine, Feminist Theory and Antiracist Politics," University of Chicago Legal Forum: Vol. 1989: </w:t>
      </w:r>
      <w:r w:rsidRPr="00067C45">
        <w:rPr>
          <w:rFonts w:asciiTheme="majorHAnsi" w:hAnsiTheme="majorHAnsi" w:cstheme="majorHAnsi"/>
          <w:color w:val="000000"/>
          <w:sz w:val="18"/>
          <w:szCs w:val="18"/>
        </w:rPr>
        <w:t xml:space="preserve">Iss. 1, Article 8. Available at: </w:t>
      </w:r>
      <w:hyperlink r:id="rId3">
        <w:r w:rsidRPr="00067C45">
          <w:rPr>
            <w:rFonts w:asciiTheme="majorHAnsi" w:hAnsiTheme="majorHAnsi" w:cstheme="majorHAnsi"/>
            <w:color w:val="0000FF"/>
            <w:sz w:val="18"/>
            <w:szCs w:val="18"/>
            <w:u w:val="single"/>
          </w:rPr>
          <w:t>http://chicagounbound.uchicago.edu/uclf/vol1989/iss1/8</w:t>
        </w:r>
      </w:hyperlink>
      <w:r w:rsidRPr="00067C45">
        <w:rPr>
          <w:rFonts w:asciiTheme="majorHAnsi" w:hAnsiTheme="majorHAnsi" w:cstheme="majorHAnsi"/>
          <w:color w:val="000000"/>
          <w:sz w:val="18"/>
          <w:szCs w:val="18"/>
        </w:rPr>
        <w:t xml:space="preserve"> </w:t>
      </w:r>
    </w:p>
  </w:endnote>
  <w:endnote w:id="7">
    <w:p w14:paraId="67573B04" w14:textId="77777777" w:rsidR="00DC626A" w:rsidRPr="00067C45" w:rsidRDefault="00DC626A" w:rsidP="00E10FD8">
      <w:pPr>
        <w:pBdr>
          <w:top w:val="nil"/>
          <w:left w:val="nil"/>
          <w:bottom w:val="nil"/>
          <w:right w:val="nil"/>
          <w:between w:val="nil"/>
        </w:pBdr>
        <w:jc w:val="left"/>
        <w:rPr>
          <w:rFonts w:asciiTheme="majorHAnsi" w:hAnsiTheme="majorHAnsi" w:cstheme="majorHAnsi"/>
          <w:color w:val="000000"/>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color w:val="000000"/>
          <w:sz w:val="18"/>
          <w:szCs w:val="18"/>
        </w:rPr>
        <w:t xml:space="preserve"> ILO, Working from home: From Invisibility to decent work. Available at: </w:t>
      </w:r>
      <w:hyperlink r:id="rId4">
        <w:r w:rsidRPr="00067C45">
          <w:rPr>
            <w:rFonts w:asciiTheme="majorHAnsi" w:hAnsiTheme="majorHAnsi" w:cstheme="majorHAnsi"/>
            <w:color w:val="0000FF"/>
            <w:sz w:val="18"/>
            <w:szCs w:val="18"/>
            <w:u w:val="single"/>
          </w:rPr>
          <w:t>https://www.ilo.org/wcmsp5/groups/public/---ed_protect/---protrav/---travail/documents/publication/wcms_765806.pdf</w:t>
        </w:r>
      </w:hyperlink>
      <w:r w:rsidRPr="00067C45">
        <w:rPr>
          <w:rFonts w:asciiTheme="majorHAnsi" w:hAnsiTheme="majorHAnsi" w:cstheme="majorHAnsi"/>
          <w:color w:val="000000"/>
          <w:sz w:val="18"/>
          <w:szCs w:val="18"/>
        </w:rPr>
        <w:t xml:space="preserve"> </w:t>
      </w:r>
    </w:p>
  </w:endnote>
  <w:endnote w:id="8">
    <w:p w14:paraId="187FE90A" w14:textId="77777777" w:rsidR="00DC626A" w:rsidRPr="00067C45" w:rsidRDefault="00DC626A" w:rsidP="00E10FD8">
      <w:pPr>
        <w:jc w:val="left"/>
        <w:rPr>
          <w:rFonts w:asciiTheme="majorHAnsi" w:hAnsiTheme="majorHAnsi" w:cstheme="majorHAnsi"/>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sz w:val="18"/>
          <w:szCs w:val="18"/>
        </w:rPr>
        <w:t xml:space="preserve"> ILO, Care work and care jobs for the future of decent work. Available at: </w:t>
      </w:r>
      <w:hyperlink r:id="rId5">
        <w:r w:rsidRPr="00067C45">
          <w:rPr>
            <w:rFonts w:asciiTheme="majorHAnsi" w:hAnsiTheme="majorHAnsi" w:cstheme="majorHAnsi"/>
            <w:color w:val="1155CC"/>
            <w:sz w:val="18"/>
            <w:szCs w:val="18"/>
            <w:u w:val="single"/>
          </w:rPr>
          <w:t>https://www.ilo.org/wcmsp5/groups/public/---dgreports/---dcomm/---publ/documents/publication/wcms_633166.pdf</w:t>
        </w:r>
      </w:hyperlink>
      <w:r w:rsidRPr="00067C45">
        <w:rPr>
          <w:rFonts w:asciiTheme="majorHAnsi" w:hAnsiTheme="majorHAnsi" w:cstheme="majorHAnsi"/>
          <w:sz w:val="18"/>
          <w:szCs w:val="18"/>
        </w:rPr>
        <w:t xml:space="preserve"> </w:t>
      </w:r>
    </w:p>
  </w:endnote>
  <w:endnote w:id="9">
    <w:p w14:paraId="7E1BDD46" w14:textId="77777777" w:rsidR="00DC626A" w:rsidRPr="00067C45" w:rsidRDefault="00DC626A" w:rsidP="00E10FD8">
      <w:pPr>
        <w:jc w:val="left"/>
        <w:rPr>
          <w:rFonts w:asciiTheme="majorHAnsi" w:hAnsiTheme="majorHAnsi" w:cstheme="majorHAnsi"/>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sz w:val="18"/>
          <w:szCs w:val="18"/>
          <w:lang w:val="es-ES"/>
        </w:rPr>
        <w:t xml:space="preserve"> ILO, UNESCO, UNFPA, </w:t>
      </w:r>
      <w:r w:rsidRPr="00067C45">
        <w:rPr>
          <w:rFonts w:asciiTheme="majorHAnsi" w:hAnsiTheme="majorHAnsi" w:cstheme="majorHAnsi"/>
          <w:i/>
          <w:sz w:val="18"/>
          <w:szCs w:val="18"/>
          <w:lang w:val="es-ES"/>
        </w:rPr>
        <w:t>Caja de herramientas para la inclusión laboral de personas con discapacidad. Resumen y recomendaciones para generar condiciones favorables para la inclusión laboral de personas con discapacidad con énfasis en las mujeres</w:t>
      </w:r>
      <w:r w:rsidRPr="00067C45">
        <w:rPr>
          <w:rFonts w:asciiTheme="majorHAnsi" w:hAnsiTheme="majorHAnsi" w:cstheme="majorHAnsi"/>
          <w:sz w:val="18"/>
          <w:szCs w:val="18"/>
          <w:lang w:val="es-ES"/>
        </w:rPr>
        <w:t xml:space="preserve">, p. 11. </w:t>
      </w:r>
      <w:r w:rsidRPr="00067C45">
        <w:rPr>
          <w:rFonts w:asciiTheme="majorHAnsi" w:hAnsiTheme="majorHAnsi" w:cstheme="majorHAnsi"/>
          <w:sz w:val="18"/>
          <w:szCs w:val="18"/>
        </w:rPr>
        <w:t xml:space="preserve">[ILO] Available at: </w:t>
      </w:r>
      <w:hyperlink r:id="rId6">
        <w:r w:rsidRPr="00067C45">
          <w:rPr>
            <w:rFonts w:asciiTheme="majorHAnsi" w:hAnsiTheme="majorHAnsi" w:cstheme="majorHAnsi"/>
            <w:color w:val="1155CC"/>
            <w:sz w:val="18"/>
            <w:szCs w:val="18"/>
            <w:u w:val="single"/>
          </w:rPr>
          <w:t>https://www.ilo.org/wcmsp5/groups/public/---americas/---ro-lima/documents/publication/wcms_760023.pdf</w:t>
        </w:r>
      </w:hyperlink>
      <w:r w:rsidRPr="00067C45">
        <w:rPr>
          <w:rFonts w:asciiTheme="majorHAnsi" w:hAnsiTheme="majorHAnsi" w:cstheme="majorHAnsi"/>
          <w:sz w:val="18"/>
          <w:szCs w:val="18"/>
        </w:rPr>
        <w:t xml:space="preserve"> </w:t>
      </w:r>
    </w:p>
  </w:endnote>
  <w:endnote w:id="10">
    <w:p w14:paraId="0E04D2EC" w14:textId="77777777" w:rsidR="00DC626A" w:rsidRPr="00067C45" w:rsidRDefault="00DC626A" w:rsidP="00E10FD8">
      <w:pPr>
        <w:jc w:val="left"/>
        <w:rPr>
          <w:rFonts w:asciiTheme="majorHAnsi" w:hAnsiTheme="majorHAnsi" w:cstheme="majorHAnsi"/>
          <w:sz w:val="18"/>
          <w:szCs w:val="18"/>
        </w:rPr>
      </w:pPr>
      <w:r w:rsidRPr="00067C45">
        <w:rPr>
          <w:rStyle w:val="aa"/>
          <w:rFonts w:asciiTheme="majorHAnsi" w:hAnsiTheme="majorHAnsi" w:cstheme="majorHAnsi"/>
          <w:sz w:val="18"/>
          <w:szCs w:val="18"/>
        </w:rPr>
        <w:endnoteRef/>
      </w:r>
      <w:r w:rsidRPr="00067C45">
        <w:rPr>
          <w:rFonts w:asciiTheme="majorHAnsi" w:hAnsiTheme="majorHAnsi" w:cstheme="majorHAnsi"/>
          <w:sz w:val="18"/>
          <w:szCs w:val="18"/>
        </w:rPr>
        <w:t xml:space="preserve"> </w:t>
      </w:r>
      <w:r>
        <w:rPr>
          <w:rFonts w:asciiTheme="majorHAnsi" w:hAnsiTheme="majorHAnsi" w:cstheme="majorHAnsi"/>
          <w:i/>
          <w:sz w:val="18"/>
          <w:szCs w:val="18"/>
        </w:rPr>
        <w:t>Id.</w:t>
      </w:r>
    </w:p>
  </w:endnote>
  <w:endnote w:id="11">
    <w:p w14:paraId="6A1C7163" w14:textId="77777777" w:rsidR="00E10FD8" w:rsidRPr="00067C45" w:rsidRDefault="00E10FD8" w:rsidP="00E10FD8">
      <w:pPr>
        <w:jc w:val="left"/>
        <w:rPr>
          <w:rFonts w:asciiTheme="majorHAnsi" w:hAnsiTheme="majorHAnsi" w:cstheme="majorHAnsi"/>
          <w:sz w:val="18"/>
          <w:szCs w:val="18"/>
        </w:rPr>
      </w:pPr>
      <w:r w:rsidRPr="00067C45">
        <w:rPr>
          <w:rFonts w:asciiTheme="majorHAnsi" w:hAnsiTheme="majorHAnsi" w:cstheme="majorHAnsi"/>
          <w:sz w:val="18"/>
          <w:szCs w:val="18"/>
          <w:vertAlign w:val="superscript"/>
        </w:rPr>
        <w:endnoteRef/>
      </w:r>
      <w:r w:rsidRPr="00067C45">
        <w:rPr>
          <w:rFonts w:asciiTheme="majorHAnsi" w:hAnsiTheme="majorHAnsi" w:cstheme="majorHAnsi"/>
          <w:sz w:val="18"/>
          <w:szCs w:val="18"/>
        </w:rPr>
        <w:t xml:space="preserve"> Mignon Duffy, </w:t>
      </w:r>
      <w:r w:rsidRPr="00067C45">
        <w:rPr>
          <w:rFonts w:asciiTheme="majorHAnsi" w:hAnsiTheme="majorHAnsi" w:cstheme="majorHAnsi"/>
          <w:i/>
          <w:sz w:val="18"/>
          <w:szCs w:val="18"/>
        </w:rPr>
        <w:t>Doing the Dirty Work: Gender, Race, and Reproductive Labor in Historical Perspective</w:t>
      </w:r>
      <w:r w:rsidRPr="00067C45">
        <w:rPr>
          <w:rFonts w:asciiTheme="majorHAnsi" w:hAnsiTheme="majorHAnsi" w:cstheme="majorHAnsi"/>
          <w:sz w:val="18"/>
          <w:szCs w:val="18"/>
        </w:rPr>
        <w:t xml:space="preserve">, Gender and Society, vol. 21, no. 3, 2007, pp. 315–317.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unito">
    <w:charset w:val="00"/>
    <w:family w:val="auto"/>
    <w:pitch w:val="variable"/>
    <w:sig w:usb0="A00002FF" w:usb1="5000204B" w:usb2="00000000" w:usb3="00000000" w:csb0="00000197"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86603"/>
      <w:docPartObj>
        <w:docPartGallery w:val="Page Numbers (Bottom of Page)"/>
        <w:docPartUnique/>
      </w:docPartObj>
    </w:sdtPr>
    <w:sdtEndPr/>
    <w:sdtContent>
      <w:p w14:paraId="00EBC527" w14:textId="77777777" w:rsidR="006E6A5A" w:rsidRDefault="00D237C9">
        <w:pPr>
          <w:pStyle w:val="a5"/>
        </w:pPr>
        <w:r>
          <w:fldChar w:fldCharType="begin"/>
        </w:r>
        <w:r w:rsidR="006E6A5A">
          <w:instrText>PAGE   \* MERGEFORMAT</w:instrText>
        </w:r>
        <w:r>
          <w:fldChar w:fldCharType="separate"/>
        </w:r>
        <w:r w:rsidR="00CF5A64" w:rsidRPr="00CF5A64">
          <w:rPr>
            <w:noProof/>
            <w:lang w:val="ja-JP"/>
          </w:rPr>
          <w:t>2</w:t>
        </w:r>
        <w:r>
          <w:fldChar w:fldCharType="end"/>
        </w:r>
      </w:p>
    </w:sdtContent>
  </w:sdt>
  <w:p w14:paraId="6FF72542" w14:textId="77777777" w:rsidR="006E6A5A" w:rsidRDefault="006E6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C6C4" w14:textId="77777777" w:rsidR="008804E0" w:rsidRDefault="008804E0" w:rsidP="008804E0">
      <w:r>
        <w:separator/>
      </w:r>
    </w:p>
  </w:footnote>
  <w:footnote w:type="continuationSeparator" w:id="0">
    <w:p w14:paraId="1B1DF16A" w14:textId="77777777" w:rsidR="008804E0" w:rsidRDefault="008804E0" w:rsidP="008804E0">
      <w:r>
        <w:continuationSeparator/>
      </w:r>
    </w:p>
  </w:footnote>
  <w:footnote w:id="1">
    <w:p w14:paraId="6966462B" w14:textId="77777777" w:rsidR="00956F0F" w:rsidRPr="00067C45" w:rsidRDefault="00956F0F" w:rsidP="00956F0F">
      <w:pPr>
        <w:rPr>
          <w:rFonts w:asciiTheme="majorHAnsi" w:hAnsiTheme="majorHAnsi" w:cstheme="majorHAnsi"/>
          <w:sz w:val="18"/>
          <w:szCs w:val="18"/>
        </w:rPr>
      </w:pPr>
      <w:r w:rsidRPr="00067C45">
        <w:rPr>
          <w:rStyle w:val="a9"/>
          <w:rFonts w:asciiTheme="majorHAnsi" w:hAnsiTheme="majorHAnsi" w:cstheme="majorHAnsi"/>
          <w:sz w:val="18"/>
          <w:szCs w:val="18"/>
        </w:rPr>
        <w:footnoteRef/>
      </w:r>
      <w:r w:rsidRPr="00067C45">
        <w:rPr>
          <w:rFonts w:asciiTheme="majorHAnsi" w:hAnsiTheme="majorHAnsi" w:cstheme="majorHAnsi"/>
          <w:sz w:val="18"/>
          <w:szCs w:val="18"/>
        </w:rPr>
        <w:t xml:space="preserve"> </w:t>
      </w:r>
      <w:hyperlink r:id="rId1">
        <w:r w:rsidRPr="00067C45">
          <w:rPr>
            <w:rFonts w:asciiTheme="majorHAnsi" w:hAnsiTheme="majorHAnsi" w:cstheme="majorHAnsi"/>
            <w:color w:val="1155CC"/>
            <w:sz w:val="18"/>
            <w:szCs w:val="18"/>
            <w:u w:val="single"/>
          </w:rPr>
          <w:t>http://www.sexualrightsinitiative.com/</w:t>
        </w:r>
      </w:hyperlink>
      <w:r w:rsidRPr="00067C45">
        <w:rPr>
          <w:rFonts w:asciiTheme="majorHAnsi" w:hAnsiTheme="majorHAnsi" w:cstheme="majorHAnsi"/>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C2"/>
    <w:rsid w:val="00084CBB"/>
    <w:rsid w:val="00155924"/>
    <w:rsid w:val="00285E74"/>
    <w:rsid w:val="002B52E4"/>
    <w:rsid w:val="002C3864"/>
    <w:rsid w:val="002F6FD5"/>
    <w:rsid w:val="003A746B"/>
    <w:rsid w:val="004601E0"/>
    <w:rsid w:val="004A70D6"/>
    <w:rsid w:val="004F439C"/>
    <w:rsid w:val="005466A7"/>
    <w:rsid w:val="0055035F"/>
    <w:rsid w:val="005C75AB"/>
    <w:rsid w:val="00604265"/>
    <w:rsid w:val="006735E3"/>
    <w:rsid w:val="006E0F2B"/>
    <w:rsid w:val="006E6A5A"/>
    <w:rsid w:val="008804E0"/>
    <w:rsid w:val="00887FBD"/>
    <w:rsid w:val="008F51A1"/>
    <w:rsid w:val="009473EC"/>
    <w:rsid w:val="00956F0F"/>
    <w:rsid w:val="00972E2F"/>
    <w:rsid w:val="009C162B"/>
    <w:rsid w:val="00AD1D69"/>
    <w:rsid w:val="00AF1225"/>
    <w:rsid w:val="00AF6C3B"/>
    <w:rsid w:val="00B039E9"/>
    <w:rsid w:val="00B1408D"/>
    <w:rsid w:val="00B41C05"/>
    <w:rsid w:val="00B55EB4"/>
    <w:rsid w:val="00B84801"/>
    <w:rsid w:val="00BA0637"/>
    <w:rsid w:val="00BB093B"/>
    <w:rsid w:val="00BE0BAB"/>
    <w:rsid w:val="00C338B4"/>
    <w:rsid w:val="00C53053"/>
    <w:rsid w:val="00C96653"/>
    <w:rsid w:val="00C96AC2"/>
    <w:rsid w:val="00CE3357"/>
    <w:rsid w:val="00CF5A64"/>
    <w:rsid w:val="00D127E5"/>
    <w:rsid w:val="00D237C9"/>
    <w:rsid w:val="00D52930"/>
    <w:rsid w:val="00DA6600"/>
    <w:rsid w:val="00DC626A"/>
    <w:rsid w:val="00DD0836"/>
    <w:rsid w:val="00E05716"/>
    <w:rsid w:val="00E10FD8"/>
    <w:rsid w:val="00E4192A"/>
    <w:rsid w:val="00E43C64"/>
    <w:rsid w:val="00E84ABD"/>
    <w:rsid w:val="00EC7650"/>
    <w:rsid w:val="00ED3ED5"/>
    <w:rsid w:val="00F67E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BBEFAD"/>
  <w15:docId w15:val="{ABA69158-4700-49F2-AA67-389B951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E0"/>
    <w:pPr>
      <w:tabs>
        <w:tab w:val="center" w:pos="4252"/>
        <w:tab w:val="right" w:pos="8504"/>
      </w:tabs>
      <w:snapToGrid w:val="0"/>
    </w:pPr>
  </w:style>
  <w:style w:type="character" w:customStyle="1" w:styleId="a4">
    <w:name w:val="ヘッダー (文字)"/>
    <w:basedOn w:val="a0"/>
    <w:link w:val="a3"/>
    <w:uiPriority w:val="99"/>
    <w:rsid w:val="008804E0"/>
  </w:style>
  <w:style w:type="paragraph" w:styleId="a5">
    <w:name w:val="footer"/>
    <w:basedOn w:val="a"/>
    <w:link w:val="a6"/>
    <w:uiPriority w:val="99"/>
    <w:unhideWhenUsed/>
    <w:rsid w:val="008804E0"/>
    <w:pPr>
      <w:tabs>
        <w:tab w:val="center" w:pos="4252"/>
        <w:tab w:val="right" w:pos="8504"/>
      </w:tabs>
      <w:snapToGrid w:val="0"/>
    </w:pPr>
  </w:style>
  <w:style w:type="character" w:customStyle="1" w:styleId="a6">
    <w:name w:val="フッター (文字)"/>
    <w:basedOn w:val="a0"/>
    <w:link w:val="a5"/>
    <w:uiPriority w:val="99"/>
    <w:rsid w:val="008804E0"/>
  </w:style>
  <w:style w:type="paragraph" w:styleId="a7">
    <w:name w:val="Date"/>
    <w:basedOn w:val="a"/>
    <w:next w:val="a"/>
    <w:link w:val="a8"/>
    <w:uiPriority w:val="99"/>
    <w:semiHidden/>
    <w:unhideWhenUsed/>
    <w:rsid w:val="00B84801"/>
  </w:style>
  <w:style w:type="character" w:customStyle="1" w:styleId="a8">
    <w:name w:val="日付 (文字)"/>
    <w:basedOn w:val="a0"/>
    <w:link w:val="a7"/>
    <w:uiPriority w:val="99"/>
    <w:semiHidden/>
    <w:rsid w:val="00B84801"/>
  </w:style>
  <w:style w:type="character" w:styleId="a9">
    <w:name w:val="footnote reference"/>
    <w:aliases w:val="4_G"/>
    <w:rsid w:val="00956F0F"/>
    <w:rPr>
      <w:b/>
      <w:sz w:val="24"/>
      <w:vertAlign w:val="superscript"/>
    </w:rPr>
  </w:style>
  <w:style w:type="character" w:styleId="aa">
    <w:name w:val="endnote reference"/>
    <w:basedOn w:val="a0"/>
    <w:uiPriority w:val="99"/>
    <w:semiHidden/>
    <w:unhideWhenUsed/>
    <w:rsid w:val="00956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chicagounbound.uchicago.edu/uclf/vol1989/iss1/8" TargetMode="External"/><Relationship Id="rId2" Type="http://schemas.openxmlformats.org/officeDocument/2006/relationships/hyperlink" Target="http://www.un.org/womenwatch/daw/csw/genrac/report.htm" TargetMode="External"/><Relationship Id="rId1" Type="http://schemas.openxmlformats.org/officeDocument/2006/relationships/hyperlink" Target="https://www.ohchr.org/Documents/HRBodies/CRPD/DGD/2021/Sexual_Rights_Initiative.docx" TargetMode="External"/><Relationship Id="rId6" Type="http://schemas.openxmlformats.org/officeDocument/2006/relationships/hyperlink" Target="https://www.ilo.org/wcmsp5/groups/public/---americas/---ro-lima/documents/publication/wcms_760023.pdf" TargetMode="External"/><Relationship Id="rId5" Type="http://schemas.openxmlformats.org/officeDocument/2006/relationships/hyperlink" Target="https://www.ilo.org/wcmsp5/groups/public/---dgreports/---dcomm/---publ/documents/publication/wcms_633166.pdf" TargetMode="External"/><Relationship Id="rId4" Type="http://schemas.openxmlformats.org/officeDocument/2006/relationships/hyperlink" Target="https://www.ilo.org/wcmsp5/groups/public/---ed_protect/---protrav/---travail/documents/publication/wcms_76580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xualrightsinitiativ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2022-02-02T03:59:00Z</cp:lastPrinted>
  <dcterms:created xsi:type="dcterms:W3CDTF">2022-05-07T13:58:00Z</dcterms:created>
  <dcterms:modified xsi:type="dcterms:W3CDTF">2022-05-07T13:58:00Z</dcterms:modified>
</cp:coreProperties>
</file>