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F8E3B" w14:textId="5885790D" w:rsidR="00160D6C" w:rsidRPr="0014767E" w:rsidRDefault="00160D6C" w:rsidP="00160D6C">
      <w:pPr>
        <w:rPr>
          <w:rFonts w:ascii="ＭＳ ゴシック" w:eastAsia="ＭＳ ゴシック" w:hAnsi="ＭＳ ゴシック"/>
          <w:bdr w:val="single" w:sz="4" w:space="0" w:color="auto"/>
        </w:rPr>
      </w:pPr>
      <w:bookmarkStart w:id="0" w:name="_Hlk102733159"/>
      <w:r w:rsidRPr="0014767E">
        <w:rPr>
          <w:rFonts w:ascii="ＭＳ ゴシック" w:eastAsia="ＭＳ ゴシック" w:hAnsi="ＭＳ ゴシック"/>
          <w:bdr w:val="single" w:sz="4" w:space="0" w:color="auto"/>
        </w:rPr>
        <w:t>CRPD第27条・一般的意見案への</w:t>
      </w:r>
      <w:r w:rsidRPr="0014767E">
        <w:rPr>
          <w:rFonts w:ascii="ＭＳ ゴシック" w:eastAsia="ＭＳ ゴシック" w:hAnsi="ＭＳ ゴシック" w:hint="eastAsia"/>
          <w:bdr w:val="single" w:sz="4" w:space="0" w:color="auto"/>
        </w:rPr>
        <w:t>コメント</w:t>
      </w:r>
      <w:r w:rsidRPr="0014767E">
        <w:rPr>
          <w:rFonts w:ascii="ＭＳ ゴシック" w:eastAsia="ＭＳ ゴシック" w:hAnsi="ＭＳ ゴシック"/>
          <w:bdr w:val="single" w:sz="4" w:space="0" w:color="auto"/>
        </w:rPr>
        <w:t>（2021年12月）</w:t>
      </w:r>
      <w:r w:rsidRPr="0014767E">
        <w:rPr>
          <w:rFonts w:ascii="ＭＳ ゴシック" w:eastAsia="ＭＳ ゴシック" w:hAnsi="ＭＳ ゴシック" w:hint="eastAsia"/>
          <w:bdr w:val="single" w:sz="4" w:space="0" w:color="auto"/>
        </w:rPr>
        <w:t>No.</w:t>
      </w:r>
      <w:r>
        <w:rPr>
          <w:rFonts w:ascii="ＭＳ ゴシック" w:eastAsia="ＭＳ ゴシック" w:hAnsi="ＭＳ ゴシック" w:hint="eastAsia"/>
          <w:bdr w:val="single" w:sz="4" w:space="0" w:color="auto"/>
        </w:rPr>
        <w:t>４９</w:t>
      </w:r>
    </w:p>
    <w:bookmarkEnd w:id="0"/>
    <w:p w14:paraId="3CDC40D2" w14:textId="77777777" w:rsidR="00160D6C" w:rsidRPr="00160D6C" w:rsidRDefault="00160D6C">
      <w:pPr>
        <w:rPr>
          <w:rFonts w:ascii="ＭＳ Ｐゴシック" w:eastAsia="ＭＳ Ｐゴシック" w:hAnsi="ＭＳ Ｐゴシック"/>
          <w:b/>
          <w:bCs/>
          <w:sz w:val="24"/>
          <w:szCs w:val="24"/>
        </w:rPr>
      </w:pPr>
    </w:p>
    <w:p w14:paraId="0D01763A" w14:textId="7C2BF17D" w:rsidR="00CD3620" w:rsidRPr="00265F75" w:rsidRDefault="00CD3620">
      <w:pPr>
        <w:rPr>
          <w:rFonts w:ascii="ＭＳ Ｐゴシック" w:eastAsia="ＭＳ Ｐゴシック" w:hAnsi="ＭＳ Ｐゴシック"/>
          <w:b/>
          <w:bCs/>
          <w:sz w:val="24"/>
          <w:szCs w:val="24"/>
        </w:rPr>
      </w:pPr>
      <w:r w:rsidRPr="00265F75">
        <w:rPr>
          <w:rFonts w:ascii="ＭＳ Ｐゴシック" w:eastAsia="ＭＳ Ｐゴシック" w:hAnsi="ＭＳ Ｐゴシック" w:hint="eastAsia"/>
          <w:b/>
          <w:bCs/>
          <w:sz w:val="24"/>
          <w:szCs w:val="24"/>
        </w:rPr>
        <w:t>ギリシャ国家人権委員会</w:t>
      </w:r>
    </w:p>
    <w:p w14:paraId="0C2136C0" w14:textId="77777777" w:rsidR="00CD3620" w:rsidRPr="00265F75" w:rsidRDefault="00CD3620" w:rsidP="00CD3620">
      <w:pPr>
        <w:jc w:val="right"/>
      </w:pPr>
      <w:r w:rsidRPr="00265F75">
        <w:rPr>
          <w:rFonts w:hint="eastAsia"/>
        </w:rPr>
        <w:t>（JD仮訳）</w:t>
      </w:r>
    </w:p>
    <w:p w14:paraId="713E0AE6" w14:textId="77777777" w:rsidR="00CE3357" w:rsidRPr="00265F75" w:rsidRDefault="005246EF">
      <w:r w:rsidRPr="00265F75">
        <w:t xml:space="preserve">GREEK NATIONAL COMMISSION FOR HUMAN RIGHTS  </w:t>
      </w:r>
    </w:p>
    <w:p w14:paraId="74350303" w14:textId="77777777" w:rsidR="00CD3620" w:rsidRPr="00265F75" w:rsidRDefault="00CD3620"/>
    <w:p w14:paraId="30C19070" w14:textId="77777777" w:rsidR="00F65219" w:rsidRPr="00265F75" w:rsidRDefault="00F65219" w:rsidP="00F65219">
      <w:pPr>
        <w:ind w:firstLineChars="100" w:firstLine="210"/>
      </w:pPr>
      <w:r w:rsidRPr="00265F75">
        <w:rPr>
          <w:rFonts w:hint="eastAsia"/>
        </w:rPr>
        <w:t>人権擁護のための国の独立諮問機関であり、国家人権機関であるギリシャ国家人権委員会（以下</w:t>
      </w:r>
      <w:r w:rsidRPr="00265F75">
        <w:t>GNCHR）は、法律2667/1998によって設立された。2021年、法律4780/2021により、GNCHRはギリシャの国内人権機関として明示的に認められ、法人格、機能的独立性、行政的・財政的自治を取得した。2001年以来、GNCHRは国連パリ原則のA</w:t>
      </w:r>
      <w:r w:rsidR="00E250BA" w:rsidRPr="00265F75">
        <w:rPr>
          <w:rFonts w:hint="eastAsia"/>
        </w:rPr>
        <w:t>ランク</w:t>
      </w:r>
      <w:r w:rsidRPr="00265F75">
        <w:t>（完全遵守）を認定されており、その独立性と役割の効果的な遂行を</w:t>
      </w:r>
      <w:r w:rsidR="00E250BA" w:rsidRPr="00265F75">
        <w:rPr>
          <w:rFonts w:hint="eastAsia"/>
        </w:rPr>
        <w:t>示している。</w:t>
      </w:r>
      <w:r w:rsidRPr="00265F75">
        <w:t>2017年3月、GNCHRは、人権高等弁務官事務所（OHCHR）の後援と協力の</w:t>
      </w:r>
      <w:r w:rsidRPr="00265F75">
        <w:rPr>
          <w:rFonts w:hint="eastAsia"/>
        </w:rPr>
        <w:t>下で運営され</w:t>
      </w:r>
      <w:r w:rsidR="00E250BA" w:rsidRPr="00265F75">
        <w:rPr>
          <w:rFonts w:hint="eastAsia"/>
        </w:rPr>
        <w:t>、認定権を持つ</w:t>
      </w:r>
      <w:r w:rsidR="00281D13" w:rsidRPr="00265F75">
        <w:rPr>
          <w:rFonts w:hint="eastAsia"/>
        </w:rPr>
        <w:t>国連人権機関グローバル・アライアンス（</w:t>
      </w:r>
      <w:r w:rsidRPr="00265F75">
        <w:t>GANHRI</w:t>
      </w:r>
      <w:r w:rsidR="00281D13" w:rsidRPr="00265F75">
        <w:rPr>
          <w:rFonts w:hint="eastAsia"/>
        </w:rPr>
        <w:t>）</w:t>
      </w:r>
      <w:r w:rsidRPr="00265F75">
        <w:t>認定小委員会（SCA）により「A</w:t>
      </w:r>
      <w:r w:rsidR="00B04029" w:rsidRPr="00265F75">
        <w:rPr>
          <w:rFonts w:hint="eastAsia"/>
        </w:rPr>
        <w:t>ランク</w:t>
      </w:r>
      <w:r w:rsidRPr="00265F75">
        <w:t>」で再認定された。</w:t>
      </w:r>
    </w:p>
    <w:p w14:paraId="0CCEE664" w14:textId="77777777" w:rsidR="00F65219" w:rsidRPr="00265F75" w:rsidRDefault="00F65219" w:rsidP="00F65219">
      <w:pPr>
        <w:ind w:firstLineChars="100" w:firstLine="210"/>
      </w:pPr>
      <w:r w:rsidRPr="00265F75">
        <w:t>GNCHRは、憲法、国際条約、欧州条約</w:t>
      </w:r>
      <w:r w:rsidR="00E250BA" w:rsidRPr="00265F75">
        <w:rPr>
          <w:rFonts w:hint="eastAsia"/>
        </w:rPr>
        <w:t>・</w:t>
      </w:r>
      <w:r w:rsidRPr="00265F75">
        <w:t>指令、ソフトロー</w:t>
      </w:r>
      <w:r w:rsidR="00E3437D" w:rsidRPr="00265F75">
        <w:t>の文書</w:t>
      </w:r>
      <w:r w:rsidR="00E3437D" w:rsidRPr="00265F75">
        <w:rPr>
          <w:rFonts w:hint="eastAsia"/>
        </w:rPr>
        <w:t>（訳注　拘束力はないが一定の影響力を持つ国連総会決議などの文書）</w:t>
      </w:r>
      <w:r w:rsidRPr="00265F75">
        <w:t>に明記されている人権全般をカバーする非常に幅広い職務権限を持って</w:t>
      </w:r>
      <w:r w:rsidR="00754D8E" w:rsidRPr="00265F75">
        <w:t>いる</w:t>
      </w:r>
      <w:r w:rsidRPr="00265F75">
        <w:t>。GNCHRは、人権分野を活動範囲とする機関から指名された42人のメンバーからなる大規模かつ多様な構成によって、多元性を確保して</w:t>
      </w:r>
      <w:r w:rsidR="00754D8E" w:rsidRPr="00265F75">
        <w:t>いる</w:t>
      </w:r>
      <w:r w:rsidRPr="00265F75">
        <w:t>。NGO、労働組合、独立行政法人、大学、弁護士会、政党、議会、行政機関など</w:t>
      </w:r>
      <w:r w:rsidR="00754D8E" w:rsidRPr="00265F75">
        <w:t>である</w:t>
      </w:r>
      <w:r w:rsidRPr="00265F75">
        <w:t>。メンバーの中には、ロマ人、難民、女性、LGBTQI+の人々、ギリシャ難民評議会、障害者などの代表がいる。GNCHRのメンバーの中には、全国障害者連合（NCDP）の代</w:t>
      </w:r>
      <w:r w:rsidRPr="00265F75">
        <w:rPr>
          <w:rFonts w:hint="eastAsia"/>
        </w:rPr>
        <w:t>表が任命されており、</w:t>
      </w:r>
      <w:r w:rsidRPr="00265F75">
        <w:t>GNCHR</w:t>
      </w:r>
      <w:r w:rsidR="00E3437D" w:rsidRPr="00265F75">
        <w:rPr>
          <w:rFonts w:hint="eastAsia"/>
        </w:rPr>
        <w:t>総会</w:t>
      </w:r>
      <w:r w:rsidRPr="00265F75">
        <w:t>に投票権を持って参加していることに注目する必要があ</w:t>
      </w:r>
      <w:r w:rsidR="00E3437D" w:rsidRPr="00265F75">
        <w:rPr>
          <w:rFonts w:hint="eastAsia"/>
        </w:rPr>
        <w:t>る</w:t>
      </w:r>
      <w:r w:rsidRPr="00265F75">
        <w:t>。NCDPは、ギリシャの障害者運動を代表する</w:t>
      </w:r>
      <w:r w:rsidR="00E3437D" w:rsidRPr="00265F75">
        <w:rPr>
          <w:rFonts w:hint="eastAsia"/>
        </w:rPr>
        <w:t>包括</w:t>
      </w:r>
      <w:r w:rsidRPr="00265F75">
        <w:t>組織</w:t>
      </w:r>
      <w:r w:rsidR="00754D8E" w:rsidRPr="00265F75">
        <w:t>である</w:t>
      </w:r>
      <w:r w:rsidRPr="00265F75">
        <w:t>。NCDPは、1989年に障害者とその家族の団体によって設立された非営利の法人</w:t>
      </w:r>
      <w:r w:rsidR="00754D8E" w:rsidRPr="00265F75">
        <w:t>である</w:t>
      </w:r>
      <w:r w:rsidRPr="00265F75">
        <w:t>。</w:t>
      </w:r>
    </w:p>
    <w:p w14:paraId="78694BAA" w14:textId="77777777" w:rsidR="00F65219" w:rsidRPr="00265F75" w:rsidRDefault="00F65219" w:rsidP="00F65219"/>
    <w:p w14:paraId="7A88A194" w14:textId="77777777" w:rsidR="00CD3620" w:rsidRPr="00265F75" w:rsidRDefault="00F65219" w:rsidP="00F65219">
      <w:pPr>
        <w:ind w:firstLineChars="100" w:firstLine="210"/>
      </w:pPr>
      <w:r w:rsidRPr="00265F75">
        <w:t>GNCHRは、人権の促進と保護に関する国の諮問機関として、障害を理由とする差別からの保護を体系的に扱ってきた。その任務の枠内で、GNCHRは国に対して</w:t>
      </w:r>
      <w:r w:rsidR="00E3437D" w:rsidRPr="00265F75">
        <w:rPr>
          <w:rFonts w:hint="eastAsia"/>
        </w:rPr>
        <w:t>これまで</w:t>
      </w:r>
      <w:r w:rsidRPr="00265F75">
        <w:t>一連の関連する声明と勧告を発表し、障害者の権利に関するギリシャの国際的義務に国内法</w:t>
      </w:r>
      <w:r w:rsidR="00B66F8B" w:rsidRPr="00265F75">
        <w:rPr>
          <w:rFonts w:hint="eastAsia"/>
        </w:rPr>
        <w:t>を整合させるために</w:t>
      </w:r>
      <w:r w:rsidRPr="00265F75">
        <w:t>、書面による</w:t>
      </w:r>
      <w:r w:rsidR="00B66F8B" w:rsidRPr="00265F75">
        <w:rPr>
          <w:rFonts w:hint="eastAsia"/>
        </w:rPr>
        <w:t>報告</w:t>
      </w:r>
      <w:r w:rsidRPr="00265F75">
        <w:t>を提出した。現在の</w:t>
      </w:r>
      <w:r w:rsidR="00281D13" w:rsidRPr="00265F75">
        <w:rPr>
          <w:rFonts w:hint="eastAsia"/>
        </w:rPr>
        <w:t>新型コロナ</w:t>
      </w:r>
      <w:r w:rsidRPr="00265F75">
        <w:t>大流行に対処するため</w:t>
      </w:r>
      <w:r w:rsidR="00B66F8B" w:rsidRPr="00265F75">
        <w:rPr>
          <w:rFonts w:hint="eastAsia"/>
        </w:rPr>
        <w:t>の</w:t>
      </w:r>
      <w:r w:rsidRPr="00265F75">
        <w:t>緊急措置に関して、GNCHRは、障害者の権利と平等な扱いを実際に完全に実現するために、国の</w:t>
      </w:r>
      <w:r w:rsidR="00B66F8B" w:rsidRPr="00265F75">
        <w:rPr>
          <w:rFonts w:hint="eastAsia"/>
        </w:rPr>
        <w:t>責任</w:t>
      </w:r>
      <w:r w:rsidRPr="00265F75">
        <w:t>を強化するよう要請した。この目的のために、</w:t>
      </w:r>
      <w:r w:rsidR="00B66F8B" w:rsidRPr="00265F75">
        <w:rPr>
          <w:rFonts w:hint="eastAsia"/>
        </w:rPr>
        <w:t>各国の国内人権機関の</w:t>
      </w:r>
      <w:r w:rsidRPr="00265F75">
        <w:t>間</w:t>
      </w:r>
      <w:r w:rsidRPr="00265F75">
        <w:rPr>
          <w:rFonts w:hint="eastAsia"/>
        </w:rPr>
        <w:t>の協力は、</w:t>
      </w:r>
      <w:r w:rsidR="00281D13" w:rsidRPr="00265F75">
        <w:rPr>
          <w:rFonts w:hint="eastAsia"/>
        </w:rPr>
        <w:t>新型コロナ大流行</w:t>
      </w:r>
      <w:r w:rsidRPr="00265F75">
        <w:rPr>
          <w:rFonts w:hint="eastAsia"/>
        </w:rPr>
        <w:t>の課題に対する統一された</w:t>
      </w:r>
      <w:r w:rsidR="00B66F8B" w:rsidRPr="00265F75">
        <w:rPr>
          <w:rFonts w:hint="eastAsia"/>
        </w:rPr>
        <w:t>対応</w:t>
      </w:r>
      <w:r w:rsidR="00A717CF" w:rsidRPr="00265F75">
        <w:rPr>
          <w:rFonts w:hint="eastAsia"/>
        </w:rPr>
        <w:t>（策）</w:t>
      </w:r>
      <w:r w:rsidRPr="00265F75">
        <w:rPr>
          <w:rFonts w:hint="eastAsia"/>
        </w:rPr>
        <w:t>を構築し、非常に高度で効果的な人権保護システムを保護することが</w:t>
      </w:r>
      <w:r w:rsidR="00754D8E" w:rsidRPr="00265F75">
        <w:rPr>
          <w:rFonts w:hint="eastAsia"/>
        </w:rPr>
        <w:t>できる</w:t>
      </w:r>
      <w:r w:rsidRPr="00265F75">
        <w:rPr>
          <w:rFonts w:hint="eastAsia"/>
        </w:rPr>
        <w:t>。</w:t>
      </w:r>
    </w:p>
    <w:p w14:paraId="66ABAF76" w14:textId="77777777" w:rsidR="00F65219" w:rsidRPr="00265F75" w:rsidRDefault="00F65219" w:rsidP="00F65219"/>
    <w:p w14:paraId="63773614" w14:textId="77777777" w:rsidR="00F65219" w:rsidRPr="00265F75" w:rsidRDefault="00F65219" w:rsidP="00F65219">
      <w:pPr>
        <w:ind w:firstLineChars="100" w:firstLine="210"/>
      </w:pPr>
      <w:r w:rsidRPr="00265F75">
        <w:rPr>
          <w:rFonts w:hint="eastAsia"/>
        </w:rPr>
        <w:t>まず、</w:t>
      </w:r>
      <w:r w:rsidRPr="00265F75">
        <w:t>GNCHRは、障害者の労働と雇用の権利に関する第27条の一般的</w:t>
      </w:r>
      <w:r w:rsidR="00B66F8B" w:rsidRPr="00265F75">
        <w:rPr>
          <w:rFonts w:hint="eastAsia"/>
        </w:rPr>
        <w:t>意見</w:t>
      </w:r>
      <w:r w:rsidRPr="00265F75">
        <w:t>の内容に強く同意することを表明する。障害者が他の人と平等に働く権利を実現するための的を</w:t>
      </w:r>
      <w:r w:rsidR="00B66F8B" w:rsidRPr="00265F75">
        <w:rPr>
          <w:rFonts w:hint="eastAsia"/>
        </w:rPr>
        <w:t>絞っ</w:t>
      </w:r>
      <w:r w:rsidR="00B66F8B" w:rsidRPr="00265F75">
        <w:rPr>
          <w:rFonts w:hint="eastAsia"/>
        </w:rPr>
        <w:lastRenderedPageBreak/>
        <w:t>た</w:t>
      </w:r>
      <w:r w:rsidRPr="00265F75">
        <w:t>措置に関して、GNCHRは以下の</w:t>
      </w:r>
      <w:r w:rsidR="00B66F8B" w:rsidRPr="00265F75">
        <w:rPr>
          <w:rFonts w:hint="eastAsia"/>
        </w:rPr>
        <w:t>課題</w:t>
      </w:r>
      <w:r w:rsidRPr="00265F75">
        <w:t>に焦点を当てたいと思</w:t>
      </w:r>
      <w:r w:rsidR="00754D8E" w:rsidRPr="00265F75">
        <w:rPr>
          <w:rFonts w:hint="eastAsia"/>
        </w:rPr>
        <w:t>う</w:t>
      </w:r>
      <w:r w:rsidRPr="00265F75">
        <w:t>。</w:t>
      </w:r>
    </w:p>
    <w:p w14:paraId="6F6292E7" w14:textId="77777777" w:rsidR="00F65219" w:rsidRPr="00265F75" w:rsidRDefault="00F65219" w:rsidP="00F65219"/>
    <w:p w14:paraId="33AA8880" w14:textId="77777777" w:rsidR="00F65219" w:rsidRPr="00265F75" w:rsidRDefault="00F65219" w:rsidP="00F65219">
      <w:r w:rsidRPr="00265F75">
        <w:t>- 締約国にとって、障害者の</w:t>
      </w:r>
      <w:r w:rsidR="00B66F8B" w:rsidRPr="00265F75">
        <w:rPr>
          <w:rFonts w:hint="eastAsia"/>
        </w:rPr>
        <w:t>シェルタード・ワークショップ（</w:t>
      </w:r>
      <w:r w:rsidRPr="00265F75">
        <w:t>保護作業</w:t>
      </w:r>
      <w:r w:rsidR="00B66F8B" w:rsidRPr="00265F75">
        <w:rPr>
          <w:rFonts w:hint="eastAsia"/>
        </w:rPr>
        <w:t>所）</w:t>
      </w:r>
      <w:r w:rsidRPr="00265F75">
        <w:t>から開かれた労働市場への移行に関して、より良い結果を達成することが特に重要である。支援</w:t>
      </w:r>
      <w:r w:rsidR="00B66F8B" w:rsidRPr="00265F75">
        <w:rPr>
          <w:rFonts w:hint="eastAsia"/>
        </w:rPr>
        <w:t>付き</w:t>
      </w:r>
      <w:r w:rsidRPr="00265F75">
        <w:t>雇用のための首尾一貫した法的</w:t>
      </w:r>
      <w:r w:rsidR="00B66F8B" w:rsidRPr="00265F75">
        <w:rPr>
          <w:rFonts w:hint="eastAsia"/>
        </w:rPr>
        <w:t>制度</w:t>
      </w:r>
      <w:r w:rsidRPr="00265F75">
        <w:t>の保証</w:t>
      </w:r>
      <w:r w:rsidR="00B66F8B" w:rsidRPr="00265F75">
        <w:rPr>
          <w:rFonts w:hint="eastAsia"/>
        </w:rPr>
        <w:t>によって</w:t>
      </w:r>
      <w:r w:rsidRPr="00265F75">
        <w:t>、移行を促進できる。</w:t>
      </w:r>
    </w:p>
    <w:p w14:paraId="30437596" w14:textId="77777777" w:rsidR="00F65219" w:rsidRPr="00265F75" w:rsidRDefault="00F65219" w:rsidP="00F65219"/>
    <w:p w14:paraId="2702C23A" w14:textId="77777777" w:rsidR="00F65219" w:rsidRPr="00265F75" w:rsidRDefault="00F65219" w:rsidP="00F65219">
      <w:r w:rsidRPr="00265F75">
        <w:t>- 障害者を社会的、経済的、職業的に統合する障害者支援のための保護</w:t>
      </w:r>
      <w:r w:rsidR="00B66F8B" w:rsidRPr="00265F75">
        <w:rPr>
          <w:rFonts w:hint="eastAsia"/>
        </w:rPr>
        <w:t>的</w:t>
      </w:r>
      <w:r w:rsidRPr="00265F75">
        <w:t>雇用</w:t>
      </w:r>
      <w:r w:rsidR="00B66F8B" w:rsidRPr="00265F75">
        <w:rPr>
          <w:rFonts w:hint="eastAsia"/>
        </w:rPr>
        <w:t>（</w:t>
      </w:r>
      <w:r w:rsidR="00CF04E5" w:rsidRPr="00265F75">
        <w:rPr>
          <w:rFonts w:hint="eastAsia"/>
        </w:rPr>
        <w:t>p</w:t>
      </w:r>
      <w:r w:rsidR="00CF04E5" w:rsidRPr="00265F75">
        <w:t>rotective employment</w:t>
      </w:r>
      <w:r w:rsidR="00B66F8B" w:rsidRPr="00265F75">
        <w:rPr>
          <w:rFonts w:hint="eastAsia"/>
        </w:rPr>
        <w:t>）</w:t>
      </w:r>
      <w:r w:rsidRPr="00265F75">
        <w:t>と社会起業</w:t>
      </w:r>
      <w:r w:rsidR="00CF04E5" w:rsidRPr="00265F75">
        <w:rPr>
          <w:rFonts w:hint="eastAsia"/>
        </w:rPr>
        <w:t>（</w:t>
      </w:r>
      <w:r w:rsidR="00CF04E5" w:rsidRPr="00265F75">
        <w:t>social entrepreneurship</w:t>
      </w:r>
      <w:r w:rsidR="00CF04E5" w:rsidRPr="00265F75">
        <w:rPr>
          <w:rFonts w:hint="eastAsia"/>
        </w:rPr>
        <w:t>）</w:t>
      </w:r>
      <w:r w:rsidRPr="00265F75">
        <w:t>は、締約国にとって優先事項であるべきである。障害者の働く権利を保障する新しい形態の社会的協同事業</w:t>
      </w:r>
      <w:r w:rsidR="00CF04E5" w:rsidRPr="00265F75">
        <w:rPr>
          <w:rFonts w:hint="eastAsia"/>
        </w:rPr>
        <w:t>（</w:t>
      </w:r>
      <w:r w:rsidR="00CF04E5" w:rsidRPr="00265F75">
        <w:t>new forms of social cooperative enterprise</w:t>
      </w:r>
      <w:r w:rsidR="00CF04E5" w:rsidRPr="00265F75">
        <w:rPr>
          <w:rFonts w:hint="eastAsia"/>
        </w:rPr>
        <w:t>）</w:t>
      </w:r>
      <w:r w:rsidRPr="00265F75">
        <w:t>の導入は、この点で、極めて重要である。</w:t>
      </w:r>
    </w:p>
    <w:p w14:paraId="2FE1F088" w14:textId="77777777" w:rsidR="00F65219" w:rsidRPr="00265F75" w:rsidRDefault="00F65219" w:rsidP="00F65219"/>
    <w:p w14:paraId="09D5537F" w14:textId="77777777" w:rsidR="00F65219" w:rsidRPr="00265F75" w:rsidRDefault="00F65219" w:rsidP="00F65219">
      <w:r w:rsidRPr="00265F75">
        <w:t xml:space="preserve">- </w:t>
      </w:r>
      <w:r w:rsidR="00A717CF" w:rsidRPr="00265F75">
        <w:rPr>
          <w:rFonts w:hint="eastAsia"/>
        </w:rPr>
        <w:t>（主として、すべての労働者の賃金と労働条件の一般的最低基準の設定を通して）</w:t>
      </w:r>
      <w:r w:rsidR="00A717CF" w:rsidRPr="00265F75">
        <w:t>一般</w:t>
      </w:r>
      <w:r w:rsidR="00A717CF" w:rsidRPr="00265F75">
        <w:rPr>
          <w:rFonts w:hint="eastAsia"/>
        </w:rPr>
        <w:t>（大衆の）</w:t>
      </w:r>
      <w:r w:rsidRPr="00265F75">
        <w:t>利益と労働者の利益を保証する重要な制度的手段として、立法行為を通じて団体交渉と労働協約の国内制度を確立することもまた重要である。普遍的に拘束力のある労働の最低基準の設定は、この点で、特に障害</w:t>
      </w:r>
      <w:r w:rsidR="00CF04E5" w:rsidRPr="00265F75">
        <w:rPr>
          <w:rFonts w:hint="eastAsia"/>
        </w:rPr>
        <w:t>のある人</w:t>
      </w:r>
      <w:r w:rsidRPr="00265F75">
        <w:t>に大きな影響を与えうる。</w:t>
      </w:r>
    </w:p>
    <w:p w14:paraId="57F0EA8E" w14:textId="77777777" w:rsidR="00F65219" w:rsidRPr="00265F75" w:rsidRDefault="00F65219" w:rsidP="00F65219"/>
    <w:p w14:paraId="506324FF" w14:textId="77777777" w:rsidR="00F65219" w:rsidRPr="00265F75" w:rsidRDefault="00F65219" w:rsidP="00F65219">
      <w:r w:rsidRPr="00265F75">
        <w:t>- 締約国は、民間および公的部門、ならびに代替雇用</w:t>
      </w:r>
      <w:r w:rsidR="008D07B4" w:rsidRPr="00265F75">
        <w:rPr>
          <w:rFonts w:hint="eastAsia"/>
        </w:rPr>
        <w:t>制度</w:t>
      </w:r>
      <w:r w:rsidR="00A717CF" w:rsidRPr="00265F75">
        <w:t>において、障害のある従業員および</w:t>
      </w:r>
      <w:r w:rsidR="00A717CF" w:rsidRPr="00265F75">
        <w:rPr>
          <w:rFonts w:hint="eastAsia"/>
        </w:rPr>
        <w:t>ワーカー（訳注：雇用関係のない者も含む。）</w:t>
      </w:r>
      <w:r w:rsidRPr="00265F75">
        <w:t>のための合理的配慮を改善するための措置を強化するよう義務づけられるべきである。民間部門における割当</w:t>
      </w:r>
      <w:r w:rsidR="008D07B4" w:rsidRPr="00265F75">
        <w:rPr>
          <w:rFonts w:hint="eastAsia"/>
        </w:rPr>
        <w:t>雇用</w:t>
      </w:r>
      <w:r w:rsidRPr="00265F75">
        <w:t>は、障害者の雇用を増加させるために必要である。</w:t>
      </w:r>
    </w:p>
    <w:p w14:paraId="068F3B8F" w14:textId="77777777" w:rsidR="00F65219" w:rsidRPr="00265F75" w:rsidRDefault="00F65219" w:rsidP="00F65219"/>
    <w:p w14:paraId="3FEC8629" w14:textId="77777777" w:rsidR="00F65219" w:rsidRPr="00265F75" w:rsidRDefault="00F65219" w:rsidP="00F65219">
      <w:r w:rsidRPr="00265F75">
        <w:t>- さらに、締約国は、労働力雇用機関</w:t>
      </w:r>
      <w:r w:rsidR="008D07B4" w:rsidRPr="00265F75">
        <w:rPr>
          <w:rFonts w:hint="eastAsia"/>
        </w:rPr>
        <w:t>（</w:t>
      </w:r>
      <w:r w:rsidR="008D07B4" w:rsidRPr="00265F75">
        <w:t>labor force employment agencies</w:t>
      </w:r>
      <w:r w:rsidR="008D07B4" w:rsidRPr="00265F75">
        <w:rPr>
          <w:rFonts w:hint="eastAsia"/>
        </w:rPr>
        <w:t>）</w:t>
      </w:r>
      <w:r w:rsidRPr="00265F75">
        <w:t>において、障害者運動の効果的な代表</w:t>
      </w:r>
      <w:r w:rsidR="008D07B4" w:rsidRPr="00265F75">
        <w:rPr>
          <w:rFonts w:hint="eastAsia"/>
        </w:rPr>
        <w:t>参加</w:t>
      </w:r>
      <w:r w:rsidRPr="00265F75">
        <w:t>を確保すべきである。</w:t>
      </w:r>
    </w:p>
    <w:p w14:paraId="6FE3A8FC" w14:textId="77777777" w:rsidR="00F65219" w:rsidRPr="00265F75" w:rsidRDefault="00F65219" w:rsidP="00F65219"/>
    <w:p w14:paraId="0BD6C070" w14:textId="77777777" w:rsidR="00F65219" w:rsidRPr="00265F75" w:rsidRDefault="00F65219" w:rsidP="00F65219">
      <w:r w:rsidRPr="00265F75">
        <w:t>- 障害者の雇用を支援するためのデジタル・サービスと</w:t>
      </w:r>
      <w:r w:rsidR="008D07B4" w:rsidRPr="00265F75">
        <w:rPr>
          <w:rFonts w:hint="eastAsia"/>
        </w:rPr>
        <w:t>とも</w:t>
      </w:r>
      <w:r w:rsidRPr="00265F75">
        <w:t>に、アクセシブルなウェブサイトの運営に注意を払うべきである。</w:t>
      </w:r>
    </w:p>
    <w:p w14:paraId="48A149F3" w14:textId="77777777" w:rsidR="00F65219" w:rsidRPr="00265F75" w:rsidRDefault="00F65219" w:rsidP="00F65219"/>
    <w:p w14:paraId="6E9ED122" w14:textId="77777777" w:rsidR="00F65219" w:rsidRPr="00265F75" w:rsidRDefault="00F65219" w:rsidP="00F65219">
      <w:r w:rsidRPr="00265F75">
        <w:t>- 最後に、「労働の世界における暴力及び嫌がらせに関するILO第190号条約」に沿った、労働における暴力及び嫌がらせを防止し、これ</w:t>
      </w:r>
      <w:r w:rsidR="008D07B4" w:rsidRPr="00265F75">
        <w:rPr>
          <w:rFonts w:hint="eastAsia"/>
        </w:rPr>
        <w:t>を撲滅</w:t>
      </w:r>
      <w:r w:rsidRPr="00265F75">
        <w:t>するための枠組みの適切な制度的及び実際的な実施に特別な重点を置くべきである。この点で、また、家庭生活と職業生活の調和を目的として、障害のある女性に関わる支援</w:t>
      </w:r>
      <w:r w:rsidR="008D07B4" w:rsidRPr="00265F75">
        <w:rPr>
          <w:rFonts w:hint="eastAsia"/>
        </w:rPr>
        <w:t>付き</w:t>
      </w:r>
      <w:r w:rsidRPr="00265F75">
        <w:t>雇用と関連プログラムの柔軟で機能的なシステムが開発され、実施されなければならない。</w:t>
      </w:r>
    </w:p>
    <w:p w14:paraId="5DC9E7BB" w14:textId="7946E79A" w:rsidR="008D07B4" w:rsidRPr="00265F75" w:rsidRDefault="008D07B4" w:rsidP="008D07B4">
      <w:pPr>
        <w:jc w:val="right"/>
      </w:pPr>
      <w:r w:rsidRPr="00265F75">
        <w:rPr>
          <w:rFonts w:hint="eastAsia"/>
        </w:rPr>
        <w:t>（翻訳：佐藤久夫、</w:t>
      </w:r>
      <w:r w:rsidR="00D14E63" w:rsidRPr="00265F75">
        <w:rPr>
          <w:rFonts w:hint="eastAsia"/>
        </w:rPr>
        <w:t>松井亮輔</w:t>
      </w:r>
      <w:r w:rsidRPr="00265F75">
        <w:rPr>
          <w:rFonts w:hint="eastAsia"/>
        </w:rPr>
        <w:t>）</w:t>
      </w:r>
    </w:p>
    <w:sectPr w:rsidR="008D07B4" w:rsidRPr="00265F75" w:rsidSect="00DA2D77">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03412" w14:textId="77777777" w:rsidR="00CD3620" w:rsidRDefault="00CD3620" w:rsidP="00CD3620">
      <w:r>
        <w:separator/>
      </w:r>
    </w:p>
  </w:endnote>
  <w:endnote w:type="continuationSeparator" w:id="0">
    <w:p w14:paraId="30F23CAF" w14:textId="77777777" w:rsidR="00CD3620" w:rsidRDefault="00CD3620" w:rsidP="00CD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422992"/>
      <w:docPartObj>
        <w:docPartGallery w:val="Page Numbers (Bottom of Page)"/>
        <w:docPartUnique/>
      </w:docPartObj>
    </w:sdtPr>
    <w:sdtEndPr/>
    <w:sdtContent>
      <w:p w14:paraId="4E9AABCC" w14:textId="77777777" w:rsidR="00F65219" w:rsidRDefault="00DA2D77">
        <w:pPr>
          <w:pStyle w:val="a5"/>
        </w:pPr>
        <w:r>
          <w:fldChar w:fldCharType="begin"/>
        </w:r>
        <w:r w:rsidR="00F65219">
          <w:instrText>PAGE   \* MERGEFORMAT</w:instrText>
        </w:r>
        <w:r>
          <w:fldChar w:fldCharType="separate"/>
        </w:r>
        <w:r w:rsidR="00A717CF" w:rsidRPr="00A717CF">
          <w:rPr>
            <w:noProof/>
            <w:lang w:val="ja-JP"/>
          </w:rPr>
          <w:t>2</w:t>
        </w:r>
        <w:r>
          <w:fldChar w:fldCharType="end"/>
        </w:r>
      </w:p>
    </w:sdtContent>
  </w:sdt>
  <w:p w14:paraId="1EBD9F7B" w14:textId="77777777" w:rsidR="00F65219" w:rsidRDefault="00F652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BDDCE" w14:textId="77777777" w:rsidR="00CD3620" w:rsidRDefault="00CD3620" w:rsidP="00CD3620">
      <w:r>
        <w:separator/>
      </w:r>
    </w:p>
  </w:footnote>
  <w:footnote w:type="continuationSeparator" w:id="0">
    <w:p w14:paraId="09220091" w14:textId="77777777" w:rsidR="00CD3620" w:rsidRDefault="00CD3620" w:rsidP="00CD36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6EF"/>
    <w:rsid w:val="00060BB8"/>
    <w:rsid w:val="00160D6C"/>
    <w:rsid w:val="00265F75"/>
    <w:rsid w:val="00281D13"/>
    <w:rsid w:val="005246EF"/>
    <w:rsid w:val="00754D8E"/>
    <w:rsid w:val="008D07B4"/>
    <w:rsid w:val="00A717CF"/>
    <w:rsid w:val="00B04029"/>
    <w:rsid w:val="00B66F8B"/>
    <w:rsid w:val="00CD3620"/>
    <w:rsid w:val="00CE3357"/>
    <w:rsid w:val="00CF04E5"/>
    <w:rsid w:val="00D14E63"/>
    <w:rsid w:val="00DA2D77"/>
    <w:rsid w:val="00E250BA"/>
    <w:rsid w:val="00E3437D"/>
    <w:rsid w:val="00F6521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03E710"/>
  <w15:docId w15:val="{ABA69158-4700-49F2-AA67-389B9518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D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3620"/>
    <w:pPr>
      <w:tabs>
        <w:tab w:val="center" w:pos="4252"/>
        <w:tab w:val="right" w:pos="8504"/>
      </w:tabs>
      <w:snapToGrid w:val="0"/>
    </w:pPr>
  </w:style>
  <w:style w:type="character" w:customStyle="1" w:styleId="a4">
    <w:name w:val="ヘッダー (文字)"/>
    <w:basedOn w:val="a0"/>
    <w:link w:val="a3"/>
    <w:uiPriority w:val="99"/>
    <w:rsid w:val="00CD3620"/>
  </w:style>
  <w:style w:type="paragraph" w:styleId="a5">
    <w:name w:val="footer"/>
    <w:basedOn w:val="a"/>
    <w:link w:val="a6"/>
    <w:uiPriority w:val="99"/>
    <w:unhideWhenUsed/>
    <w:rsid w:val="00CD3620"/>
    <w:pPr>
      <w:tabs>
        <w:tab w:val="center" w:pos="4252"/>
        <w:tab w:val="right" w:pos="8504"/>
      </w:tabs>
      <w:snapToGrid w:val="0"/>
    </w:pPr>
  </w:style>
  <w:style w:type="character" w:customStyle="1" w:styleId="a6">
    <w:name w:val="フッター (文字)"/>
    <w:basedOn w:val="a0"/>
    <w:link w:val="a5"/>
    <w:uiPriority w:val="99"/>
    <w:rsid w:val="00CD3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1879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cp:lastModifiedBy>
  <cp:revision>2</cp:revision>
  <cp:lastPrinted>2022-02-12T02:57:00Z</cp:lastPrinted>
  <dcterms:created xsi:type="dcterms:W3CDTF">2022-05-07T14:13:00Z</dcterms:created>
  <dcterms:modified xsi:type="dcterms:W3CDTF">2022-05-07T14:13:00Z</dcterms:modified>
</cp:coreProperties>
</file>