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9E86" w14:textId="3CA4C6DA" w:rsidR="004A01A1" w:rsidRPr="0014767E" w:rsidRDefault="004A01A1" w:rsidP="004A01A1">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５０</w:t>
      </w:r>
    </w:p>
    <w:bookmarkEnd w:id="0"/>
    <w:p w14:paraId="65791C75" w14:textId="77777777" w:rsidR="004A01A1" w:rsidRPr="004A01A1" w:rsidRDefault="004A01A1">
      <w:pPr>
        <w:rPr>
          <w:rFonts w:ascii="ＭＳ ゴシック" w:eastAsia="ＭＳ ゴシック" w:hAnsi="ＭＳ ゴシック"/>
          <w:b/>
          <w:bCs/>
          <w:sz w:val="24"/>
          <w:szCs w:val="24"/>
        </w:rPr>
      </w:pPr>
    </w:p>
    <w:p w14:paraId="7D42797D" w14:textId="771115AA" w:rsidR="00DA5846" w:rsidRPr="00CB2288" w:rsidRDefault="00DA5846">
      <w:pPr>
        <w:rPr>
          <w:rFonts w:ascii="ＭＳ ゴシック" w:eastAsia="ＭＳ ゴシック" w:hAnsi="ＭＳ ゴシック"/>
          <w:b/>
          <w:bCs/>
          <w:sz w:val="24"/>
          <w:szCs w:val="24"/>
        </w:rPr>
      </w:pPr>
      <w:r w:rsidRPr="00CB2288">
        <w:rPr>
          <w:rFonts w:ascii="ＭＳ ゴシック" w:eastAsia="ＭＳ ゴシック" w:hAnsi="ＭＳ ゴシック" w:hint="eastAsia"/>
          <w:b/>
          <w:bCs/>
          <w:sz w:val="24"/>
          <w:szCs w:val="24"/>
        </w:rPr>
        <w:t>障害者権利条約第27条に</w:t>
      </w:r>
      <w:r w:rsidR="002E21EC" w:rsidRPr="00CB2288">
        <w:rPr>
          <w:rFonts w:ascii="ＭＳ ゴシック" w:eastAsia="ＭＳ ゴシック" w:hAnsi="ＭＳ ゴシック" w:hint="eastAsia"/>
          <w:b/>
          <w:bCs/>
          <w:sz w:val="24"/>
          <w:szCs w:val="24"/>
        </w:rPr>
        <w:t>関する一般的意見の草案に関する提出資料</w:t>
      </w:r>
    </w:p>
    <w:p w14:paraId="7A3BBB79" w14:textId="77777777" w:rsidR="002E21EC" w:rsidRPr="00CB2288" w:rsidRDefault="002E21EC">
      <w:r w:rsidRPr="00CB2288">
        <w:rPr>
          <w:rFonts w:hint="eastAsia"/>
        </w:rPr>
        <w:t>UNIA（ベルギー連邦機会均等センター）</w:t>
      </w:r>
    </w:p>
    <w:p w14:paraId="609415F4" w14:textId="0CEDC1FC" w:rsidR="002E21EC" w:rsidRPr="00CB2288" w:rsidRDefault="00F31BFD" w:rsidP="00F31BFD">
      <w:pPr>
        <w:jc w:val="right"/>
      </w:pPr>
      <w:r w:rsidRPr="00CB2288">
        <w:rPr>
          <w:rFonts w:hint="eastAsia"/>
        </w:rPr>
        <w:t>（JD仮訳）</w:t>
      </w:r>
    </w:p>
    <w:p w14:paraId="2C1B1B5E" w14:textId="77777777" w:rsidR="002E21EC" w:rsidRPr="00CB2288" w:rsidRDefault="002E21EC" w:rsidP="002E21EC">
      <w:r w:rsidRPr="00CB2288">
        <w:t>Submission relating to the draft General Comment on article 27</w:t>
      </w:r>
    </w:p>
    <w:p w14:paraId="26F5A3F1" w14:textId="77777777" w:rsidR="002E21EC" w:rsidRPr="00CB2288" w:rsidRDefault="002E21EC" w:rsidP="002E21EC">
      <w:r w:rsidRPr="00CB2288">
        <w:t>of the Convention on the Rights of Persons with Disabilities</w:t>
      </w:r>
    </w:p>
    <w:p w14:paraId="389F1045" w14:textId="77777777" w:rsidR="00CE3357" w:rsidRPr="00CB2288" w:rsidRDefault="00367892">
      <w:proofErr w:type="spellStart"/>
      <w:r w:rsidRPr="00CB2288">
        <w:t>Unia</w:t>
      </w:r>
      <w:proofErr w:type="spellEnd"/>
      <w:r w:rsidRPr="00CB2288">
        <w:t xml:space="preserve"> (</w:t>
      </w:r>
      <w:proofErr w:type="spellStart"/>
      <w:r w:rsidRPr="00CB2288">
        <w:t>Interfederal</w:t>
      </w:r>
      <w:proofErr w:type="spellEnd"/>
      <w:r w:rsidRPr="00CB2288">
        <w:t xml:space="preserve"> Centre for Equal Opportunities), Belgium</w:t>
      </w:r>
    </w:p>
    <w:p w14:paraId="493FF7FD" w14:textId="77777777" w:rsidR="00DA5846" w:rsidRPr="00CB2288" w:rsidRDefault="00DA5846" w:rsidP="00DA5846"/>
    <w:p w14:paraId="36198558" w14:textId="77777777" w:rsidR="00DA5846" w:rsidRPr="00CB2288" w:rsidRDefault="00DA5846" w:rsidP="004548A5">
      <w:pPr>
        <w:ind w:firstLineChars="100" w:firstLine="210"/>
      </w:pPr>
      <w:proofErr w:type="spellStart"/>
      <w:r w:rsidRPr="00CB2288">
        <w:t>Unia</w:t>
      </w:r>
      <w:proofErr w:type="spellEnd"/>
      <w:r w:rsidRPr="00CB2288">
        <w:t>は、差別と闘い、機会均等を推進する独立した公的機関</w:t>
      </w:r>
      <w:r w:rsidR="00F31BFD" w:rsidRPr="00CB2288">
        <w:t>である</w:t>
      </w:r>
      <w:r w:rsidRPr="00CB2288">
        <w:t>。私たちは連邦間</w:t>
      </w:r>
      <w:r w:rsidR="00F31BFD" w:rsidRPr="00CB2288">
        <w:rPr>
          <w:rFonts w:hint="eastAsia"/>
        </w:rPr>
        <w:t>権限</w:t>
      </w:r>
      <w:r w:rsidRPr="00CB2288">
        <w:t>を持って</w:t>
      </w:r>
      <w:r w:rsidR="00F31BFD" w:rsidRPr="00CB2288">
        <w:t>いる</w:t>
      </w:r>
      <w:r w:rsidRPr="00CB2288">
        <w:t>。つまり、ベルギーでは、連邦国家レベルだけでなく、地域や共同体のレベルでも活動している。</w:t>
      </w:r>
    </w:p>
    <w:p w14:paraId="0C1D520B" w14:textId="77777777" w:rsidR="00DA5846" w:rsidRPr="00CB2288" w:rsidRDefault="00DA5846" w:rsidP="003436AA">
      <w:pPr>
        <w:ind w:firstLineChars="100" w:firstLine="210"/>
      </w:pPr>
      <w:r w:rsidRPr="00CB2288">
        <w:rPr>
          <w:rFonts w:hint="eastAsia"/>
        </w:rPr>
        <w:t>平等</w:t>
      </w:r>
      <w:r w:rsidR="003436AA" w:rsidRPr="00CB2288">
        <w:rPr>
          <w:rFonts w:hint="eastAsia"/>
        </w:rPr>
        <w:t>のための</w:t>
      </w:r>
      <w:r w:rsidRPr="00CB2288">
        <w:rPr>
          <w:rFonts w:hint="eastAsia"/>
        </w:rPr>
        <w:t>機関である</w:t>
      </w:r>
      <w:proofErr w:type="spellStart"/>
      <w:r w:rsidRPr="00CB2288">
        <w:t>Unia</w:t>
      </w:r>
      <w:proofErr w:type="spellEnd"/>
      <w:r w:rsidRPr="00CB2288">
        <w:t>は、欧州指令2000/43および2000/78を実施する差別禁止法の保護事由（その1つが障害）に基づく差別の被害者を支援する責任を担って</w:t>
      </w:r>
      <w:r w:rsidR="00F31BFD" w:rsidRPr="00CB2288">
        <w:t>いる</w:t>
      </w:r>
      <w:r w:rsidRPr="00CB2288">
        <w:t>。</w:t>
      </w:r>
    </w:p>
    <w:p w14:paraId="5BE13800" w14:textId="77777777" w:rsidR="00DA5846" w:rsidRPr="00CB2288" w:rsidRDefault="00DA5846" w:rsidP="003436AA">
      <w:pPr>
        <w:ind w:firstLineChars="100" w:firstLine="210"/>
      </w:pPr>
      <w:r w:rsidRPr="00CB2288">
        <w:rPr>
          <w:rFonts w:hint="eastAsia"/>
        </w:rPr>
        <w:t>また、障害者権利条約（</w:t>
      </w:r>
      <w:r w:rsidRPr="00CB2288">
        <w:t>CRPD）33</w:t>
      </w:r>
      <w:r w:rsidR="003436AA" w:rsidRPr="00CB2288">
        <w:t>条</w:t>
      </w:r>
      <w:r w:rsidRPr="00CB2288">
        <w:t>2に基づく独立</w:t>
      </w:r>
      <w:r w:rsidR="003436AA" w:rsidRPr="00CB2288">
        <w:rPr>
          <w:rFonts w:hint="eastAsia"/>
        </w:rPr>
        <w:t>した仕組み</w:t>
      </w:r>
      <w:r w:rsidRPr="00CB2288">
        <w:t>として、ベルギーにおけるCRPDの実施を促進、保護、監視する責任も負って</w:t>
      </w:r>
      <w:r w:rsidR="00F31BFD" w:rsidRPr="00CB2288">
        <w:t>いる</w:t>
      </w:r>
      <w:r w:rsidRPr="00CB2288">
        <w:t>。</w:t>
      </w:r>
    </w:p>
    <w:p w14:paraId="6A2E4731" w14:textId="77777777" w:rsidR="00DA5846" w:rsidRPr="00CB2288" w:rsidRDefault="00DA5846" w:rsidP="00DA5846"/>
    <w:p w14:paraId="0C6E11EC" w14:textId="77777777" w:rsidR="00DA5846" w:rsidRPr="00CB2288" w:rsidRDefault="00DA5846" w:rsidP="004548A5">
      <w:pPr>
        <w:ind w:firstLineChars="100" w:firstLine="210"/>
      </w:pPr>
      <w:proofErr w:type="spellStart"/>
      <w:r w:rsidRPr="00CB2288">
        <w:t>Unia</w:t>
      </w:r>
      <w:proofErr w:type="spellEnd"/>
      <w:r w:rsidRPr="00CB2288">
        <w:t>は、CRPD第27条に関する一般的意見案について意見を述べる機会を得たことを</w:t>
      </w:r>
      <w:r w:rsidR="003436AA" w:rsidRPr="00CB2288">
        <w:rPr>
          <w:rFonts w:hint="eastAsia"/>
        </w:rPr>
        <w:t>心から</w:t>
      </w:r>
      <w:r w:rsidRPr="00CB2288">
        <w:t>歓迎する。</w:t>
      </w:r>
    </w:p>
    <w:p w14:paraId="75B24C85" w14:textId="77777777" w:rsidR="00DA5846" w:rsidRPr="00CB2288" w:rsidRDefault="00DA5846" w:rsidP="00DA5846"/>
    <w:p w14:paraId="542E7696" w14:textId="77777777" w:rsidR="00DA5846" w:rsidRPr="00CB2288" w:rsidRDefault="00DA5846" w:rsidP="00DA5846">
      <w:r w:rsidRPr="00CB2288">
        <w:rPr>
          <w:rFonts w:hint="eastAsia"/>
        </w:rPr>
        <w:t>目次</w:t>
      </w:r>
    </w:p>
    <w:p w14:paraId="15884477" w14:textId="77777777" w:rsidR="00DA5846" w:rsidRPr="00CB2288" w:rsidRDefault="003436AA" w:rsidP="00DA5846">
      <w:r w:rsidRPr="00CB2288">
        <w:rPr>
          <w:rFonts w:hint="eastAsia"/>
        </w:rPr>
        <w:t>パラ</w:t>
      </w:r>
      <w:r w:rsidR="00DA5846" w:rsidRPr="00CB2288">
        <w:t>22及び50</w:t>
      </w:r>
      <w:r w:rsidRPr="00CB2288">
        <w:rPr>
          <w:rFonts w:hint="eastAsia"/>
        </w:rPr>
        <w:t xml:space="preserve">　</w:t>
      </w:r>
      <w:r w:rsidR="00DA5846" w:rsidRPr="00CB2288">
        <w:t>-</w:t>
      </w:r>
      <w:r w:rsidRPr="00CB2288">
        <w:rPr>
          <w:rFonts w:hint="eastAsia"/>
        </w:rPr>
        <w:t xml:space="preserve">　</w:t>
      </w:r>
      <w:r w:rsidR="00DA5846" w:rsidRPr="00CB2288">
        <w:t>合理的配慮の否定</w:t>
      </w:r>
    </w:p>
    <w:p w14:paraId="27B75941" w14:textId="77777777" w:rsidR="00DA5846" w:rsidRPr="00CB2288" w:rsidRDefault="003436AA" w:rsidP="00DA5846">
      <w:r w:rsidRPr="00CB2288">
        <w:rPr>
          <w:rFonts w:hint="eastAsia"/>
        </w:rPr>
        <w:t>パラ</w:t>
      </w:r>
      <w:r w:rsidR="00DA5846" w:rsidRPr="00CB2288">
        <w:t xml:space="preserve">97. </w:t>
      </w:r>
      <w:r w:rsidRPr="00CB2288">
        <w:t>G</w:t>
      </w:r>
      <w:r w:rsidRPr="00CB2288">
        <w:rPr>
          <w:rFonts w:hint="eastAsia"/>
        </w:rPr>
        <w:t xml:space="preserve">　</w:t>
      </w:r>
      <w:r w:rsidR="00DC1203" w:rsidRPr="00CB2288">
        <w:rPr>
          <w:rFonts w:hint="eastAsia"/>
        </w:rPr>
        <w:t>-</w:t>
      </w:r>
      <w:r w:rsidR="00DA5846" w:rsidRPr="00CB2288">
        <w:t xml:space="preserve"> </w:t>
      </w:r>
      <w:r w:rsidRPr="00CB2288">
        <w:rPr>
          <w:rFonts w:hint="eastAsia"/>
        </w:rPr>
        <w:t>シェルタードワークショップ</w:t>
      </w:r>
      <w:r w:rsidR="00DC1203" w:rsidRPr="00CB2288">
        <w:rPr>
          <w:rFonts w:hint="eastAsia"/>
        </w:rPr>
        <w:t>の</w:t>
      </w:r>
      <w:r w:rsidR="00DA5846" w:rsidRPr="00CB2288">
        <w:t>労働者に対する国の義務</w:t>
      </w:r>
    </w:p>
    <w:p w14:paraId="3FE7EC27" w14:textId="77777777" w:rsidR="00DA5846" w:rsidRPr="00CB2288" w:rsidRDefault="00DA5846" w:rsidP="00DA5846">
      <w:r w:rsidRPr="00CB2288">
        <w:rPr>
          <w:rFonts w:hint="eastAsia"/>
        </w:rPr>
        <w:t>本提出</w:t>
      </w:r>
      <w:r w:rsidR="00DC1203" w:rsidRPr="00CB2288">
        <w:rPr>
          <w:rFonts w:hint="eastAsia"/>
        </w:rPr>
        <w:t>資料</w:t>
      </w:r>
      <w:r w:rsidRPr="00CB2288">
        <w:rPr>
          <w:rFonts w:hint="eastAsia"/>
        </w:rPr>
        <w:t>に関する連絡先</w:t>
      </w:r>
    </w:p>
    <w:p w14:paraId="3F5B7055" w14:textId="77777777" w:rsidR="00DA5846" w:rsidRPr="00CB2288" w:rsidRDefault="00DA5846" w:rsidP="00DA5846"/>
    <w:p w14:paraId="31F13064" w14:textId="77777777" w:rsidR="00DC1203" w:rsidRPr="00CB2288" w:rsidRDefault="00DC1203" w:rsidP="00DC1203">
      <w:pPr>
        <w:rPr>
          <w:b/>
          <w:bCs/>
        </w:rPr>
      </w:pPr>
      <w:r w:rsidRPr="00CB2288">
        <w:rPr>
          <w:rFonts w:hint="eastAsia"/>
          <w:b/>
          <w:bCs/>
        </w:rPr>
        <w:t>パラ</w:t>
      </w:r>
      <w:r w:rsidRPr="00CB2288">
        <w:rPr>
          <w:b/>
          <w:bCs/>
        </w:rPr>
        <w:t>22及び50</w:t>
      </w:r>
      <w:r w:rsidRPr="00CB2288">
        <w:rPr>
          <w:rFonts w:hint="eastAsia"/>
          <w:b/>
          <w:bCs/>
        </w:rPr>
        <w:t xml:space="preserve">　</w:t>
      </w:r>
      <w:r w:rsidRPr="00CB2288">
        <w:rPr>
          <w:b/>
          <w:bCs/>
        </w:rPr>
        <w:t>-</w:t>
      </w:r>
      <w:r w:rsidRPr="00CB2288">
        <w:rPr>
          <w:rFonts w:hint="eastAsia"/>
          <w:b/>
          <w:bCs/>
        </w:rPr>
        <w:t xml:space="preserve">　</w:t>
      </w:r>
      <w:r w:rsidRPr="00CB2288">
        <w:rPr>
          <w:b/>
          <w:bCs/>
        </w:rPr>
        <w:t>合理的配慮の否定</w:t>
      </w:r>
    </w:p>
    <w:p w14:paraId="0CDA390F" w14:textId="77777777" w:rsidR="00DA5846" w:rsidRPr="00CB2288" w:rsidRDefault="00DC1203" w:rsidP="00DA5846">
      <w:r w:rsidRPr="00CB2288">
        <w:rPr>
          <w:rFonts w:hint="eastAsia"/>
        </w:rPr>
        <w:t>パラ</w:t>
      </w:r>
      <w:r w:rsidR="00DA5846" w:rsidRPr="00CB2288">
        <w:t>22</w:t>
      </w:r>
      <w:r w:rsidRPr="00CB2288">
        <w:rPr>
          <w:rFonts w:hint="eastAsia"/>
        </w:rPr>
        <w:t>：</w:t>
      </w:r>
      <w:r w:rsidR="00DA5846" w:rsidRPr="00CB2288">
        <w:t>「</w:t>
      </w:r>
      <w:r w:rsidRPr="00CB2288">
        <w:rPr>
          <w:rFonts w:hint="eastAsia"/>
        </w:rPr>
        <w:t>････</w:t>
      </w:r>
      <w:r w:rsidR="00DA5846" w:rsidRPr="00CB2288">
        <w:t>合理的配慮を提供する義務は、配慮の要請を受けた時点から適用される」。</w:t>
      </w:r>
    </w:p>
    <w:p w14:paraId="2ACBA7ED" w14:textId="77777777" w:rsidR="00DA5846" w:rsidRPr="00CB2288" w:rsidRDefault="00DC1203" w:rsidP="00DA5846">
      <w:r w:rsidRPr="00CB2288">
        <w:rPr>
          <w:rFonts w:hint="eastAsia"/>
        </w:rPr>
        <w:t>パラ</w:t>
      </w:r>
      <w:r w:rsidR="00DA5846" w:rsidRPr="00CB2288">
        <w:t>50</w:t>
      </w:r>
      <w:r w:rsidRPr="00CB2288">
        <w:rPr>
          <w:rFonts w:hint="eastAsia"/>
        </w:rPr>
        <w:t>：</w:t>
      </w:r>
      <w:r w:rsidR="00DA5846" w:rsidRPr="00CB2288">
        <w:t>「合理的配慮を提供する義務は、配慮の要請を受けた時点から適用される協力的かつ相互的なプロセスである</w:t>
      </w:r>
      <w:r w:rsidRPr="00CB2288">
        <w:rPr>
          <w:rFonts w:hint="eastAsia"/>
        </w:rPr>
        <w:t>････</w:t>
      </w:r>
      <w:r w:rsidR="00DA5846" w:rsidRPr="00CB2288">
        <w:t>」。</w:t>
      </w:r>
    </w:p>
    <w:p w14:paraId="61F600C5" w14:textId="77777777" w:rsidR="00DA5846" w:rsidRPr="00CB2288" w:rsidRDefault="00DA5846" w:rsidP="00DC1203">
      <w:pPr>
        <w:ind w:firstLineChars="100" w:firstLine="210"/>
      </w:pPr>
      <w:r w:rsidRPr="00CB2288">
        <w:rPr>
          <w:rFonts w:hint="eastAsia"/>
        </w:rPr>
        <w:t>委員会は、合理的配慮を提供する義務は、「配慮の要請を受けた時点から」適用されることを強調している。</w:t>
      </w:r>
    </w:p>
    <w:p w14:paraId="35885EF5" w14:textId="77777777" w:rsidR="00DA5846" w:rsidRPr="00CB2288" w:rsidRDefault="00DA5846" w:rsidP="00F9576D">
      <w:pPr>
        <w:ind w:firstLineChars="100" w:firstLine="210"/>
      </w:pPr>
      <w:r w:rsidRPr="00CB2288">
        <w:rPr>
          <w:rFonts w:hint="eastAsia"/>
        </w:rPr>
        <w:t>関連する脚注（</w:t>
      </w:r>
      <w:r w:rsidRPr="00CB2288">
        <w:t>17と43）は、委員会の一般的意見第6号「平等と</w:t>
      </w:r>
      <w:r w:rsidR="00F9576D" w:rsidRPr="00CB2288">
        <w:rPr>
          <w:rFonts w:hint="eastAsia"/>
        </w:rPr>
        <w:t>無</w:t>
      </w:r>
      <w:r w:rsidRPr="00CB2288">
        <w:t>差別」（</w:t>
      </w:r>
      <w:r w:rsidR="00F9576D" w:rsidRPr="00CB2288">
        <w:rPr>
          <w:rFonts w:hint="eastAsia"/>
        </w:rPr>
        <w:t>第</w:t>
      </w:r>
      <w:r w:rsidRPr="00CB2288">
        <w:t>5</w:t>
      </w:r>
      <w:r w:rsidR="00F9576D" w:rsidRPr="00CB2288">
        <w:rPr>
          <w:rFonts w:hint="eastAsia"/>
        </w:rPr>
        <w:t>条</w:t>
      </w:r>
      <w:r w:rsidRPr="00CB2288">
        <w:t>）のパラ24 b)に言及しており、それは:</w:t>
      </w:r>
    </w:p>
    <w:p w14:paraId="4BAFAB3B" w14:textId="77777777" w:rsidR="00DA5846" w:rsidRPr="00CB2288" w:rsidRDefault="00F9576D" w:rsidP="00F9576D">
      <w:pPr>
        <w:ind w:leftChars="337" w:left="708" w:firstLineChars="100" w:firstLine="210"/>
      </w:pPr>
      <w:r w:rsidRPr="00CB2288">
        <w:rPr>
          <w:rFonts w:hint="eastAsia"/>
        </w:rPr>
        <w:t>「････</w:t>
      </w:r>
      <w:r w:rsidR="00DA5846" w:rsidRPr="00CB2288">
        <w:t>合理的</w:t>
      </w:r>
      <w:r w:rsidRPr="00CB2288">
        <w:rPr>
          <w:rFonts w:hint="eastAsia"/>
        </w:rPr>
        <w:t>配慮</w:t>
      </w:r>
      <w:r w:rsidR="00DA5846" w:rsidRPr="00CB2288">
        <w:t>を図る義務は、障害者が</w:t>
      </w:r>
      <w:r w:rsidRPr="00CB2288">
        <w:rPr>
          <w:rFonts w:hint="eastAsia"/>
        </w:rPr>
        <w:t>配慮</w:t>
      </w:r>
      <w:r w:rsidR="00DA5846" w:rsidRPr="00CB2288">
        <w:t>を図るよう要求した場合、または義務を負うとされる者が</w:t>
      </w:r>
      <w:r w:rsidRPr="00CB2288">
        <w:rPr>
          <w:rFonts w:hint="eastAsia"/>
        </w:rPr>
        <w:t>その人</w:t>
      </w:r>
      <w:r w:rsidR="00DA5846" w:rsidRPr="00CB2288">
        <w:t>に障害があることを実際に認識し</w:t>
      </w:r>
      <w:r w:rsidRPr="00CB2288">
        <w:rPr>
          <w:rFonts w:hint="eastAsia"/>
        </w:rPr>
        <w:t>たと</w:t>
      </w:r>
      <w:r w:rsidR="00DA5846" w:rsidRPr="00CB2288">
        <w:t>証明される場合に限定されないことに注意することが重要である。義務</w:t>
      </w:r>
      <w:r w:rsidRPr="00CB2288">
        <w:rPr>
          <w:rFonts w:hint="eastAsia"/>
        </w:rPr>
        <w:t>を負う可能性のある</w:t>
      </w:r>
      <w:r w:rsidR="00DA5846" w:rsidRPr="00CB2288">
        <w:t>者が、</w:t>
      </w:r>
      <w:r w:rsidR="00DA5846" w:rsidRPr="00CB2288">
        <w:lastRenderedPageBreak/>
        <w:t>権利行使</w:t>
      </w:r>
      <w:r w:rsidRPr="00CB2288">
        <w:rPr>
          <w:rFonts w:hint="eastAsia"/>
        </w:rPr>
        <w:t>へ</w:t>
      </w:r>
      <w:r w:rsidR="00DA5846" w:rsidRPr="00CB2288">
        <w:t>の</w:t>
      </w:r>
      <w:r w:rsidRPr="00CB2288">
        <w:rPr>
          <w:rFonts w:hint="eastAsia"/>
        </w:rPr>
        <w:t>障壁</w:t>
      </w:r>
      <w:r w:rsidR="00DA5846" w:rsidRPr="00CB2288">
        <w:t>に対処するために</w:t>
      </w:r>
      <w:r w:rsidRPr="00CB2288">
        <w:rPr>
          <w:rFonts w:hint="eastAsia"/>
        </w:rPr>
        <w:t>配慮</w:t>
      </w:r>
      <w:r w:rsidR="00623096" w:rsidRPr="00CB2288">
        <w:rPr>
          <w:rFonts w:hint="eastAsia"/>
        </w:rPr>
        <w:t>する</w:t>
      </w:r>
      <w:r w:rsidR="00DA5846" w:rsidRPr="00CB2288">
        <w:t>必要がある</w:t>
      </w:r>
      <w:r w:rsidRPr="00CB2288">
        <w:rPr>
          <w:rFonts w:hint="eastAsia"/>
        </w:rPr>
        <w:t>かもしれない</w:t>
      </w:r>
      <w:r w:rsidR="00DA5846" w:rsidRPr="00CB2288">
        <w:t>障害を</w:t>
      </w:r>
      <w:r w:rsidRPr="00CB2288">
        <w:rPr>
          <w:rFonts w:hint="eastAsia"/>
        </w:rPr>
        <w:t>その人</w:t>
      </w:r>
      <w:r w:rsidR="00DA5846" w:rsidRPr="00CB2288">
        <w:t>が</w:t>
      </w:r>
      <w:r w:rsidRPr="00CB2288">
        <w:rPr>
          <w:rFonts w:hint="eastAsia"/>
        </w:rPr>
        <w:t>もって</w:t>
      </w:r>
      <w:r w:rsidR="00DA5846" w:rsidRPr="00CB2288">
        <w:t>いることを認識したはずの状況にも適用されるべき</w:t>
      </w:r>
      <w:r w:rsidR="00F31BFD" w:rsidRPr="00CB2288">
        <w:t>である</w:t>
      </w:r>
      <w:r w:rsidR="00DA5846" w:rsidRPr="00CB2288">
        <w:t>」。</w:t>
      </w:r>
    </w:p>
    <w:p w14:paraId="2D48C230" w14:textId="77777777" w:rsidR="00DA5846" w:rsidRPr="00CB2288" w:rsidRDefault="00DA5846" w:rsidP="0030575F">
      <w:pPr>
        <w:ind w:firstLineChars="100" w:firstLine="210"/>
      </w:pPr>
      <w:r w:rsidRPr="00CB2288">
        <w:rPr>
          <w:rFonts w:hint="eastAsia"/>
        </w:rPr>
        <w:t>ベルギーの判例法では、合理的配慮の要請は明示的になされる必要はなく、暗黙的であってもよいとされている。雇用主が合理的に障害を知ることができる場合、（例えば、診断書などの書類を通じて</w:t>
      </w:r>
      <w:r w:rsidR="0030575F" w:rsidRPr="00CB2288">
        <w:rPr>
          <w:rFonts w:hint="eastAsia"/>
        </w:rPr>
        <w:t>の</w:t>
      </w:r>
      <w:r w:rsidR="00453518" w:rsidRPr="00CB2288">
        <w:rPr>
          <w:rStyle w:val="aa"/>
        </w:rPr>
        <w:footnoteReference w:id="1"/>
      </w:r>
      <w:r w:rsidRPr="00CB2288">
        <w:rPr>
          <w:rFonts w:hint="eastAsia"/>
        </w:rPr>
        <w:t>）職場環境</w:t>
      </w:r>
      <w:r w:rsidR="0030575F" w:rsidRPr="00CB2288">
        <w:rPr>
          <w:rFonts w:hint="eastAsia"/>
        </w:rPr>
        <w:t>を改善</w:t>
      </w:r>
      <w:r w:rsidRPr="00CB2288">
        <w:rPr>
          <w:rFonts w:hint="eastAsia"/>
        </w:rPr>
        <w:t>するためのあらゆる要請は、合理的配慮の要請とみなされる</w:t>
      </w:r>
      <w:r w:rsidR="00453518" w:rsidRPr="00CB2288">
        <w:rPr>
          <w:rStyle w:val="aa"/>
        </w:rPr>
        <w:footnoteReference w:id="2"/>
      </w:r>
      <w:r w:rsidRPr="00CB2288">
        <w:rPr>
          <w:rFonts w:hint="eastAsia"/>
        </w:rPr>
        <w:t>。</w:t>
      </w:r>
      <w:r w:rsidRPr="00CB2288">
        <w:t xml:space="preserve"> </w:t>
      </w:r>
    </w:p>
    <w:p w14:paraId="5B4E776A" w14:textId="77777777" w:rsidR="00DA5846" w:rsidRPr="00CB2288" w:rsidRDefault="00DA5846" w:rsidP="0030575F">
      <w:pPr>
        <w:ind w:firstLineChars="100" w:firstLine="210"/>
      </w:pPr>
      <w:r w:rsidRPr="00CB2288">
        <w:rPr>
          <w:rFonts w:hint="eastAsia"/>
        </w:rPr>
        <w:t>教育分野では、ベルギー国家評議会（最高行政裁判所）は、障害が</w:t>
      </w:r>
      <w:r w:rsidR="008C0496" w:rsidRPr="00CB2288">
        <w:rPr>
          <w:rFonts w:hint="eastAsia"/>
        </w:rPr>
        <w:t>知られ</w:t>
      </w:r>
      <w:r w:rsidRPr="00CB2288">
        <w:rPr>
          <w:rFonts w:hint="eastAsia"/>
        </w:rPr>
        <w:t>ている生徒からの要請がない場合でも、学校は合理的配慮を提供する義務があるとみなしている</w:t>
      </w:r>
      <w:r w:rsidR="00453518" w:rsidRPr="00CB2288">
        <w:rPr>
          <w:rStyle w:val="aa"/>
        </w:rPr>
        <w:footnoteReference w:id="3"/>
      </w:r>
      <w:r w:rsidRPr="00CB2288">
        <w:rPr>
          <w:rFonts w:hint="eastAsia"/>
        </w:rPr>
        <w:t>。</w:t>
      </w:r>
    </w:p>
    <w:p w14:paraId="6C47FE63" w14:textId="77777777" w:rsidR="00DA5846" w:rsidRPr="00CB2288" w:rsidRDefault="008C0496" w:rsidP="008C0496">
      <w:pPr>
        <w:ind w:firstLineChars="100" w:firstLine="210"/>
      </w:pPr>
      <w:proofErr w:type="spellStart"/>
      <w:r w:rsidRPr="00CB2288">
        <w:rPr>
          <w:rFonts w:hint="eastAsia"/>
        </w:rPr>
        <w:t>Unia</w:t>
      </w:r>
      <w:proofErr w:type="spellEnd"/>
      <w:r w:rsidR="00DA5846" w:rsidRPr="00CB2288">
        <w:rPr>
          <w:rFonts w:hint="eastAsia"/>
        </w:rPr>
        <w:t>は、合理的配慮の提供義務が適用されうる状況について、第</w:t>
      </w:r>
      <w:r w:rsidR="00DA5846" w:rsidRPr="00CB2288">
        <w:t>27条に関する一般的意</w:t>
      </w:r>
      <w:r w:rsidR="00623096" w:rsidRPr="00CB2288">
        <w:rPr>
          <w:rFonts w:hint="eastAsia"/>
        </w:rPr>
        <w:t>見</w:t>
      </w:r>
      <w:r w:rsidRPr="00CB2288">
        <w:rPr>
          <w:rFonts w:hint="eastAsia"/>
        </w:rPr>
        <w:t>で明確化することを希望する。</w:t>
      </w:r>
      <w:proofErr w:type="spellStart"/>
      <w:r w:rsidR="00623096" w:rsidRPr="00CB2288">
        <w:rPr>
          <w:rFonts w:hint="eastAsia"/>
          <w:b/>
          <w:bCs/>
        </w:rPr>
        <w:t>Unia</w:t>
      </w:r>
      <w:proofErr w:type="spellEnd"/>
      <w:r w:rsidRPr="00CB2288">
        <w:rPr>
          <w:rFonts w:hint="eastAsia"/>
          <w:b/>
          <w:bCs/>
        </w:rPr>
        <w:t>は、合理的配慮を提供する義務は、「義務を負う可能性のある</w:t>
      </w:r>
      <w:r w:rsidR="00DA5846" w:rsidRPr="00CB2288">
        <w:rPr>
          <w:b/>
          <w:bCs/>
        </w:rPr>
        <w:t>者が、権利行使の</w:t>
      </w:r>
      <w:r w:rsidRPr="00CB2288">
        <w:rPr>
          <w:rFonts w:hint="eastAsia"/>
          <w:b/>
          <w:bCs/>
        </w:rPr>
        <w:t>障壁</w:t>
      </w:r>
      <w:r w:rsidR="00DA5846" w:rsidRPr="00CB2288">
        <w:rPr>
          <w:b/>
          <w:bCs/>
        </w:rPr>
        <w:t>に対処するための</w:t>
      </w:r>
      <w:r w:rsidRPr="00CB2288">
        <w:rPr>
          <w:rFonts w:hint="eastAsia"/>
          <w:b/>
          <w:bCs/>
        </w:rPr>
        <w:t>配慮</w:t>
      </w:r>
      <w:r w:rsidR="00DA5846" w:rsidRPr="00CB2288">
        <w:rPr>
          <w:b/>
          <w:bCs/>
        </w:rPr>
        <w:t>を必要とするかもしれない障害を</w:t>
      </w:r>
      <w:r w:rsidRPr="00CB2288">
        <w:rPr>
          <w:rFonts w:hint="eastAsia"/>
          <w:b/>
          <w:bCs/>
        </w:rPr>
        <w:t>その人が持っている</w:t>
      </w:r>
      <w:r w:rsidR="00DA5846" w:rsidRPr="00CB2288">
        <w:rPr>
          <w:b/>
          <w:bCs/>
        </w:rPr>
        <w:t>ことを</w:t>
      </w:r>
      <w:r w:rsidR="00623096" w:rsidRPr="00CB2288">
        <w:rPr>
          <w:rFonts w:hint="eastAsia"/>
          <w:b/>
          <w:bCs/>
        </w:rPr>
        <w:t>当然</w:t>
      </w:r>
      <w:r w:rsidR="00DA5846" w:rsidRPr="00CB2288">
        <w:rPr>
          <w:b/>
          <w:bCs/>
        </w:rPr>
        <w:t>認識</w:t>
      </w:r>
      <w:r w:rsidR="00623096" w:rsidRPr="00CB2288">
        <w:rPr>
          <w:rFonts w:hint="eastAsia"/>
          <w:b/>
          <w:bCs/>
        </w:rPr>
        <w:t>してしかる</w:t>
      </w:r>
      <w:r w:rsidR="00DA5846" w:rsidRPr="00CB2288">
        <w:rPr>
          <w:b/>
          <w:bCs/>
        </w:rPr>
        <w:t>べき状況においても適用されるべきである」ことを、</w:t>
      </w:r>
      <w:r w:rsidRPr="00CB2288">
        <w:rPr>
          <w:rFonts w:hint="eastAsia"/>
          <w:b/>
          <w:bCs/>
        </w:rPr>
        <w:t>一般的意見</w:t>
      </w:r>
      <w:r w:rsidR="00DA5846" w:rsidRPr="00CB2288">
        <w:rPr>
          <w:b/>
          <w:bCs/>
        </w:rPr>
        <w:t>の本文</w:t>
      </w:r>
      <w:r w:rsidRPr="00CB2288">
        <w:rPr>
          <w:rFonts w:hint="eastAsia"/>
          <w:b/>
          <w:bCs/>
        </w:rPr>
        <w:t>で</w:t>
      </w:r>
      <w:r w:rsidR="00DA5846" w:rsidRPr="00CB2288">
        <w:rPr>
          <w:b/>
          <w:bCs/>
        </w:rPr>
        <w:t>明確に</w:t>
      </w:r>
      <w:r w:rsidRPr="00CB2288">
        <w:rPr>
          <w:rFonts w:hint="eastAsia"/>
          <w:b/>
          <w:bCs/>
        </w:rPr>
        <w:t>注意する</w:t>
      </w:r>
      <w:r w:rsidR="00DA5846" w:rsidRPr="00CB2288">
        <w:rPr>
          <w:b/>
          <w:bCs/>
        </w:rPr>
        <w:t>よう委員会に勧告する。</w:t>
      </w:r>
    </w:p>
    <w:p w14:paraId="20F716D9" w14:textId="77777777" w:rsidR="00DA5846" w:rsidRPr="00CB2288" w:rsidRDefault="00DA5846" w:rsidP="00DA5846"/>
    <w:p w14:paraId="4234587A" w14:textId="77777777" w:rsidR="00DA5846" w:rsidRPr="00CB2288" w:rsidRDefault="008C0496" w:rsidP="00DA5846">
      <w:pPr>
        <w:rPr>
          <w:b/>
          <w:bCs/>
        </w:rPr>
      </w:pPr>
      <w:r w:rsidRPr="00CB2288">
        <w:rPr>
          <w:rFonts w:hint="eastAsia"/>
          <w:b/>
          <w:bCs/>
        </w:rPr>
        <w:lastRenderedPageBreak/>
        <w:t>パラ</w:t>
      </w:r>
      <w:r w:rsidR="00DA5846" w:rsidRPr="00CB2288">
        <w:rPr>
          <w:b/>
          <w:bCs/>
        </w:rPr>
        <w:t xml:space="preserve">97. </w:t>
      </w:r>
      <w:r w:rsidRPr="00CB2288">
        <w:rPr>
          <w:b/>
          <w:bCs/>
        </w:rPr>
        <w:t>G</w:t>
      </w:r>
      <w:r w:rsidRPr="00CB2288">
        <w:rPr>
          <w:rFonts w:hint="eastAsia"/>
          <w:b/>
          <w:bCs/>
        </w:rPr>
        <w:t xml:space="preserve">　</w:t>
      </w:r>
      <w:r w:rsidR="00DA5846" w:rsidRPr="00CB2288">
        <w:rPr>
          <w:b/>
          <w:bCs/>
        </w:rPr>
        <w:t>-</w:t>
      </w:r>
      <w:r w:rsidRPr="00CB2288">
        <w:rPr>
          <w:rFonts w:hint="eastAsia"/>
          <w:b/>
          <w:bCs/>
        </w:rPr>
        <w:t xml:space="preserve">　</w:t>
      </w:r>
      <w:r w:rsidR="00DC1203" w:rsidRPr="00CB2288">
        <w:rPr>
          <w:rFonts w:hint="eastAsia"/>
          <w:b/>
          <w:bCs/>
        </w:rPr>
        <w:t>シェルタードワークショップ</w:t>
      </w:r>
      <w:r w:rsidR="00DA5846" w:rsidRPr="00CB2288">
        <w:rPr>
          <w:b/>
          <w:bCs/>
        </w:rPr>
        <w:t>での労働者に対する国の義務</w:t>
      </w:r>
    </w:p>
    <w:p w14:paraId="6D330B65" w14:textId="77777777" w:rsidR="00DA5846" w:rsidRPr="00CB2288" w:rsidRDefault="008C0496" w:rsidP="008C0496">
      <w:pPr>
        <w:ind w:firstLineChars="100" w:firstLine="210"/>
      </w:pPr>
      <w:r w:rsidRPr="00CB2288">
        <w:rPr>
          <w:rFonts w:hint="eastAsia"/>
        </w:rPr>
        <w:t>パラ97.</w:t>
      </w:r>
      <w:r w:rsidR="00DA5846" w:rsidRPr="00CB2288">
        <w:t>g</w:t>
      </w:r>
      <w:r w:rsidRPr="00CB2288">
        <w:rPr>
          <w:rFonts w:hint="eastAsia"/>
        </w:rPr>
        <w:t>：</w:t>
      </w:r>
      <w:r w:rsidR="00DA5846" w:rsidRPr="00CB2288">
        <w:t>「</w:t>
      </w:r>
      <w:r w:rsidR="00DC1203" w:rsidRPr="00CB2288">
        <w:rPr>
          <w:rFonts w:hint="eastAsia"/>
        </w:rPr>
        <w:t>シェルタードワークショップ</w:t>
      </w:r>
      <w:r w:rsidR="00DA5846" w:rsidRPr="00CB2288">
        <w:t>から労働市場への参加への迅速な移行を保証する資源、時間枠、監視機構を備えた具体的な行動計画を採用することにより、</w:t>
      </w:r>
      <w:r w:rsidR="00DC1203" w:rsidRPr="00CB2288">
        <w:rPr>
          <w:rFonts w:hint="eastAsia"/>
        </w:rPr>
        <w:t>シェルタードワークショップ</w:t>
      </w:r>
      <w:r w:rsidR="00DA5846" w:rsidRPr="00CB2288">
        <w:t>を迅速に段階的に廃止する。</w:t>
      </w:r>
      <w:r w:rsidR="00DC1203" w:rsidRPr="00CB2288">
        <w:rPr>
          <w:rFonts w:hint="eastAsia"/>
        </w:rPr>
        <w:t>シェルタードワークショップ</w:t>
      </w:r>
      <w:r w:rsidR="00DA5846" w:rsidRPr="00CB2288">
        <w:t>にとどまっている障害者について、締約国は以下を行うべきである。I.</w:t>
      </w:r>
      <w:r w:rsidR="001D6FB5" w:rsidRPr="00CB2288">
        <w:rPr>
          <w:rFonts w:hint="eastAsia"/>
        </w:rPr>
        <w:t>････、</w:t>
      </w:r>
      <w:r w:rsidR="00DA5846" w:rsidRPr="00CB2288">
        <w:t xml:space="preserve">II. </w:t>
      </w:r>
      <w:r w:rsidR="001D6FB5" w:rsidRPr="00CB2288">
        <w:rPr>
          <w:rFonts w:hint="eastAsia"/>
        </w:rPr>
        <w:t>････、</w:t>
      </w:r>
      <w:r w:rsidR="00DA5846" w:rsidRPr="00CB2288">
        <w:t xml:space="preserve">III. </w:t>
      </w:r>
      <w:r w:rsidR="001D6FB5" w:rsidRPr="00CB2288">
        <w:rPr>
          <w:rFonts w:hint="eastAsia"/>
        </w:rPr>
        <w:t>････。」</w:t>
      </w:r>
    </w:p>
    <w:p w14:paraId="5A49220B" w14:textId="77777777" w:rsidR="00DA5846" w:rsidRPr="00CB2288" w:rsidRDefault="00DA5846" w:rsidP="00D65FCA">
      <w:pPr>
        <w:ind w:firstLineChars="100" w:firstLine="206"/>
      </w:pPr>
      <w:proofErr w:type="spellStart"/>
      <w:r w:rsidRPr="00CB2288">
        <w:rPr>
          <w:b/>
          <w:bCs/>
        </w:rPr>
        <w:t>Unia</w:t>
      </w:r>
      <w:proofErr w:type="spellEnd"/>
      <w:r w:rsidRPr="00CB2288">
        <w:rPr>
          <w:b/>
          <w:bCs/>
        </w:rPr>
        <w:t>は委員会に対し、</w:t>
      </w:r>
      <w:r w:rsidR="00DC1203" w:rsidRPr="00CB2288">
        <w:rPr>
          <w:rFonts w:hint="eastAsia"/>
          <w:b/>
          <w:bCs/>
        </w:rPr>
        <w:t>シェルタードワークショップ</w:t>
      </w:r>
      <w:r w:rsidRPr="00CB2288">
        <w:rPr>
          <w:b/>
          <w:bCs/>
        </w:rPr>
        <w:t>に割り当てられた資源は、主流部門での雇用を支援するために徐々に</w:t>
      </w:r>
      <w:r w:rsidR="001D6FB5" w:rsidRPr="00CB2288">
        <w:rPr>
          <w:rFonts w:hint="eastAsia"/>
          <w:b/>
          <w:bCs/>
        </w:rPr>
        <w:t>移される</w:t>
      </w:r>
      <w:r w:rsidRPr="00CB2288">
        <w:rPr>
          <w:b/>
          <w:bCs/>
        </w:rPr>
        <w:t>べきであると明確にするよう提案する。</w:t>
      </w:r>
      <w:r w:rsidRPr="00CB2288">
        <w:t>ベルギーでは、政策立案者がインクルーシブな解決策を選ぶ代わりに、障害者の保護された雇用に多額の資金を投じることをいまだに好んでいる、と</w:t>
      </w:r>
      <w:proofErr w:type="spellStart"/>
      <w:r w:rsidRPr="00CB2288">
        <w:t>Unia</w:t>
      </w:r>
      <w:proofErr w:type="spellEnd"/>
      <w:r w:rsidRPr="00CB2288">
        <w:t>は見ている。</w:t>
      </w:r>
      <w:r w:rsidR="00DC1203" w:rsidRPr="00CB2288">
        <w:rPr>
          <w:rFonts w:hint="eastAsia"/>
        </w:rPr>
        <w:t>シェルタードワークショップ</w:t>
      </w:r>
      <w:r w:rsidRPr="00CB2288">
        <w:t>での雇用は奨励、促進、強化されているが、主流環境での雇用のための政策は事実上存在しない。</w:t>
      </w:r>
    </w:p>
    <w:p w14:paraId="42ABDFAE" w14:textId="77777777" w:rsidR="00DA5846" w:rsidRPr="00CB2288" w:rsidRDefault="00DE17E3" w:rsidP="00D65FCA">
      <w:pPr>
        <w:ind w:firstLineChars="100" w:firstLine="206"/>
        <w:rPr>
          <w:b/>
          <w:bCs/>
        </w:rPr>
      </w:pPr>
      <w:proofErr w:type="spellStart"/>
      <w:r w:rsidRPr="00CB2288">
        <w:rPr>
          <w:rFonts w:hint="eastAsia"/>
          <w:b/>
          <w:bCs/>
        </w:rPr>
        <w:t>Unia</w:t>
      </w:r>
      <w:proofErr w:type="spellEnd"/>
      <w:r w:rsidR="00DA5846" w:rsidRPr="00CB2288">
        <w:rPr>
          <w:rFonts w:hint="eastAsia"/>
          <w:b/>
          <w:bCs/>
        </w:rPr>
        <w:t>は、委員会に対し、締約国に対する以下の</w:t>
      </w:r>
      <w:r w:rsidR="00DA5846" w:rsidRPr="00CB2288">
        <w:rPr>
          <w:b/>
          <w:bCs/>
        </w:rPr>
        <w:t>2つの義務を追加するよう勧告する。</w:t>
      </w:r>
    </w:p>
    <w:p w14:paraId="56B0EE53" w14:textId="77777777" w:rsidR="00DA5846" w:rsidRPr="00CB2288" w:rsidRDefault="00DA5846" w:rsidP="00DA5846">
      <w:r w:rsidRPr="00CB2288">
        <w:t xml:space="preserve">- </w:t>
      </w:r>
      <w:r w:rsidR="00DC1203" w:rsidRPr="00CB2288">
        <w:rPr>
          <w:rFonts w:hint="eastAsia"/>
        </w:rPr>
        <w:t>シェルタードワークショップ</w:t>
      </w:r>
      <w:r w:rsidRPr="00CB2288">
        <w:t>において、障害</w:t>
      </w:r>
      <w:r w:rsidR="00DE17E3" w:rsidRPr="00CB2288">
        <w:rPr>
          <w:rFonts w:hint="eastAsia"/>
        </w:rPr>
        <w:t>のある</w:t>
      </w:r>
      <w:r w:rsidRPr="00CB2288">
        <w:t>労働者</w:t>
      </w:r>
      <w:r w:rsidR="00DE17E3" w:rsidRPr="00CB2288">
        <w:rPr>
          <w:rFonts w:hint="eastAsia"/>
        </w:rPr>
        <w:t>へ</w:t>
      </w:r>
      <w:r w:rsidRPr="00CB2288">
        <w:t>の合理的</w:t>
      </w:r>
      <w:r w:rsidR="00DE17E3" w:rsidRPr="00CB2288">
        <w:rPr>
          <w:rFonts w:hint="eastAsia"/>
        </w:rPr>
        <w:t>配慮</w:t>
      </w:r>
      <w:r w:rsidRPr="00CB2288">
        <w:t>の提供を確保すること。</w:t>
      </w:r>
    </w:p>
    <w:p w14:paraId="5CB3D75E" w14:textId="77777777" w:rsidR="00DA5846" w:rsidRPr="00CB2288" w:rsidRDefault="00DA5846" w:rsidP="00DA5846">
      <w:r w:rsidRPr="00CB2288">
        <w:t>- これらの</w:t>
      </w:r>
      <w:r w:rsidR="00974281" w:rsidRPr="00CB2288">
        <w:rPr>
          <w:rFonts w:hint="eastAsia"/>
        </w:rPr>
        <w:t>事業体</w:t>
      </w:r>
      <w:r w:rsidRPr="00CB2288">
        <w:t>における女性の脆弱な状況に注意を払うこと（例：ハラスメントからの保護）。</w:t>
      </w:r>
    </w:p>
    <w:p w14:paraId="7A5A1C98" w14:textId="77777777" w:rsidR="00DA5846" w:rsidRPr="00CB2288" w:rsidRDefault="00DA5846" w:rsidP="00DA5846"/>
    <w:p w14:paraId="6E07DF30" w14:textId="77777777" w:rsidR="00DA5846" w:rsidRPr="00CB2288" w:rsidRDefault="00DA5846" w:rsidP="00DA5846">
      <w:r w:rsidRPr="00CB2288">
        <w:rPr>
          <w:rFonts w:hint="eastAsia"/>
        </w:rPr>
        <w:t>本</w:t>
      </w:r>
      <w:r w:rsidR="00DE17E3" w:rsidRPr="00CB2288">
        <w:rPr>
          <w:rFonts w:hint="eastAsia"/>
        </w:rPr>
        <w:t>提出資料</w:t>
      </w:r>
      <w:r w:rsidRPr="00CB2288">
        <w:rPr>
          <w:rFonts w:hint="eastAsia"/>
        </w:rPr>
        <w:t>に関する問い合わせ先</w:t>
      </w:r>
      <w:r w:rsidR="00DE17E3" w:rsidRPr="00CB2288">
        <w:rPr>
          <w:rFonts w:hint="eastAsia"/>
        </w:rPr>
        <w:t>：</w:t>
      </w:r>
      <w:proofErr w:type="spellStart"/>
      <w:r w:rsidRPr="00CB2288">
        <w:t>Unia</w:t>
      </w:r>
      <w:proofErr w:type="spellEnd"/>
      <w:r w:rsidRPr="00CB2288">
        <w:t xml:space="preserve"> - 連邦機会均等センター  </w:t>
      </w:r>
    </w:p>
    <w:p w14:paraId="3F0A2AE6" w14:textId="77777777" w:rsidR="00DA5846" w:rsidRPr="00CB2288" w:rsidRDefault="00DA5846" w:rsidP="00DA5846">
      <w:r w:rsidRPr="00CB2288">
        <w:t xml:space="preserve">Carole Van </w:t>
      </w:r>
      <w:proofErr w:type="spellStart"/>
      <w:r w:rsidRPr="00CB2288">
        <w:t>Basselaere</w:t>
      </w:r>
      <w:proofErr w:type="spellEnd"/>
      <w:r w:rsidRPr="00CB2288">
        <w:t xml:space="preserve"> - 障害部門/国連条約担当</w:t>
      </w:r>
    </w:p>
    <w:p w14:paraId="041C9A24" w14:textId="77777777" w:rsidR="00DA5846" w:rsidRPr="00CB2288" w:rsidRDefault="00DA5846" w:rsidP="00DA5846">
      <w:r w:rsidRPr="00CB2288">
        <w:t xml:space="preserve"> +32 2 212 30 23 - carole.vanbasselaere@unia.be</w:t>
      </w:r>
    </w:p>
    <w:p w14:paraId="58520FB9" w14:textId="7A2AB86D" w:rsidR="00DA5846" w:rsidRPr="00CB2288" w:rsidRDefault="00DE17E3" w:rsidP="00DE17E3">
      <w:pPr>
        <w:jc w:val="right"/>
      </w:pPr>
      <w:r w:rsidRPr="00CB2288">
        <w:rPr>
          <w:rFonts w:hint="eastAsia"/>
        </w:rPr>
        <w:t>（翻訳：佐藤久夫、</w:t>
      </w:r>
      <w:r w:rsidR="00CB2288" w:rsidRPr="00CB2288">
        <w:rPr>
          <w:rFonts w:hint="eastAsia"/>
        </w:rPr>
        <w:t>松井亮輔</w:t>
      </w:r>
      <w:r w:rsidRPr="00CB2288">
        <w:rPr>
          <w:rFonts w:hint="eastAsia"/>
        </w:rPr>
        <w:t>）</w:t>
      </w:r>
    </w:p>
    <w:sectPr w:rsidR="00DA5846" w:rsidRPr="00CB2288" w:rsidSect="00D65FC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0B03" w14:textId="77777777" w:rsidR="00DA5846" w:rsidRDefault="00DA5846" w:rsidP="00DA5846">
      <w:r>
        <w:separator/>
      </w:r>
    </w:p>
  </w:endnote>
  <w:endnote w:type="continuationSeparator" w:id="0">
    <w:p w14:paraId="2A29589F" w14:textId="77777777" w:rsidR="00DA5846" w:rsidRDefault="00DA5846"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07193"/>
      <w:docPartObj>
        <w:docPartGallery w:val="Page Numbers (Bottom of Page)"/>
        <w:docPartUnique/>
      </w:docPartObj>
    </w:sdtPr>
    <w:sdtEndPr/>
    <w:sdtContent>
      <w:p w14:paraId="2E963905" w14:textId="77777777" w:rsidR="0030575F" w:rsidRDefault="00D65FCA">
        <w:pPr>
          <w:pStyle w:val="a5"/>
        </w:pPr>
        <w:r>
          <w:fldChar w:fldCharType="begin"/>
        </w:r>
        <w:r w:rsidR="0030575F">
          <w:instrText>PAGE   \* MERGEFORMAT</w:instrText>
        </w:r>
        <w:r>
          <w:fldChar w:fldCharType="separate"/>
        </w:r>
        <w:r w:rsidR="00623096" w:rsidRPr="00623096">
          <w:rPr>
            <w:noProof/>
            <w:lang w:val="ja-JP"/>
          </w:rPr>
          <w:t>3</w:t>
        </w:r>
        <w:r>
          <w:fldChar w:fldCharType="end"/>
        </w:r>
      </w:p>
    </w:sdtContent>
  </w:sdt>
  <w:p w14:paraId="54163DDF" w14:textId="77777777" w:rsidR="0030575F" w:rsidRDefault="00305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1255" w14:textId="77777777" w:rsidR="00DA5846" w:rsidRDefault="00DA5846" w:rsidP="00DA5846">
      <w:r>
        <w:separator/>
      </w:r>
    </w:p>
  </w:footnote>
  <w:footnote w:type="continuationSeparator" w:id="0">
    <w:p w14:paraId="66A1FE5D" w14:textId="77777777" w:rsidR="00DA5846" w:rsidRDefault="00DA5846" w:rsidP="00DA5846">
      <w:r>
        <w:continuationSeparator/>
      </w:r>
    </w:p>
  </w:footnote>
  <w:footnote w:id="1">
    <w:p w14:paraId="39C1D78A" w14:textId="77777777" w:rsidR="00453518" w:rsidRDefault="00453518" w:rsidP="00453518">
      <w:pPr>
        <w:pStyle w:val="a8"/>
        <w:ind w:firstLine="0"/>
        <w:rPr>
          <w:lang w:val="fr-BE"/>
        </w:rPr>
      </w:pPr>
      <w:r>
        <w:rPr>
          <w:rStyle w:val="aa"/>
        </w:rPr>
        <w:footnoteRef/>
      </w:r>
      <w:r w:rsidRPr="00DF17C4">
        <w:rPr>
          <w:lang w:val="fr-BE"/>
        </w:rPr>
        <w:t xml:space="preserve"> Cour du travail de Bruxelles (</w:t>
      </w:r>
      <w:r>
        <w:rPr>
          <w:lang w:val="fr-BE"/>
        </w:rPr>
        <w:t xml:space="preserve">Brussels Labour Court of Appeal), 23 October 2017, </w:t>
      </w:r>
      <w:hyperlink r:id="rId1" w:history="1">
        <w:r w:rsidRPr="002D4519">
          <w:rPr>
            <w:rStyle w:val="a7"/>
            <w:lang w:val="fr-BE"/>
          </w:rPr>
          <w:t>https://www.unia.be/files/Documenten/Rechtspraak/2017_10_23_C._Trav._Bruxelles.pdf</w:t>
        </w:r>
      </w:hyperlink>
      <w:r>
        <w:rPr>
          <w:lang w:val="fr-BE"/>
        </w:rPr>
        <w:t>,</w:t>
      </w:r>
    </w:p>
    <w:p w14:paraId="5C768B11" w14:textId="77777777" w:rsidR="00453518" w:rsidRPr="0036534B" w:rsidRDefault="00453518" w:rsidP="00453518">
      <w:pPr>
        <w:pStyle w:val="a8"/>
        <w:ind w:firstLine="0"/>
        <w:rPr>
          <w:lang w:val="fr-BE"/>
        </w:rPr>
      </w:pPr>
      <w:r>
        <w:rPr>
          <w:lang w:val="fr-BE"/>
        </w:rPr>
        <w:t xml:space="preserve"> « </w:t>
      </w:r>
      <w:r w:rsidRPr="00825EF0">
        <w:rPr>
          <w:lang w:val="fr-BE"/>
        </w:rPr>
        <w:t xml:space="preserve">L'abstention de mettre en place des aménagements raisonnables n'est constitutive, par elle- même, de discrimination que pour autant qu'elle puisse être qualifiée de refus, ce qui suppose qu'une demande d'aménagement ait été exprimée. </w:t>
      </w:r>
      <w:r w:rsidRPr="006A2D25">
        <w:rPr>
          <w:lang w:val="fr-BE"/>
        </w:rPr>
        <w:t>Aucune forme particulière n'est requise pour l'énoncé de cette demande.</w:t>
      </w:r>
      <w:r>
        <w:rPr>
          <w:lang w:val="fr-BE"/>
        </w:rPr>
        <w:t xml:space="preserve"> (…).</w:t>
      </w:r>
      <w:r w:rsidRPr="006A2D25">
        <w:rPr>
          <w:lang w:val="fr-BE"/>
        </w:rPr>
        <w:t xml:space="preserve">Ces deux avis médicaux, remis à l'employeur, constituent une demande d'aménagement </w:t>
      </w:r>
      <w:r>
        <w:rPr>
          <w:lang w:val="fr-BE"/>
        </w:rPr>
        <w:t xml:space="preserve">(…) </w:t>
      </w:r>
      <w:r w:rsidRPr="00791C3D">
        <w:rPr>
          <w:lang w:val="fr-BE"/>
        </w:rPr>
        <w:t xml:space="preserve">Par la communication de ces documents médicaux, monsieur </w:t>
      </w:r>
      <w:r>
        <w:rPr>
          <w:lang w:val="fr-BE"/>
        </w:rPr>
        <w:t>(…)</w:t>
      </w:r>
      <w:r w:rsidRPr="00791C3D">
        <w:rPr>
          <w:lang w:val="fr-BE"/>
        </w:rPr>
        <w:t xml:space="preserve"> a demandé, implicitement mais certainement, l'aménagement de son travail</w:t>
      </w:r>
      <w:r>
        <w:rPr>
          <w:lang w:val="fr-BE"/>
        </w:rPr>
        <w:t> ».</w:t>
      </w:r>
    </w:p>
  </w:footnote>
  <w:footnote w:id="2">
    <w:p w14:paraId="4AC20562" w14:textId="77777777" w:rsidR="00453518" w:rsidRDefault="00453518" w:rsidP="00453518">
      <w:pPr>
        <w:pStyle w:val="a8"/>
        <w:ind w:firstLine="0"/>
        <w:rPr>
          <w:lang w:val="fr-BE"/>
        </w:rPr>
      </w:pPr>
      <w:r>
        <w:rPr>
          <w:rStyle w:val="aa"/>
        </w:rPr>
        <w:footnoteRef/>
      </w:r>
      <w:r>
        <w:rPr>
          <w:lang w:val="fr-BE"/>
        </w:rPr>
        <w:t xml:space="preserve"> Tribunal du travail de Liège (Labourt Court of Liège), 24 September 2019, </w:t>
      </w:r>
      <w:hyperlink r:id="rId2" w:history="1">
        <w:r w:rsidRPr="002D4519">
          <w:rPr>
            <w:rStyle w:val="a7"/>
            <w:lang w:val="fr-BE"/>
          </w:rPr>
          <w:t>https://www.unia.be/files/Documenten/Rechtspraak/Tribunal_de_travail_Namur__24_septembre_2019.pdf</w:t>
        </w:r>
      </w:hyperlink>
      <w:r>
        <w:rPr>
          <w:lang w:val="fr-BE"/>
        </w:rPr>
        <w:t>,</w:t>
      </w:r>
    </w:p>
    <w:p w14:paraId="10556442" w14:textId="77777777" w:rsidR="00453518" w:rsidRPr="00997875" w:rsidRDefault="00453518" w:rsidP="00453518">
      <w:pPr>
        <w:pStyle w:val="a8"/>
        <w:ind w:firstLine="0"/>
        <w:rPr>
          <w:lang w:val="en-US"/>
        </w:rPr>
      </w:pPr>
      <w:r w:rsidRPr="00997875">
        <w:rPr>
          <w:lang w:val="fr-BE"/>
        </w:rPr>
        <w:t xml:space="preserve"> </w:t>
      </w:r>
      <w:r>
        <w:rPr>
          <w:lang w:val="fr-BE"/>
        </w:rPr>
        <w:t>« </w:t>
      </w:r>
      <w:r w:rsidRPr="004C13DE">
        <w:rPr>
          <w:lang w:val="fr-BE"/>
        </w:rPr>
        <w:t>Il n'est pas requis du travailleur en situation de handicap que la demande d'aménagement raisonnable soit formulée explicitement. Elle peut parfaitement être implicite et découler de documents transmis par le travailleur à son employeur. La charge de la preuve d'une demande d'aménagement raisonnable peut être remplie, à titre d'exemple, par la transmission de l'avis médical du médecin traitant ou du médecin du travail, ou d'un certificat médical d'un médecin spécialiste excluant, par exemple, des travaux lourds.</w:t>
      </w:r>
      <w:r>
        <w:rPr>
          <w:lang w:val="fr-BE"/>
        </w:rPr>
        <w:t xml:space="preserve">(…) </w:t>
      </w:r>
      <w:r w:rsidRPr="0036534B">
        <w:rPr>
          <w:lang w:val="fr-BE"/>
        </w:rPr>
        <w:t xml:space="preserve">En l'espèce, des demandes d'aménagements raisonnables ont clairement été formulées </w:t>
      </w:r>
      <w:r>
        <w:rPr>
          <w:lang w:val="fr-BE"/>
        </w:rPr>
        <w:t>(…)</w:t>
      </w:r>
      <w:r w:rsidRPr="0036534B">
        <w:rPr>
          <w:lang w:val="fr-BE"/>
        </w:rPr>
        <w:t>, sous la forme d'un aménagement du poste de travail et du rythme de travail</w:t>
      </w:r>
      <w:r>
        <w:rPr>
          <w:lang w:val="fr-BE"/>
        </w:rPr>
        <w:t> »</w:t>
      </w:r>
      <w:r w:rsidRPr="0036534B">
        <w:rPr>
          <w:lang w:val="fr-BE"/>
        </w:rPr>
        <w:t>.</w:t>
      </w:r>
    </w:p>
  </w:footnote>
  <w:footnote w:id="3">
    <w:p w14:paraId="36F401C8" w14:textId="77777777" w:rsidR="00453518" w:rsidRPr="00887180" w:rsidRDefault="00453518" w:rsidP="00453518">
      <w:pPr>
        <w:pStyle w:val="a8"/>
        <w:ind w:firstLine="0"/>
        <w:rPr>
          <w:lang w:val="en-US"/>
        </w:rPr>
      </w:pPr>
      <w:r>
        <w:rPr>
          <w:rStyle w:val="aa"/>
        </w:rPr>
        <w:footnoteRef/>
      </w:r>
      <w:r w:rsidRPr="00887180">
        <w:rPr>
          <w:lang w:val="en-US"/>
        </w:rPr>
        <w:t xml:space="preserve"> Conseil </w:t>
      </w:r>
      <w:proofErr w:type="spellStart"/>
      <w:r w:rsidRPr="00887180">
        <w:rPr>
          <w:lang w:val="en-US"/>
        </w:rPr>
        <w:t>d’Etat</w:t>
      </w:r>
      <w:proofErr w:type="spellEnd"/>
      <w:r w:rsidRPr="00887180">
        <w:rPr>
          <w:lang w:val="en-US"/>
        </w:rPr>
        <w:t xml:space="preserve"> (Council of S</w:t>
      </w:r>
      <w:r>
        <w:rPr>
          <w:lang w:val="en-US"/>
        </w:rPr>
        <w:t>tate)</w:t>
      </w:r>
      <w:r w:rsidRPr="00887180">
        <w:rPr>
          <w:lang w:val="en-US"/>
        </w:rPr>
        <w:t>, n°242.794, 25 October 2018</w:t>
      </w:r>
      <w:r>
        <w:rPr>
          <w:lang w:val="en-US"/>
        </w:rPr>
        <w:t xml:space="preserve">, </w:t>
      </w:r>
      <w:hyperlink r:id="rId3" w:history="1">
        <w:r w:rsidRPr="002D4519">
          <w:rPr>
            <w:rStyle w:val="a7"/>
            <w:lang w:val="en-US"/>
          </w:rPr>
          <w:t>https://www.unia.be/fr/jurisprudence-alternatives/jurisprudence/conseil-detat-25-octobre-2018</w:t>
        </w:r>
      </w:hyperlink>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92"/>
    <w:rsid w:val="000915E7"/>
    <w:rsid w:val="001D6FB5"/>
    <w:rsid w:val="002E21EC"/>
    <w:rsid w:val="0030575F"/>
    <w:rsid w:val="003436AA"/>
    <w:rsid w:val="00367892"/>
    <w:rsid w:val="00453518"/>
    <w:rsid w:val="004548A5"/>
    <w:rsid w:val="004A01A1"/>
    <w:rsid w:val="00623096"/>
    <w:rsid w:val="008C0496"/>
    <w:rsid w:val="00974281"/>
    <w:rsid w:val="00BA0ACC"/>
    <w:rsid w:val="00CB2288"/>
    <w:rsid w:val="00CE3357"/>
    <w:rsid w:val="00D65FCA"/>
    <w:rsid w:val="00DA5846"/>
    <w:rsid w:val="00DC1203"/>
    <w:rsid w:val="00DE17E3"/>
    <w:rsid w:val="00F31BFD"/>
    <w:rsid w:val="00F957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4D14A"/>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846"/>
    <w:pPr>
      <w:tabs>
        <w:tab w:val="center" w:pos="4252"/>
        <w:tab w:val="right" w:pos="8504"/>
      </w:tabs>
      <w:snapToGrid w:val="0"/>
    </w:pPr>
  </w:style>
  <w:style w:type="character" w:customStyle="1" w:styleId="a4">
    <w:name w:val="ヘッダー (文字)"/>
    <w:basedOn w:val="a0"/>
    <w:link w:val="a3"/>
    <w:uiPriority w:val="99"/>
    <w:rsid w:val="00DA5846"/>
  </w:style>
  <w:style w:type="paragraph" w:styleId="a5">
    <w:name w:val="footer"/>
    <w:basedOn w:val="a"/>
    <w:link w:val="a6"/>
    <w:uiPriority w:val="99"/>
    <w:unhideWhenUsed/>
    <w:rsid w:val="00DA5846"/>
    <w:pPr>
      <w:tabs>
        <w:tab w:val="center" w:pos="4252"/>
        <w:tab w:val="right" w:pos="8504"/>
      </w:tabs>
      <w:snapToGrid w:val="0"/>
    </w:pPr>
  </w:style>
  <w:style w:type="character" w:customStyle="1" w:styleId="a6">
    <w:name w:val="フッター (文字)"/>
    <w:basedOn w:val="a0"/>
    <w:link w:val="a5"/>
    <w:uiPriority w:val="99"/>
    <w:rsid w:val="00DA5846"/>
  </w:style>
  <w:style w:type="character" w:styleId="a7">
    <w:name w:val="Hyperlink"/>
    <w:basedOn w:val="a0"/>
    <w:uiPriority w:val="99"/>
    <w:unhideWhenUsed/>
    <w:rsid w:val="00453518"/>
    <w:rPr>
      <w:color w:val="0000FF"/>
      <w:u w:val="single"/>
    </w:rPr>
  </w:style>
  <w:style w:type="paragraph" w:styleId="a8">
    <w:name w:val="footnote text"/>
    <w:aliases w:val="5_G,footnotes,Footnote Text Char2 Char,Footnote Text Char Char1 Char,Footnote Text Char2 Char Char Char,Footnote Text Char1 Char Char Char Char,Footnote Text Char Char Char Char Char Char,Fußnotentext RAXEN,fn"/>
    <w:basedOn w:val="a"/>
    <w:link w:val="a9"/>
    <w:uiPriority w:val="99"/>
    <w:unhideWhenUsed/>
    <w:qFormat/>
    <w:rsid w:val="00453518"/>
    <w:pPr>
      <w:widowControl/>
      <w:ind w:firstLine="360"/>
      <w:jc w:val="left"/>
    </w:pPr>
    <w:rPr>
      <w:rFonts w:ascii="Calibri" w:eastAsia="Times New Roman" w:hAnsi="Calibri" w:cs="Times New Roman"/>
      <w:kern w:val="0"/>
      <w:sz w:val="20"/>
      <w:szCs w:val="20"/>
      <w:lang w:val="nl-NL" w:eastAsia="nl-NL"/>
    </w:rPr>
  </w:style>
  <w:style w:type="character" w:customStyle="1" w:styleId="a9">
    <w:name w:val="脚注文字列 (文字)"/>
    <w:aliases w:val="5_G (文字),footnotes (文字),Footnote Text Char2 Char (文字),Footnote Text Char Char1 Char (文字),Footnote Text Char2 Char Char Char (文字),Footnote Text Char1 Char Char Char Char (文字),Footnote Text Char Char Char Char Char Char (文字),fn (文字)"/>
    <w:basedOn w:val="a0"/>
    <w:link w:val="a8"/>
    <w:uiPriority w:val="99"/>
    <w:qFormat/>
    <w:rsid w:val="00453518"/>
    <w:rPr>
      <w:rFonts w:ascii="Calibri" w:eastAsia="Times New Roman" w:hAnsi="Calibri" w:cs="Times New Roman"/>
      <w:kern w:val="0"/>
      <w:sz w:val="20"/>
      <w:szCs w:val="20"/>
      <w:lang w:val="nl-NL" w:eastAsia="nl-NL"/>
    </w:rPr>
  </w:style>
  <w:style w:type="character" w:styleId="aa">
    <w:name w:val="footnote reference"/>
    <w:aliases w:val="Footnote reference number,Footnote symbol,note TES,Appel note de bas de,note TESI,SUPERS,EN Footnote Reference,stylish,BVI fnr,Footnote1,Times 10 Point,Exposant 3 Point,Ref,de nota al pie,number,-E Fu§notenzeichen,Footnote n,Foo"/>
    <w:basedOn w:val="a0"/>
    <w:uiPriority w:val="99"/>
    <w:unhideWhenUsed/>
    <w:qFormat/>
    <w:rsid w:val="00453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ia.be/fr/jurisprudence-alternatives/jurisprudence/conseil-detat-25-octobre-2018" TargetMode="External"/><Relationship Id="rId2" Type="http://schemas.openxmlformats.org/officeDocument/2006/relationships/hyperlink" Target="https://www.unia.be/files/Documenten/Rechtspraak/Tribunal_de_travail_Namur__24_septembre_2019.pdf" TargetMode="External"/><Relationship Id="rId1" Type="http://schemas.openxmlformats.org/officeDocument/2006/relationships/hyperlink" Target="https://www.unia.be/files/Documenten/Rechtspraak/2017_10_23_C._Trav._Bruxelle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2022-01-04T05:58:00Z</cp:lastPrinted>
  <dcterms:created xsi:type="dcterms:W3CDTF">2022-05-07T14:14:00Z</dcterms:created>
  <dcterms:modified xsi:type="dcterms:W3CDTF">2022-05-07T14:14:00Z</dcterms:modified>
</cp:coreProperties>
</file>