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5D52E" w14:textId="6FC3DE23" w:rsidR="00575521" w:rsidRPr="0014767E" w:rsidRDefault="00575521" w:rsidP="00575521">
      <w:pPr>
        <w:rPr>
          <w:rFonts w:ascii="ＭＳ ゴシック" w:eastAsia="ＭＳ ゴシック" w:hAnsi="ＭＳ ゴシック"/>
          <w:bdr w:val="single" w:sz="4" w:space="0" w:color="auto"/>
        </w:rPr>
      </w:pPr>
      <w:bookmarkStart w:id="0" w:name="_Hlk102733159"/>
      <w:r w:rsidRPr="0014767E">
        <w:rPr>
          <w:rFonts w:ascii="ＭＳ ゴシック" w:eastAsia="ＭＳ ゴシック" w:hAnsi="ＭＳ ゴシック"/>
          <w:bdr w:val="single" w:sz="4" w:space="0" w:color="auto"/>
        </w:rPr>
        <w:t>CRPD第27条・一般的意見案への</w:t>
      </w:r>
      <w:r w:rsidRPr="0014767E">
        <w:rPr>
          <w:rFonts w:ascii="ＭＳ ゴシック" w:eastAsia="ＭＳ ゴシック" w:hAnsi="ＭＳ ゴシック" w:hint="eastAsia"/>
          <w:bdr w:val="single" w:sz="4" w:space="0" w:color="auto"/>
        </w:rPr>
        <w:t>コメント</w:t>
      </w:r>
      <w:r w:rsidRPr="0014767E">
        <w:rPr>
          <w:rFonts w:ascii="ＭＳ ゴシック" w:eastAsia="ＭＳ ゴシック" w:hAnsi="ＭＳ ゴシック"/>
          <w:bdr w:val="single" w:sz="4" w:space="0" w:color="auto"/>
        </w:rPr>
        <w:t>（2021年12月）</w:t>
      </w:r>
      <w:r w:rsidRPr="0014767E">
        <w:rPr>
          <w:rFonts w:ascii="ＭＳ ゴシック" w:eastAsia="ＭＳ ゴシック" w:hAnsi="ＭＳ ゴシック" w:hint="eastAsia"/>
          <w:bdr w:val="single" w:sz="4" w:space="0" w:color="auto"/>
        </w:rPr>
        <w:t>No.</w:t>
      </w:r>
      <w:r>
        <w:rPr>
          <w:rFonts w:ascii="ＭＳ ゴシック" w:eastAsia="ＭＳ ゴシック" w:hAnsi="ＭＳ ゴシック" w:hint="eastAsia"/>
          <w:bdr w:val="single" w:sz="4" w:space="0" w:color="auto"/>
        </w:rPr>
        <w:t>５５</w:t>
      </w:r>
    </w:p>
    <w:bookmarkEnd w:id="0"/>
    <w:p w14:paraId="51D6FD72" w14:textId="77777777" w:rsidR="00575521" w:rsidRPr="00575521" w:rsidRDefault="00575521">
      <w:pPr>
        <w:rPr>
          <w:rFonts w:ascii="ＭＳ Ｐゴシック" w:eastAsia="ＭＳ Ｐゴシック" w:hAnsi="ＭＳ Ｐゴシック"/>
          <w:b/>
          <w:bCs/>
          <w:sz w:val="24"/>
          <w:szCs w:val="24"/>
        </w:rPr>
      </w:pPr>
    </w:p>
    <w:p w14:paraId="33F08FD0" w14:textId="538FE1D1" w:rsidR="000C65B5" w:rsidRPr="000C65B5" w:rsidRDefault="000C65B5">
      <w:pPr>
        <w:rPr>
          <w:rFonts w:ascii="ＭＳ Ｐゴシック" w:eastAsia="ＭＳ Ｐゴシック" w:hAnsi="ＭＳ Ｐゴシック"/>
          <w:b/>
          <w:bCs/>
          <w:sz w:val="24"/>
          <w:szCs w:val="24"/>
        </w:rPr>
      </w:pPr>
      <w:r w:rsidRPr="000C65B5">
        <w:rPr>
          <w:rFonts w:ascii="ＭＳ Ｐゴシック" w:eastAsia="ＭＳ Ｐゴシック" w:hAnsi="ＭＳ Ｐゴシック" w:hint="eastAsia"/>
          <w:b/>
          <w:bCs/>
          <w:sz w:val="24"/>
          <w:szCs w:val="24"/>
        </w:rPr>
        <w:t>サウジアラビア王国　覚書</w:t>
      </w:r>
    </w:p>
    <w:p w14:paraId="6382C13D" w14:textId="300E6976" w:rsidR="00CE3357" w:rsidRDefault="00A144A4">
      <w:r w:rsidRPr="00A144A4">
        <w:t>Kingdom of Saudi Arabia</w:t>
      </w:r>
    </w:p>
    <w:p w14:paraId="681B35C2" w14:textId="32D79EA2" w:rsidR="000C65B5" w:rsidRDefault="000C65B5" w:rsidP="000C65B5">
      <w:r>
        <w:t>Memorandum</w:t>
      </w:r>
    </w:p>
    <w:p w14:paraId="14ED7709" w14:textId="52BCE59B" w:rsidR="005027FB" w:rsidRDefault="005027FB" w:rsidP="000C65B5">
      <w:r w:rsidRPr="005027FB">
        <w:t>The Authority for the Care of People with Disabilities (APD)</w:t>
      </w:r>
    </w:p>
    <w:p w14:paraId="76EA466A" w14:textId="1AD52EAE" w:rsidR="000C65B5" w:rsidRDefault="000C65B5" w:rsidP="000C65B5">
      <w:pPr>
        <w:jc w:val="right"/>
      </w:pPr>
      <w:r>
        <w:rPr>
          <w:rFonts w:hint="eastAsia"/>
        </w:rPr>
        <w:t>（JD仮訳）</w:t>
      </w:r>
    </w:p>
    <w:p w14:paraId="6172BA4E" w14:textId="5306668A" w:rsidR="000C65B5" w:rsidRDefault="000C65B5" w:rsidP="000C65B5">
      <w:r>
        <w:rPr>
          <w:rFonts w:hint="eastAsia"/>
        </w:rPr>
        <w:t>障害者ケア当局（APD</w:t>
      </w:r>
      <w:r>
        <w:t>）</w:t>
      </w:r>
      <w:r>
        <w:rPr>
          <w:rFonts w:hint="eastAsia"/>
        </w:rPr>
        <w:t>より</w:t>
      </w:r>
    </w:p>
    <w:p w14:paraId="6D9FD5F1" w14:textId="27DF6069" w:rsidR="002248BC" w:rsidRDefault="002248BC"/>
    <w:tbl>
      <w:tblPr>
        <w:tblStyle w:val="a7"/>
        <w:tblW w:w="8930" w:type="dxa"/>
        <w:tblInd w:w="137" w:type="dxa"/>
        <w:tblLayout w:type="fixed"/>
        <w:tblLook w:val="04A0" w:firstRow="1" w:lastRow="0" w:firstColumn="1" w:lastColumn="0" w:noHBand="0" w:noVBand="1"/>
      </w:tblPr>
      <w:tblGrid>
        <w:gridCol w:w="321"/>
        <w:gridCol w:w="2798"/>
        <w:gridCol w:w="567"/>
        <w:gridCol w:w="2835"/>
        <w:gridCol w:w="2409"/>
      </w:tblGrid>
      <w:tr w:rsidR="005027FB" w:rsidRPr="002248BC" w14:paraId="0C62D0B9" w14:textId="77777777" w:rsidTr="005027FB">
        <w:tc>
          <w:tcPr>
            <w:tcW w:w="321" w:type="dxa"/>
          </w:tcPr>
          <w:p w14:paraId="0981397B" w14:textId="77777777" w:rsidR="002248BC" w:rsidRPr="002248BC" w:rsidRDefault="002248BC" w:rsidP="00085D47">
            <w:pPr>
              <w:jc w:val="center"/>
              <w:rPr>
                <w:rFonts w:asciiTheme="majorBidi" w:hAnsiTheme="majorBidi" w:cstheme="majorBidi"/>
                <w:b/>
                <w:bCs/>
                <w:sz w:val="21"/>
                <w:szCs w:val="21"/>
              </w:rPr>
            </w:pPr>
            <w:r w:rsidRPr="002248BC">
              <w:rPr>
                <w:rFonts w:asciiTheme="majorBidi" w:hAnsiTheme="majorBidi" w:cstheme="majorBidi"/>
                <w:b/>
                <w:bCs/>
                <w:sz w:val="21"/>
                <w:szCs w:val="21"/>
              </w:rPr>
              <w:t>#</w:t>
            </w:r>
          </w:p>
        </w:tc>
        <w:tc>
          <w:tcPr>
            <w:tcW w:w="2798" w:type="dxa"/>
          </w:tcPr>
          <w:p w14:paraId="3D86EBC4" w14:textId="0DFC506D" w:rsidR="002248BC" w:rsidRPr="002248BC" w:rsidRDefault="000C65B5" w:rsidP="00085D47">
            <w:pPr>
              <w:jc w:val="center"/>
              <w:rPr>
                <w:rFonts w:asciiTheme="majorBidi" w:hAnsiTheme="majorBidi" w:cstheme="majorBidi"/>
                <w:b/>
                <w:bCs/>
                <w:sz w:val="21"/>
                <w:szCs w:val="21"/>
              </w:rPr>
            </w:pPr>
            <w:r>
              <w:rPr>
                <w:rFonts w:asciiTheme="majorBidi" w:hAnsiTheme="majorBidi" w:cstheme="majorBidi" w:hint="eastAsia"/>
                <w:b/>
                <w:bCs/>
                <w:sz w:val="21"/>
                <w:szCs w:val="21"/>
                <w:lang w:eastAsia="ja-JP"/>
              </w:rPr>
              <w:t>案の文章</w:t>
            </w:r>
          </w:p>
        </w:tc>
        <w:tc>
          <w:tcPr>
            <w:tcW w:w="567" w:type="dxa"/>
          </w:tcPr>
          <w:p w14:paraId="7C0F8E00" w14:textId="0526514A" w:rsidR="002248BC" w:rsidRPr="003E7D56" w:rsidRDefault="005027FB" w:rsidP="00085D47">
            <w:pPr>
              <w:jc w:val="center"/>
              <w:rPr>
                <w:rFonts w:asciiTheme="majorBidi" w:hAnsiTheme="majorBidi" w:cstheme="majorBidi"/>
                <w:b/>
                <w:bCs/>
                <w:sz w:val="18"/>
                <w:szCs w:val="18"/>
              </w:rPr>
            </w:pPr>
            <w:r>
              <w:rPr>
                <w:rFonts w:asciiTheme="majorBidi" w:hAnsiTheme="majorBidi" w:cstheme="majorBidi" w:hint="eastAsia"/>
                <w:b/>
                <w:bCs/>
                <w:sz w:val="18"/>
                <w:szCs w:val="18"/>
                <w:lang w:eastAsia="ja-JP"/>
              </w:rPr>
              <w:t>項</w:t>
            </w:r>
          </w:p>
        </w:tc>
        <w:tc>
          <w:tcPr>
            <w:tcW w:w="2835" w:type="dxa"/>
          </w:tcPr>
          <w:p w14:paraId="7BC780FF" w14:textId="37F0FC1A" w:rsidR="002248BC" w:rsidRPr="002248BC" w:rsidRDefault="002248BC" w:rsidP="00085D47">
            <w:pPr>
              <w:jc w:val="center"/>
              <w:rPr>
                <w:rFonts w:asciiTheme="majorBidi" w:hAnsiTheme="majorBidi" w:cstheme="majorBidi"/>
                <w:b/>
                <w:bCs/>
                <w:sz w:val="21"/>
                <w:szCs w:val="21"/>
              </w:rPr>
            </w:pPr>
            <w:r w:rsidRPr="002248BC">
              <w:rPr>
                <w:rFonts w:asciiTheme="majorBidi" w:hAnsiTheme="majorBidi" w:cstheme="majorBidi"/>
                <w:b/>
                <w:bCs/>
                <w:sz w:val="21"/>
                <w:szCs w:val="21"/>
              </w:rPr>
              <w:t>APD</w:t>
            </w:r>
            <w:r w:rsidR="009E7E98">
              <w:rPr>
                <w:rFonts w:asciiTheme="majorBidi" w:hAnsiTheme="majorBidi" w:cstheme="majorBidi" w:hint="eastAsia"/>
                <w:b/>
                <w:bCs/>
                <w:sz w:val="21"/>
                <w:szCs w:val="21"/>
                <w:lang w:eastAsia="ja-JP"/>
              </w:rPr>
              <w:t>の意見</w:t>
            </w:r>
          </w:p>
        </w:tc>
        <w:tc>
          <w:tcPr>
            <w:tcW w:w="2409" w:type="dxa"/>
          </w:tcPr>
          <w:p w14:paraId="2FAC9F2A" w14:textId="38DDF3B2" w:rsidR="002248BC" w:rsidRPr="002248BC" w:rsidRDefault="009E7E98" w:rsidP="00085D47">
            <w:pPr>
              <w:jc w:val="center"/>
              <w:rPr>
                <w:rFonts w:asciiTheme="majorBidi" w:hAnsiTheme="majorBidi" w:cstheme="majorBidi"/>
                <w:b/>
                <w:bCs/>
                <w:sz w:val="21"/>
                <w:szCs w:val="21"/>
              </w:rPr>
            </w:pPr>
            <w:r>
              <w:rPr>
                <w:rFonts w:asciiTheme="majorBidi" w:hAnsiTheme="majorBidi" w:cstheme="majorBidi" w:hint="eastAsia"/>
                <w:b/>
                <w:bCs/>
                <w:sz w:val="21"/>
                <w:szCs w:val="21"/>
                <w:lang w:eastAsia="ja-JP"/>
              </w:rPr>
              <w:t>修正文案</w:t>
            </w:r>
          </w:p>
        </w:tc>
      </w:tr>
      <w:tr w:rsidR="005027FB" w:rsidRPr="002248BC" w14:paraId="76122E72" w14:textId="77777777" w:rsidTr="005027FB">
        <w:tc>
          <w:tcPr>
            <w:tcW w:w="321" w:type="dxa"/>
          </w:tcPr>
          <w:p w14:paraId="45EE011A" w14:textId="77777777" w:rsidR="002248BC" w:rsidRPr="002248BC" w:rsidRDefault="002248BC" w:rsidP="00085D47">
            <w:pPr>
              <w:rPr>
                <w:rFonts w:asciiTheme="majorBidi" w:hAnsiTheme="majorBidi" w:cstheme="majorBidi"/>
                <w:sz w:val="21"/>
                <w:szCs w:val="21"/>
              </w:rPr>
            </w:pPr>
            <w:r w:rsidRPr="002248BC">
              <w:rPr>
                <w:rFonts w:asciiTheme="majorBidi" w:hAnsiTheme="majorBidi" w:cstheme="majorBidi"/>
                <w:sz w:val="21"/>
                <w:szCs w:val="21"/>
              </w:rPr>
              <w:t>1</w:t>
            </w:r>
          </w:p>
        </w:tc>
        <w:tc>
          <w:tcPr>
            <w:tcW w:w="2798" w:type="dxa"/>
          </w:tcPr>
          <w:p w14:paraId="56AD2F9D" w14:textId="171D1D8C" w:rsidR="002248BC" w:rsidRPr="002248BC" w:rsidRDefault="009E7E98" w:rsidP="00A93E24">
            <w:pPr>
              <w:rPr>
                <w:rFonts w:asciiTheme="majorBidi" w:hAnsiTheme="majorBidi" w:cstheme="majorBidi"/>
                <w:sz w:val="21"/>
                <w:szCs w:val="21"/>
                <w:lang w:eastAsia="ja-JP"/>
              </w:rPr>
            </w:pPr>
            <w:r w:rsidRPr="009E7E98">
              <w:rPr>
                <w:rFonts w:asciiTheme="majorBidi" w:hAnsiTheme="majorBidi" w:cstheme="majorBidi" w:hint="eastAsia"/>
                <w:sz w:val="21"/>
                <w:szCs w:val="21"/>
                <w:lang w:eastAsia="ja-JP"/>
              </w:rPr>
              <w:t>例えば、面接のために公共の建物に入る方法が階段しかない場合、車椅子を使用する候補者は建物に入ることができないため、不平等な立場に置かれる</w:t>
            </w:r>
            <w:r w:rsidRPr="009E7E98">
              <w:rPr>
                <w:rFonts w:asciiTheme="majorBidi" w:hAnsiTheme="majorBidi" w:cstheme="majorBidi"/>
                <w:sz w:val="21"/>
                <w:szCs w:val="21"/>
                <w:lang w:eastAsia="ja-JP"/>
              </w:rPr>
              <w:t>。</w:t>
            </w:r>
            <w:r w:rsidR="002248BC" w:rsidRPr="002248BC">
              <w:rPr>
                <w:rFonts w:asciiTheme="majorBidi" w:hAnsiTheme="majorBidi" w:cstheme="majorBidi"/>
                <w:sz w:val="21"/>
                <w:szCs w:val="21"/>
                <w:lang w:eastAsia="ja-JP"/>
              </w:rPr>
              <w:t xml:space="preserve"> </w:t>
            </w:r>
          </w:p>
        </w:tc>
        <w:tc>
          <w:tcPr>
            <w:tcW w:w="567" w:type="dxa"/>
          </w:tcPr>
          <w:p w14:paraId="4D088CD3" w14:textId="77777777" w:rsidR="002248BC" w:rsidRPr="002248BC" w:rsidRDefault="002248BC" w:rsidP="00085D47">
            <w:pPr>
              <w:jc w:val="center"/>
              <w:rPr>
                <w:rFonts w:asciiTheme="majorBidi" w:hAnsiTheme="majorBidi" w:cstheme="majorBidi"/>
                <w:sz w:val="21"/>
                <w:szCs w:val="21"/>
              </w:rPr>
            </w:pPr>
            <w:r w:rsidRPr="002248BC">
              <w:rPr>
                <w:rFonts w:asciiTheme="majorBidi" w:hAnsiTheme="majorBidi" w:cstheme="majorBidi"/>
                <w:sz w:val="21"/>
                <w:szCs w:val="21"/>
              </w:rPr>
              <w:t>21</w:t>
            </w:r>
          </w:p>
        </w:tc>
        <w:tc>
          <w:tcPr>
            <w:tcW w:w="2835" w:type="dxa"/>
          </w:tcPr>
          <w:p w14:paraId="54BBA557" w14:textId="4D577E02" w:rsidR="002248BC" w:rsidRPr="002248BC" w:rsidRDefault="006B10B9" w:rsidP="00085D47">
            <w:pPr>
              <w:rPr>
                <w:rFonts w:asciiTheme="majorBidi" w:hAnsiTheme="majorBidi" w:cstheme="majorBidi"/>
                <w:sz w:val="21"/>
                <w:szCs w:val="21"/>
              </w:rPr>
            </w:pPr>
            <w:r w:rsidRPr="006B10B9">
              <w:rPr>
                <w:rFonts w:asciiTheme="majorBidi" w:hAnsiTheme="majorBidi" w:cstheme="majorBidi" w:hint="eastAsia"/>
                <w:sz w:val="21"/>
                <w:szCs w:val="21"/>
                <w:lang w:eastAsia="ja-JP"/>
              </w:rPr>
              <w:t>差別的行為には、異なる影響と、異なる待遇の</w:t>
            </w:r>
            <w:r w:rsidRPr="006B10B9">
              <w:rPr>
                <w:rFonts w:asciiTheme="majorBidi" w:hAnsiTheme="majorBidi" w:cstheme="majorBidi"/>
                <w:sz w:val="21"/>
                <w:szCs w:val="21"/>
                <w:lang w:eastAsia="ja-JP"/>
              </w:rPr>
              <w:t>2</w:t>
            </w:r>
            <w:r w:rsidRPr="006B10B9">
              <w:rPr>
                <w:rFonts w:asciiTheme="majorBidi" w:hAnsiTheme="majorBidi" w:cstheme="majorBidi"/>
                <w:sz w:val="21"/>
                <w:szCs w:val="21"/>
                <w:lang w:eastAsia="ja-JP"/>
              </w:rPr>
              <w:t>つの形態がある。間接的差別の方法について提供された例は、異なる影響（意図的でない差別）がどのように描かれるかを十分に反映していない。</w:t>
            </w:r>
            <w:r w:rsidRPr="006B10B9">
              <w:rPr>
                <w:rFonts w:asciiTheme="majorBidi" w:hAnsiTheme="majorBidi" w:cstheme="majorBidi"/>
                <w:sz w:val="21"/>
                <w:szCs w:val="21"/>
              </w:rPr>
              <w:t>従って別の例を用いるべきである。</w:t>
            </w:r>
          </w:p>
        </w:tc>
        <w:tc>
          <w:tcPr>
            <w:tcW w:w="2409" w:type="dxa"/>
          </w:tcPr>
          <w:p w14:paraId="3DC2D27F" w14:textId="23B76F16" w:rsidR="002248BC" w:rsidRPr="002248BC" w:rsidRDefault="00512C1F" w:rsidP="00085D47">
            <w:pPr>
              <w:rPr>
                <w:rFonts w:asciiTheme="majorBidi" w:hAnsiTheme="majorBidi" w:cstheme="majorBidi"/>
                <w:sz w:val="21"/>
                <w:szCs w:val="21"/>
                <w:lang w:eastAsia="ja-JP"/>
              </w:rPr>
            </w:pPr>
            <w:r w:rsidRPr="00512C1F">
              <w:rPr>
                <w:rFonts w:asciiTheme="majorBidi" w:hAnsiTheme="majorBidi" w:cstheme="majorBidi" w:hint="eastAsia"/>
                <w:sz w:val="21"/>
                <w:szCs w:val="21"/>
                <w:lang w:eastAsia="ja-JP"/>
              </w:rPr>
              <w:t>例えば、ある仕事に応募する際に、職務の本質的な側面ではない特定の特性を持つことを障害のある人が要求される場合、これはその候補者をその仕事を求める競争で不平等な立場に置くことになる。</w:t>
            </w:r>
          </w:p>
        </w:tc>
      </w:tr>
      <w:tr w:rsidR="005027FB" w:rsidRPr="002248BC" w14:paraId="216B7C49" w14:textId="77777777" w:rsidTr="005027FB">
        <w:tc>
          <w:tcPr>
            <w:tcW w:w="321" w:type="dxa"/>
          </w:tcPr>
          <w:p w14:paraId="328CC33A" w14:textId="77777777" w:rsidR="002248BC" w:rsidRPr="002248BC" w:rsidRDefault="002248BC" w:rsidP="00085D47">
            <w:pPr>
              <w:rPr>
                <w:rFonts w:asciiTheme="majorBidi" w:hAnsiTheme="majorBidi" w:cstheme="majorBidi"/>
                <w:sz w:val="21"/>
                <w:szCs w:val="21"/>
              </w:rPr>
            </w:pPr>
            <w:r w:rsidRPr="002248BC">
              <w:rPr>
                <w:rFonts w:asciiTheme="majorBidi" w:hAnsiTheme="majorBidi" w:cstheme="majorBidi"/>
                <w:sz w:val="21"/>
                <w:szCs w:val="21"/>
              </w:rPr>
              <w:t>2</w:t>
            </w:r>
          </w:p>
        </w:tc>
        <w:tc>
          <w:tcPr>
            <w:tcW w:w="2798" w:type="dxa"/>
          </w:tcPr>
          <w:p w14:paraId="3ACA9E0C" w14:textId="13B48FF0" w:rsidR="002248BC" w:rsidRPr="002248BC" w:rsidRDefault="00A93E24" w:rsidP="00085D47">
            <w:pPr>
              <w:rPr>
                <w:rFonts w:asciiTheme="majorBidi" w:hAnsiTheme="majorBidi" w:cstheme="majorBidi"/>
                <w:sz w:val="21"/>
                <w:szCs w:val="21"/>
                <w:lang w:eastAsia="ja-JP"/>
              </w:rPr>
            </w:pPr>
            <w:r w:rsidRPr="00A93E24">
              <w:rPr>
                <w:rFonts w:asciiTheme="majorBidi" w:hAnsiTheme="majorBidi" w:cstheme="majorBidi" w:hint="eastAsia"/>
                <w:sz w:val="21"/>
                <w:szCs w:val="21"/>
                <w:lang w:eastAsia="ja-JP"/>
              </w:rPr>
              <w:t>障害以外の理由には、年齢、人種、先住民、出身国または社会的出身、難民、移民または亡命希望者の地位、政治的またはその他の意見、宗教、性別、性的指向および性自認が含まれる。</w:t>
            </w:r>
          </w:p>
        </w:tc>
        <w:tc>
          <w:tcPr>
            <w:tcW w:w="567" w:type="dxa"/>
          </w:tcPr>
          <w:p w14:paraId="0A1DF8DF" w14:textId="77777777" w:rsidR="002248BC" w:rsidRPr="002248BC" w:rsidRDefault="002248BC" w:rsidP="00085D47">
            <w:pPr>
              <w:jc w:val="center"/>
              <w:rPr>
                <w:rFonts w:asciiTheme="majorBidi" w:hAnsiTheme="majorBidi" w:cstheme="majorBidi"/>
                <w:sz w:val="21"/>
                <w:szCs w:val="21"/>
              </w:rPr>
            </w:pPr>
            <w:r w:rsidRPr="002248BC">
              <w:rPr>
                <w:rFonts w:asciiTheme="majorBidi" w:hAnsiTheme="majorBidi" w:cstheme="majorBidi"/>
                <w:sz w:val="21"/>
                <w:szCs w:val="21"/>
              </w:rPr>
              <w:t>24</w:t>
            </w:r>
          </w:p>
        </w:tc>
        <w:tc>
          <w:tcPr>
            <w:tcW w:w="2835" w:type="dxa"/>
          </w:tcPr>
          <w:p w14:paraId="3AE13391" w14:textId="398B54A6" w:rsidR="002248BC" w:rsidRPr="002248BC" w:rsidRDefault="006A770E" w:rsidP="00085D47">
            <w:pPr>
              <w:rPr>
                <w:rFonts w:asciiTheme="majorBidi" w:hAnsiTheme="majorBidi" w:cstheme="majorBidi"/>
                <w:sz w:val="21"/>
                <w:szCs w:val="21"/>
                <w:lang w:eastAsia="ja-JP"/>
              </w:rPr>
            </w:pPr>
            <w:r w:rsidRPr="006A770E">
              <w:rPr>
                <w:rFonts w:asciiTheme="majorBidi" w:hAnsiTheme="majorBidi" w:cstheme="majorBidi" w:hint="eastAsia"/>
                <w:sz w:val="21"/>
                <w:szCs w:val="21"/>
                <w:lang w:eastAsia="ja-JP"/>
              </w:rPr>
              <w:t>そうであってもなお、締約国の他の条約を認めなければならない。従って、提案文を追加すべきである。</w:t>
            </w:r>
          </w:p>
        </w:tc>
        <w:tc>
          <w:tcPr>
            <w:tcW w:w="2409" w:type="dxa"/>
          </w:tcPr>
          <w:p w14:paraId="6C841020" w14:textId="677A4880" w:rsidR="002248BC" w:rsidRPr="002248BC" w:rsidRDefault="005F65D7" w:rsidP="00085D47">
            <w:pPr>
              <w:rPr>
                <w:rFonts w:asciiTheme="majorBidi" w:hAnsiTheme="majorBidi" w:cstheme="majorBidi"/>
                <w:sz w:val="21"/>
                <w:szCs w:val="21"/>
                <w:lang w:eastAsia="ja-JP"/>
              </w:rPr>
            </w:pPr>
            <w:r w:rsidRPr="005F65D7">
              <w:rPr>
                <w:rFonts w:asciiTheme="majorBidi" w:hAnsiTheme="majorBidi" w:cstheme="majorBidi" w:hint="eastAsia"/>
                <w:sz w:val="21"/>
                <w:szCs w:val="21"/>
                <w:lang w:eastAsia="ja-JP"/>
              </w:rPr>
              <w:t>「締約国の公共政策を損ねることなく」</w:t>
            </w:r>
          </w:p>
        </w:tc>
      </w:tr>
      <w:tr w:rsidR="005027FB" w:rsidRPr="002248BC" w14:paraId="618DD2A3" w14:textId="77777777" w:rsidTr="005027FB">
        <w:tc>
          <w:tcPr>
            <w:tcW w:w="321" w:type="dxa"/>
          </w:tcPr>
          <w:p w14:paraId="338BBC49" w14:textId="77777777" w:rsidR="002248BC" w:rsidRPr="002248BC" w:rsidRDefault="002248BC" w:rsidP="00085D47">
            <w:pPr>
              <w:rPr>
                <w:rFonts w:asciiTheme="majorBidi" w:hAnsiTheme="majorBidi" w:cstheme="majorBidi"/>
                <w:sz w:val="21"/>
                <w:szCs w:val="21"/>
              </w:rPr>
            </w:pPr>
            <w:r w:rsidRPr="002248BC">
              <w:rPr>
                <w:rFonts w:asciiTheme="majorBidi" w:hAnsiTheme="majorBidi" w:cstheme="majorBidi"/>
                <w:sz w:val="21"/>
                <w:szCs w:val="21"/>
              </w:rPr>
              <w:t>3</w:t>
            </w:r>
          </w:p>
        </w:tc>
        <w:tc>
          <w:tcPr>
            <w:tcW w:w="2798" w:type="dxa"/>
          </w:tcPr>
          <w:p w14:paraId="12C3061A" w14:textId="0FB3B594" w:rsidR="002248BC" w:rsidRPr="002248BC" w:rsidRDefault="00A93E24" w:rsidP="00085D47">
            <w:pPr>
              <w:rPr>
                <w:rFonts w:asciiTheme="majorBidi" w:hAnsiTheme="majorBidi" w:cstheme="majorBidi"/>
                <w:sz w:val="21"/>
                <w:szCs w:val="21"/>
                <w:lang w:eastAsia="ja-JP"/>
              </w:rPr>
            </w:pPr>
            <w:r w:rsidRPr="00A93E24">
              <w:rPr>
                <w:rFonts w:asciiTheme="majorBidi" w:hAnsiTheme="majorBidi" w:cstheme="majorBidi" w:hint="eastAsia"/>
                <w:sz w:val="21"/>
                <w:szCs w:val="21"/>
                <w:lang w:eastAsia="ja-JP"/>
              </w:rPr>
              <w:t>障害のある人が最低賃金を下回ることなく、また、職に就いても障害手当の給付を失わないこと。</w:t>
            </w:r>
          </w:p>
        </w:tc>
        <w:tc>
          <w:tcPr>
            <w:tcW w:w="567" w:type="dxa"/>
          </w:tcPr>
          <w:p w14:paraId="5ECDD528" w14:textId="77777777" w:rsidR="002248BC" w:rsidRPr="002248BC" w:rsidRDefault="002248BC" w:rsidP="00085D47">
            <w:pPr>
              <w:jc w:val="center"/>
              <w:rPr>
                <w:rFonts w:asciiTheme="majorBidi" w:hAnsiTheme="majorBidi" w:cstheme="majorBidi"/>
                <w:sz w:val="21"/>
                <w:szCs w:val="21"/>
              </w:rPr>
            </w:pPr>
            <w:r w:rsidRPr="002248BC">
              <w:rPr>
                <w:rFonts w:asciiTheme="majorBidi" w:hAnsiTheme="majorBidi" w:cstheme="majorBidi"/>
                <w:sz w:val="21"/>
                <w:szCs w:val="21"/>
              </w:rPr>
              <w:t>72</w:t>
            </w:r>
          </w:p>
          <w:p w14:paraId="197744D6" w14:textId="77777777" w:rsidR="002248BC" w:rsidRPr="002248BC" w:rsidRDefault="002248BC" w:rsidP="00085D47">
            <w:pPr>
              <w:jc w:val="center"/>
              <w:rPr>
                <w:rFonts w:asciiTheme="majorBidi" w:hAnsiTheme="majorBidi" w:cstheme="majorBidi"/>
                <w:sz w:val="21"/>
                <w:szCs w:val="21"/>
              </w:rPr>
            </w:pPr>
          </w:p>
          <w:p w14:paraId="0F988F66" w14:textId="77777777" w:rsidR="002248BC" w:rsidRPr="002248BC" w:rsidRDefault="002248BC" w:rsidP="00085D47">
            <w:pPr>
              <w:jc w:val="center"/>
              <w:rPr>
                <w:rFonts w:asciiTheme="majorBidi" w:hAnsiTheme="majorBidi" w:cstheme="majorBidi"/>
                <w:sz w:val="21"/>
                <w:szCs w:val="21"/>
              </w:rPr>
            </w:pPr>
            <w:r w:rsidRPr="002248BC">
              <w:rPr>
                <w:rFonts w:asciiTheme="majorBidi" w:hAnsiTheme="majorBidi" w:cstheme="majorBidi"/>
                <w:sz w:val="21"/>
                <w:szCs w:val="21"/>
              </w:rPr>
              <w:t>(d) (</w:t>
            </w:r>
            <w:proofErr w:type="spellStart"/>
            <w:r w:rsidRPr="002248BC">
              <w:rPr>
                <w:rFonts w:asciiTheme="majorBidi" w:hAnsiTheme="majorBidi" w:cstheme="majorBidi"/>
                <w:sz w:val="21"/>
                <w:szCs w:val="21"/>
              </w:rPr>
              <w:t>i</w:t>
            </w:r>
            <w:proofErr w:type="spellEnd"/>
            <w:r w:rsidRPr="002248BC">
              <w:rPr>
                <w:rFonts w:asciiTheme="majorBidi" w:hAnsiTheme="majorBidi" w:cstheme="majorBidi"/>
                <w:sz w:val="21"/>
                <w:szCs w:val="21"/>
              </w:rPr>
              <w:t>)</w:t>
            </w:r>
          </w:p>
        </w:tc>
        <w:tc>
          <w:tcPr>
            <w:tcW w:w="2835" w:type="dxa"/>
          </w:tcPr>
          <w:p w14:paraId="74CD185F" w14:textId="77777777" w:rsidR="002248BC" w:rsidRDefault="00BB5F79" w:rsidP="00085D47">
            <w:pPr>
              <w:rPr>
                <w:rFonts w:asciiTheme="majorBidi" w:hAnsiTheme="majorBidi" w:cstheme="majorBidi"/>
                <w:sz w:val="21"/>
                <w:szCs w:val="21"/>
                <w:lang w:eastAsia="ja-JP"/>
              </w:rPr>
            </w:pPr>
            <w:r w:rsidRPr="00BB5F79">
              <w:rPr>
                <w:rFonts w:asciiTheme="majorBidi" w:hAnsiTheme="majorBidi" w:cstheme="majorBidi" w:hint="eastAsia"/>
                <w:sz w:val="21"/>
                <w:szCs w:val="21"/>
                <w:lang w:eastAsia="ja-JP"/>
              </w:rPr>
              <w:t>この目的については、さらに説明が必要である。障害のある人に与えられている給付のいくつかは、彼らの経済的状況によるものであり、したがって、障害のない人と比較して同額を支払うディーセントな仕事を持つことに伴い、障害手当のその給付は、必要としている人に行くべきである。</w:t>
            </w:r>
          </w:p>
          <w:p w14:paraId="303C817B" w14:textId="20158647" w:rsidR="006C5859" w:rsidRPr="002248BC" w:rsidRDefault="006C5859" w:rsidP="00085D47">
            <w:pPr>
              <w:rPr>
                <w:rFonts w:asciiTheme="majorBidi" w:hAnsiTheme="majorBidi" w:cstheme="majorBidi"/>
                <w:sz w:val="21"/>
                <w:szCs w:val="21"/>
                <w:lang w:eastAsia="ja-JP"/>
              </w:rPr>
            </w:pPr>
          </w:p>
        </w:tc>
        <w:tc>
          <w:tcPr>
            <w:tcW w:w="2409" w:type="dxa"/>
          </w:tcPr>
          <w:p w14:paraId="1C4015B7" w14:textId="692B8625" w:rsidR="002248BC" w:rsidRPr="002248BC" w:rsidRDefault="005F65D7" w:rsidP="00085D47">
            <w:pPr>
              <w:rPr>
                <w:rFonts w:asciiTheme="majorBidi" w:hAnsiTheme="majorBidi" w:cstheme="majorBidi"/>
                <w:sz w:val="21"/>
                <w:szCs w:val="21"/>
                <w:lang w:eastAsia="ja-JP"/>
              </w:rPr>
            </w:pPr>
            <w:r w:rsidRPr="005F65D7">
              <w:rPr>
                <w:rFonts w:asciiTheme="majorBidi" w:hAnsiTheme="majorBidi" w:cstheme="majorBidi" w:hint="eastAsia"/>
                <w:sz w:val="21"/>
                <w:szCs w:val="21"/>
                <w:lang w:eastAsia="ja-JP"/>
              </w:rPr>
              <w:t>この目的については、さらに説明が必要である。</w:t>
            </w:r>
          </w:p>
        </w:tc>
      </w:tr>
      <w:tr w:rsidR="005027FB" w:rsidRPr="002248BC" w14:paraId="0315C61A" w14:textId="77777777" w:rsidTr="005027FB">
        <w:tc>
          <w:tcPr>
            <w:tcW w:w="321" w:type="dxa"/>
          </w:tcPr>
          <w:p w14:paraId="18D6AA28" w14:textId="77777777" w:rsidR="002248BC" w:rsidRPr="002248BC" w:rsidRDefault="002248BC" w:rsidP="00085D47">
            <w:pPr>
              <w:rPr>
                <w:rFonts w:asciiTheme="majorBidi" w:hAnsiTheme="majorBidi" w:cstheme="majorBidi"/>
                <w:sz w:val="21"/>
                <w:szCs w:val="21"/>
              </w:rPr>
            </w:pPr>
            <w:r w:rsidRPr="002248BC">
              <w:rPr>
                <w:rFonts w:asciiTheme="majorBidi" w:hAnsiTheme="majorBidi" w:cstheme="majorBidi"/>
                <w:sz w:val="21"/>
                <w:szCs w:val="21"/>
              </w:rPr>
              <w:lastRenderedPageBreak/>
              <w:t>4</w:t>
            </w:r>
          </w:p>
        </w:tc>
        <w:tc>
          <w:tcPr>
            <w:tcW w:w="2798" w:type="dxa"/>
          </w:tcPr>
          <w:p w14:paraId="0CFA583E" w14:textId="3AE69DB8" w:rsidR="002248BC" w:rsidRPr="002248BC" w:rsidRDefault="003E7D56" w:rsidP="00085D47">
            <w:pPr>
              <w:rPr>
                <w:rFonts w:asciiTheme="majorBidi" w:hAnsiTheme="majorBidi" w:cstheme="majorBidi"/>
                <w:sz w:val="21"/>
                <w:szCs w:val="21"/>
                <w:lang w:eastAsia="ja-JP"/>
              </w:rPr>
            </w:pPr>
            <w:r w:rsidRPr="003E7D56">
              <w:rPr>
                <w:rFonts w:asciiTheme="majorBidi" w:hAnsiTheme="majorBidi" w:cstheme="majorBidi" w:hint="eastAsia"/>
                <w:sz w:val="21"/>
                <w:szCs w:val="21"/>
                <w:lang w:eastAsia="ja-JP"/>
              </w:rPr>
              <w:t>移動の自由に関する第</w:t>
            </w:r>
            <w:r w:rsidRPr="003E7D56">
              <w:rPr>
                <w:rFonts w:asciiTheme="majorBidi" w:hAnsiTheme="majorBidi" w:cstheme="majorBidi"/>
                <w:sz w:val="21"/>
                <w:szCs w:val="21"/>
                <w:lang w:eastAsia="ja-JP"/>
              </w:rPr>
              <w:t>18</w:t>
            </w:r>
            <w:r w:rsidRPr="003E7D56">
              <w:rPr>
                <w:rFonts w:asciiTheme="majorBidi" w:hAnsiTheme="majorBidi" w:cstheme="majorBidi"/>
                <w:sz w:val="21"/>
                <w:szCs w:val="21"/>
                <w:lang w:eastAsia="ja-JP"/>
              </w:rPr>
              <w:t>条は、障害のある人の就労を促進するための支援は特定の地理的範囲を持つ政府機関に縛られないことを保証するなど、障害のある人の就労の権利が居住地に制限されないことを保証することを含んでいる。</w:t>
            </w:r>
            <w:r>
              <w:rPr>
                <w:rFonts w:asciiTheme="majorBidi" w:hAnsiTheme="majorBidi" w:cstheme="majorBidi" w:hint="eastAsia"/>
                <w:sz w:val="21"/>
                <w:szCs w:val="21"/>
                <w:lang w:eastAsia="ja-JP"/>
              </w:rPr>
              <w:t xml:space="preserve">　</w:t>
            </w:r>
          </w:p>
        </w:tc>
        <w:tc>
          <w:tcPr>
            <w:tcW w:w="567" w:type="dxa"/>
          </w:tcPr>
          <w:p w14:paraId="7B17F4CC" w14:textId="77777777" w:rsidR="002248BC" w:rsidRPr="002248BC" w:rsidRDefault="002248BC" w:rsidP="00085D47">
            <w:pPr>
              <w:jc w:val="center"/>
              <w:rPr>
                <w:rFonts w:asciiTheme="majorBidi" w:hAnsiTheme="majorBidi" w:cstheme="majorBidi"/>
                <w:sz w:val="21"/>
                <w:szCs w:val="21"/>
              </w:rPr>
            </w:pPr>
            <w:r w:rsidRPr="002248BC">
              <w:rPr>
                <w:rFonts w:asciiTheme="majorBidi" w:hAnsiTheme="majorBidi" w:cstheme="majorBidi"/>
                <w:sz w:val="21"/>
                <w:szCs w:val="21"/>
              </w:rPr>
              <w:t>87</w:t>
            </w:r>
          </w:p>
        </w:tc>
        <w:tc>
          <w:tcPr>
            <w:tcW w:w="2835" w:type="dxa"/>
          </w:tcPr>
          <w:p w14:paraId="611731BD" w14:textId="0BBA0FCC" w:rsidR="002248BC" w:rsidRPr="002248BC" w:rsidRDefault="00387FCE" w:rsidP="00085D47">
            <w:pPr>
              <w:rPr>
                <w:rFonts w:asciiTheme="majorBidi" w:hAnsiTheme="majorBidi" w:cstheme="majorBidi"/>
                <w:sz w:val="21"/>
                <w:szCs w:val="21"/>
                <w:lang w:eastAsia="ja-JP"/>
              </w:rPr>
            </w:pPr>
            <w:r w:rsidRPr="00387FCE">
              <w:rPr>
                <w:rFonts w:asciiTheme="majorBidi" w:hAnsiTheme="majorBidi" w:cstheme="majorBidi" w:hint="eastAsia"/>
                <w:sz w:val="21"/>
                <w:szCs w:val="21"/>
                <w:lang w:eastAsia="ja-JP"/>
              </w:rPr>
              <w:t>第</w:t>
            </w:r>
            <w:r w:rsidRPr="00387FCE">
              <w:rPr>
                <w:rFonts w:asciiTheme="majorBidi" w:hAnsiTheme="majorBidi" w:cstheme="majorBidi"/>
                <w:sz w:val="21"/>
                <w:szCs w:val="21"/>
                <w:lang w:eastAsia="ja-JP"/>
              </w:rPr>
              <w:t xml:space="preserve"> 18 </w:t>
            </w:r>
            <w:r w:rsidRPr="00387FCE">
              <w:rPr>
                <w:rFonts w:asciiTheme="majorBidi" w:hAnsiTheme="majorBidi" w:cstheme="majorBidi"/>
                <w:sz w:val="21"/>
                <w:szCs w:val="21"/>
                <w:lang w:eastAsia="ja-JP"/>
              </w:rPr>
              <w:t>条の説明は、この一般的意見の範囲を十分にカバーしておらず、また、示された例によって、その記述はあまり意味をなさなくなった。</w:t>
            </w:r>
          </w:p>
        </w:tc>
        <w:tc>
          <w:tcPr>
            <w:tcW w:w="2409" w:type="dxa"/>
          </w:tcPr>
          <w:p w14:paraId="51DC14C6" w14:textId="4343F919" w:rsidR="002248BC" w:rsidRPr="002248BC" w:rsidRDefault="005F65D7" w:rsidP="00085D47">
            <w:pPr>
              <w:rPr>
                <w:rFonts w:asciiTheme="majorBidi" w:hAnsiTheme="majorBidi" w:cstheme="majorBidi"/>
                <w:sz w:val="21"/>
                <w:szCs w:val="21"/>
                <w:lang w:eastAsia="ja-JP"/>
              </w:rPr>
            </w:pPr>
            <w:r w:rsidRPr="005F65D7">
              <w:rPr>
                <w:rFonts w:asciiTheme="majorBidi" w:hAnsiTheme="majorBidi" w:cstheme="majorBidi" w:hint="eastAsia"/>
                <w:sz w:val="21"/>
                <w:szCs w:val="21"/>
                <w:lang w:eastAsia="ja-JP"/>
              </w:rPr>
              <w:t>このパラグラフは削除するか、この一般的意見に近いものになるように再作成する必要がある。</w:t>
            </w:r>
          </w:p>
        </w:tc>
      </w:tr>
      <w:tr w:rsidR="005027FB" w:rsidRPr="002248BC" w14:paraId="5F0089FC" w14:textId="77777777" w:rsidTr="005027FB">
        <w:tc>
          <w:tcPr>
            <w:tcW w:w="321" w:type="dxa"/>
          </w:tcPr>
          <w:p w14:paraId="755D8293" w14:textId="77777777" w:rsidR="002248BC" w:rsidRPr="002248BC" w:rsidRDefault="002248BC" w:rsidP="00085D47">
            <w:pPr>
              <w:rPr>
                <w:rFonts w:asciiTheme="majorBidi" w:hAnsiTheme="majorBidi" w:cstheme="majorBidi"/>
                <w:sz w:val="21"/>
                <w:szCs w:val="21"/>
              </w:rPr>
            </w:pPr>
            <w:r w:rsidRPr="002248BC">
              <w:rPr>
                <w:rFonts w:asciiTheme="majorBidi" w:hAnsiTheme="majorBidi" w:cstheme="majorBidi"/>
                <w:sz w:val="21"/>
                <w:szCs w:val="21"/>
              </w:rPr>
              <w:t>5</w:t>
            </w:r>
          </w:p>
        </w:tc>
        <w:tc>
          <w:tcPr>
            <w:tcW w:w="2798" w:type="dxa"/>
          </w:tcPr>
          <w:p w14:paraId="52FFD197" w14:textId="4A0D5384" w:rsidR="002248BC" w:rsidRPr="002248BC" w:rsidRDefault="003E7D56" w:rsidP="003E7D56">
            <w:pPr>
              <w:rPr>
                <w:rFonts w:asciiTheme="majorBidi" w:hAnsiTheme="majorBidi" w:cstheme="majorBidi"/>
                <w:sz w:val="21"/>
                <w:szCs w:val="21"/>
                <w:lang w:eastAsia="ja-JP"/>
              </w:rPr>
            </w:pPr>
            <w:r w:rsidRPr="003E7D56">
              <w:rPr>
                <w:rFonts w:asciiTheme="majorBidi" w:hAnsiTheme="majorBidi" w:cstheme="majorBidi" w:hint="eastAsia"/>
                <w:sz w:val="21"/>
                <w:szCs w:val="21"/>
                <w:lang w:eastAsia="ja-JP"/>
              </w:rPr>
              <w:t>「労働不能」、「労働への適性」および関連する概念は、社会的保障の制度やその他の給付の設計に使用しないこと。委員会が指摘したように、</w:t>
            </w:r>
            <w:r w:rsidR="00D4514D" w:rsidRPr="003E7D56">
              <w:rPr>
                <w:rFonts w:asciiTheme="majorBidi" w:hAnsiTheme="majorBidi" w:cstheme="majorBidi" w:hint="eastAsia"/>
                <w:sz w:val="21"/>
                <w:szCs w:val="21"/>
                <w:lang w:eastAsia="ja-JP"/>
              </w:rPr>
              <w:t>障害のある人が有給の仕事を探し、維持する</w:t>
            </w:r>
            <w:r w:rsidR="00D4514D">
              <w:rPr>
                <w:rFonts w:asciiTheme="majorBidi" w:hAnsiTheme="majorBidi" w:cstheme="majorBidi" w:hint="eastAsia"/>
                <w:sz w:val="21"/>
                <w:szCs w:val="21"/>
                <w:lang w:eastAsia="ja-JP"/>
              </w:rPr>
              <w:t>際の</w:t>
            </w:r>
            <w:r w:rsidR="00D4514D" w:rsidRPr="003E7D56">
              <w:rPr>
                <w:rFonts w:asciiTheme="majorBidi" w:hAnsiTheme="majorBidi" w:cstheme="majorBidi"/>
                <w:sz w:val="21"/>
                <w:szCs w:val="21"/>
                <w:lang w:eastAsia="ja-JP"/>
              </w:rPr>
              <w:t>個人の状況やニーズ、</w:t>
            </w:r>
            <w:r w:rsidRPr="003E7D56">
              <w:rPr>
                <w:rFonts w:asciiTheme="majorBidi" w:hAnsiTheme="majorBidi" w:cstheme="majorBidi" w:hint="eastAsia"/>
                <w:sz w:val="21"/>
                <w:szCs w:val="21"/>
                <w:lang w:eastAsia="ja-JP"/>
              </w:rPr>
              <w:t>障壁</w:t>
            </w:r>
            <w:r w:rsidR="00D4514D">
              <w:rPr>
                <w:rFonts w:asciiTheme="majorBidi" w:hAnsiTheme="majorBidi" w:cstheme="majorBidi" w:hint="eastAsia"/>
                <w:sz w:val="21"/>
                <w:szCs w:val="21"/>
                <w:lang w:eastAsia="ja-JP"/>
              </w:rPr>
              <w:t>を評価し、</w:t>
            </w:r>
            <w:r w:rsidRPr="003E7D56">
              <w:rPr>
                <w:rFonts w:asciiTheme="majorBidi" w:hAnsiTheme="majorBidi" w:cstheme="majorBidi"/>
                <w:sz w:val="21"/>
                <w:szCs w:val="21"/>
                <w:lang w:eastAsia="ja-JP"/>
              </w:rPr>
              <w:t>彼らの状況に対応した柔軟な所得支援制度を設計することが重要である。</w:t>
            </w:r>
          </w:p>
        </w:tc>
        <w:tc>
          <w:tcPr>
            <w:tcW w:w="567" w:type="dxa"/>
          </w:tcPr>
          <w:p w14:paraId="6D39C022" w14:textId="77777777" w:rsidR="002248BC" w:rsidRDefault="002248BC" w:rsidP="00085D47">
            <w:pPr>
              <w:jc w:val="center"/>
              <w:rPr>
                <w:rFonts w:asciiTheme="majorBidi" w:hAnsiTheme="majorBidi" w:cstheme="majorBidi"/>
                <w:sz w:val="21"/>
                <w:szCs w:val="21"/>
              </w:rPr>
            </w:pPr>
            <w:r w:rsidRPr="002248BC">
              <w:rPr>
                <w:rFonts w:asciiTheme="majorBidi" w:hAnsiTheme="majorBidi" w:cstheme="majorBidi"/>
                <w:sz w:val="21"/>
                <w:szCs w:val="21"/>
              </w:rPr>
              <w:t>93 (</w:t>
            </w:r>
            <w:proofErr w:type="spellStart"/>
            <w:r w:rsidRPr="002248BC">
              <w:rPr>
                <w:rFonts w:asciiTheme="majorBidi" w:hAnsiTheme="majorBidi" w:cstheme="majorBidi"/>
                <w:sz w:val="21"/>
                <w:szCs w:val="21"/>
              </w:rPr>
              <w:t>i</w:t>
            </w:r>
            <w:proofErr w:type="spellEnd"/>
            <w:r w:rsidRPr="002248BC">
              <w:rPr>
                <w:rFonts w:asciiTheme="majorBidi" w:hAnsiTheme="majorBidi" w:cstheme="majorBidi"/>
                <w:sz w:val="21"/>
                <w:szCs w:val="21"/>
              </w:rPr>
              <w:t>)</w:t>
            </w:r>
          </w:p>
          <w:p w14:paraId="3B186A9E" w14:textId="17D33AA5" w:rsidR="00F93C9D" w:rsidRPr="002248BC" w:rsidRDefault="00F93C9D" w:rsidP="00F93C9D">
            <w:pPr>
              <w:rPr>
                <w:rFonts w:asciiTheme="majorBidi" w:hAnsiTheme="majorBidi" w:cstheme="majorBidi"/>
                <w:sz w:val="21"/>
                <w:szCs w:val="21"/>
              </w:rPr>
            </w:pPr>
            <w:r>
              <w:rPr>
                <w:rFonts w:asciiTheme="majorBidi" w:hAnsiTheme="majorBidi" w:cstheme="majorBidi" w:hint="eastAsia"/>
                <w:sz w:val="21"/>
                <w:szCs w:val="21"/>
                <w:lang w:eastAsia="ja-JP"/>
              </w:rPr>
              <w:t xml:space="preserve">（訳注　</w:t>
            </w:r>
            <w:r>
              <w:rPr>
                <w:rFonts w:asciiTheme="majorBidi" w:hAnsiTheme="majorBidi" w:cstheme="majorBidi" w:hint="eastAsia"/>
                <w:sz w:val="21"/>
                <w:szCs w:val="21"/>
                <w:lang w:eastAsia="ja-JP"/>
              </w:rPr>
              <w:t>93</w:t>
            </w:r>
            <w:r>
              <w:rPr>
                <w:rFonts w:asciiTheme="majorBidi" w:hAnsiTheme="majorBidi" w:cstheme="majorBidi" w:hint="eastAsia"/>
                <w:sz w:val="21"/>
                <w:szCs w:val="21"/>
                <w:lang w:eastAsia="ja-JP"/>
              </w:rPr>
              <w:t>ⅱの誤りか）</w:t>
            </w:r>
          </w:p>
        </w:tc>
        <w:tc>
          <w:tcPr>
            <w:tcW w:w="2835" w:type="dxa"/>
          </w:tcPr>
          <w:p w14:paraId="32BF044B" w14:textId="43E3C358" w:rsidR="002248BC" w:rsidRPr="002248BC" w:rsidRDefault="00387FCE" w:rsidP="00085D47">
            <w:pPr>
              <w:rPr>
                <w:rFonts w:asciiTheme="majorBidi" w:hAnsiTheme="majorBidi" w:cstheme="majorBidi"/>
                <w:sz w:val="21"/>
                <w:szCs w:val="21"/>
                <w:lang w:eastAsia="ja-JP"/>
              </w:rPr>
            </w:pPr>
            <w:r w:rsidRPr="00387FCE">
              <w:rPr>
                <w:rFonts w:asciiTheme="majorBidi" w:hAnsiTheme="majorBidi" w:cstheme="majorBidi" w:hint="eastAsia"/>
                <w:sz w:val="21"/>
                <w:szCs w:val="21"/>
                <w:lang w:eastAsia="ja-JP"/>
              </w:rPr>
              <w:t>ここでより重要な概念は、障害者が本質的な職務を遂行できるかどうかに注目することである。これは、働く権利の確保により関連する。したがって、労働能力に言及する場合は常に、この概念を文書全体に反映させる必要がある。</w:t>
            </w:r>
          </w:p>
        </w:tc>
        <w:tc>
          <w:tcPr>
            <w:tcW w:w="2409" w:type="dxa"/>
          </w:tcPr>
          <w:p w14:paraId="6514835E" w14:textId="4CE35D4E" w:rsidR="002248BC" w:rsidRPr="002248BC" w:rsidRDefault="005F65D7" w:rsidP="00085D47">
            <w:pPr>
              <w:rPr>
                <w:rFonts w:asciiTheme="majorBidi" w:hAnsiTheme="majorBidi" w:cstheme="majorBidi"/>
                <w:sz w:val="21"/>
                <w:szCs w:val="21"/>
                <w:lang w:eastAsia="ja-JP"/>
              </w:rPr>
            </w:pPr>
            <w:r w:rsidRPr="005F65D7">
              <w:rPr>
                <w:rFonts w:asciiTheme="majorBidi" w:hAnsiTheme="majorBidi" w:cstheme="majorBidi" w:hint="eastAsia"/>
                <w:sz w:val="21"/>
                <w:szCs w:val="21"/>
                <w:lang w:eastAsia="ja-JP"/>
              </w:rPr>
              <w:t>本質的職務機能の概念を全文に反映させる</w:t>
            </w:r>
          </w:p>
        </w:tc>
      </w:tr>
    </w:tbl>
    <w:p w14:paraId="3F825850" w14:textId="0D702355" w:rsidR="002248BC" w:rsidRDefault="002248BC" w:rsidP="008F3261"/>
    <w:p w14:paraId="22081CA4" w14:textId="7C49DE5E" w:rsidR="00F93C9D" w:rsidRPr="002248BC" w:rsidRDefault="00520776" w:rsidP="005027FB">
      <w:pPr>
        <w:jc w:val="right"/>
      </w:pPr>
      <w:r>
        <w:rPr>
          <w:rFonts w:hint="eastAsia"/>
        </w:rPr>
        <w:t>（翻訳：佐藤久夫、</w:t>
      </w:r>
      <w:r w:rsidR="00CC3824">
        <w:rPr>
          <w:rFonts w:hint="eastAsia"/>
        </w:rPr>
        <w:t>春名由一郎</w:t>
      </w:r>
      <w:r>
        <w:rPr>
          <w:rFonts w:hint="eastAsia"/>
        </w:rPr>
        <w:t>）</w:t>
      </w:r>
    </w:p>
    <w:sectPr w:rsidR="00F93C9D" w:rsidRPr="002248BC" w:rsidSect="002248BC">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6FDE3" w14:textId="77777777" w:rsidR="00916E93" w:rsidRDefault="00916E93" w:rsidP="002248BC">
      <w:r>
        <w:separator/>
      </w:r>
    </w:p>
  </w:endnote>
  <w:endnote w:type="continuationSeparator" w:id="0">
    <w:p w14:paraId="0017B339" w14:textId="77777777" w:rsidR="00916E93" w:rsidRDefault="00916E93" w:rsidP="00224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190142"/>
      <w:docPartObj>
        <w:docPartGallery w:val="Page Numbers (Bottom of Page)"/>
        <w:docPartUnique/>
      </w:docPartObj>
    </w:sdtPr>
    <w:sdtEndPr/>
    <w:sdtContent>
      <w:p w14:paraId="646A4324" w14:textId="711A8550" w:rsidR="002248BC" w:rsidRDefault="002248BC">
        <w:pPr>
          <w:pStyle w:val="a5"/>
        </w:pPr>
        <w:r>
          <w:fldChar w:fldCharType="begin"/>
        </w:r>
        <w:r>
          <w:instrText>PAGE   \* MERGEFORMAT</w:instrText>
        </w:r>
        <w:r>
          <w:fldChar w:fldCharType="separate"/>
        </w:r>
        <w:r>
          <w:rPr>
            <w:lang w:val="ja-JP"/>
          </w:rPr>
          <w:t>2</w:t>
        </w:r>
        <w:r>
          <w:fldChar w:fldCharType="end"/>
        </w:r>
      </w:p>
    </w:sdtContent>
  </w:sdt>
  <w:p w14:paraId="33F670A4" w14:textId="77777777" w:rsidR="002248BC" w:rsidRDefault="002248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4B6BD" w14:textId="77777777" w:rsidR="00916E93" w:rsidRDefault="00916E93" w:rsidP="002248BC">
      <w:r>
        <w:separator/>
      </w:r>
    </w:p>
  </w:footnote>
  <w:footnote w:type="continuationSeparator" w:id="0">
    <w:p w14:paraId="07E15962" w14:textId="77777777" w:rsidR="00916E93" w:rsidRDefault="00916E93" w:rsidP="002248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4A4"/>
    <w:rsid w:val="000C65B5"/>
    <w:rsid w:val="00117C93"/>
    <w:rsid w:val="002248BC"/>
    <w:rsid w:val="00387FCE"/>
    <w:rsid w:val="003E7D56"/>
    <w:rsid w:val="005027FB"/>
    <w:rsid w:val="00512C1F"/>
    <w:rsid w:val="00520776"/>
    <w:rsid w:val="00575521"/>
    <w:rsid w:val="005F65D7"/>
    <w:rsid w:val="006A770E"/>
    <w:rsid w:val="006B10B9"/>
    <w:rsid w:val="006C5859"/>
    <w:rsid w:val="008F3261"/>
    <w:rsid w:val="00916E93"/>
    <w:rsid w:val="009E7E98"/>
    <w:rsid w:val="00A144A4"/>
    <w:rsid w:val="00A93E24"/>
    <w:rsid w:val="00BB5F79"/>
    <w:rsid w:val="00BD3737"/>
    <w:rsid w:val="00CC3824"/>
    <w:rsid w:val="00CE3357"/>
    <w:rsid w:val="00D4514D"/>
    <w:rsid w:val="00F93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437C67"/>
  <w15:chartTrackingRefBased/>
  <w15:docId w15:val="{7F390BAA-0475-4B9A-ABEB-AEBC3FDB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8BC"/>
    <w:pPr>
      <w:tabs>
        <w:tab w:val="center" w:pos="4252"/>
        <w:tab w:val="right" w:pos="8504"/>
      </w:tabs>
      <w:snapToGrid w:val="0"/>
    </w:pPr>
  </w:style>
  <w:style w:type="character" w:customStyle="1" w:styleId="a4">
    <w:name w:val="ヘッダー (文字)"/>
    <w:basedOn w:val="a0"/>
    <w:link w:val="a3"/>
    <w:uiPriority w:val="99"/>
    <w:rsid w:val="002248BC"/>
  </w:style>
  <w:style w:type="paragraph" w:styleId="a5">
    <w:name w:val="footer"/>
    <w:basedOn w:val="a"/>
    <w:link w:val="a6"/>
    <w:uiPriority w:val="99"/>
    <w:unhideWhenUsed/>
    <w:rsid w:val="002248BC"/>
    <w:pPr>
      <w:tabs>
        <w:tab w:val="center" w:pos="4252"/>
        <w:tab w:val="right" w:pos="8504"/>
      </w:tabs>
      <w:snapToGrid w:val="0"/>
    </w:pPr>
  </w:style>
  <w:style w:type="character" w:customStyle="1" w:styleId="a6">
    <w:name w:val="フッター (文字)"/>
    <w:basedOn w:val="a0"/>
    <w:link w:val="a5"/>
    <w:uiPriority w:val="99"/>
    <w:rsid w:val="002248BC"/>
  </w:style>
  <w:style w:type="table" w:styleId="a7">
    <w:name w:val="Table Grid"/>
    <w:basedOn w:val="a1"/>
    <w:uiPriority w:val="39"/>
    <w:rsid w:val="002248BC"/>
    <w:rPr>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BD3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久夫</cp:lastModifiedBy>
  <cp:revision>2</cp:revision>
  <dcterms:created xsi:type="dcterms:W3CDTF">2022-05-07T14:17:00Z</dcterms:created>
  <dcterms:modified xsi:type="dcterms:W3CDTF">2022-05-07T14:17:00Z</dcterms:modified>
</cp:coreProperties>
</file>