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AEE5" w14:textId="07092F54" w:rsidR="007629E5" w:rsidRPr="0014767E" w:rsidRDefault="007629E5" w:rsidP="007629E5">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６</w:t>
      </w:r>
    </w:p>
    <w:p w14:paraId="36C5BD44" w14:textId="77777777" w:rsidR="007629E5" w:rsidRPr="007629E5" w:rsidRDefault="007629E5">
      <w:pPr>
        <w:rPr>
          <w:rFonts w:ascii="ＭＳ ゴシック" w:eastAsia="ＭＳ ゴシック" w:hAnsi="ＭＳ ゴシック"/>
          <w:b/>
          <w:bCs/>
          <w:sz w:val="24"/>
          <w:szCs w:val="24"/>
        </w:rPr>
      </w:pPr>
    </w:p>
    <w:p w14:paraId="3850095C" w14:textId="52C6FC31" w:rsidR="009C7884" w:rsidRDefault="009C7884">
      <w:pPr>
        <w:rPr>
          <w:rFonts w:ascii="ＭＳ ゴシック" w:eastAsia="ＭＳ ゴシック" w:hAnsi="ＭＳ ゴシック"/>
          <w:b/>
          <w:bCs/>
          <w:sz w:val="24"/>
          <w:szCs w:val="24"/>
        </w:rPr>
      </w:pPr>
      <w:r w:rsidRPr="00095350">
        <w:rPr>
          <w:rFonts w:ascii="ＭＳ ゴシック" w:eastAsia="ＭＳ ゴシック" w:hAnsi="ＭＳ ゴシック" w:hint="eastAsia"/>
          <w:b/>
          <w:bCs/>
          <w:sz w:val="24"/>
          <w:szCs w:val="24"/>
        </w:rPr>
        <w:t>第27条に関する一般的意見案への</w:t>
      </w:r>
    </w:p>
    <w:p w14:paraId="5D123BE6" w14:textId="7F27E383" w:rsidR="00CE3357" w:rsidRPr="003426C4" w:rsidRDefault="003426C4">
      <w:pPr>
        <w:rPr>
          <w:rFonts w:ascii="ＭＳ Ｐゴシック" w:eastAsia="ＭＳ Ｐゴシック" w:hAnsi="ＭＳ Ｐゴシック"/>
          <w:b/>
          <w:bCs/>
          <w:sz w:val="24"/>
          <w:szCs w:val="24"/>
        </w:rPr>
      </w:pPr>
      <w:r w:rsidRPr="003426C4">
        <w:rPr>
          <w:rFonts w:ascii="ＭＳ Ｐゴシック" w:eastAsia="ＭＳ Ｐゴシック" w:hAnsi="ＭＳ Ｐゴシック" w:hint="eastAsia"/>
          <w:b/>
          <w:bCs/>
          <w:sz w:val="24"/>
          <w:szCs w:val="24"/>
        </w:rPr>
        <w:t>ヨーロッパ障害フォーラムからのインプット</w:t>
      </w:r>
    </w:p>
    <w:p w14:paraId="7B453734" w14:textId="6A3B2A01" w:rsidR="003426C4" w:rsidRDefault="001651C8" w:rsidP="003426C4">
      <w:pPr>
        <w:jc w:val="right"/>
      </w:pPr>
      <w:r>
        <w:rPr>
          <w:rFonts w:hint="eastAsia"/>
        </w:rPr>
        <w:t xml:space="preserve">　</w:t>
      </w:r>
      <w:r w:rsidR="003426C4">
        <w:rPr>
          <w:rFonts w:hint="eastAsia"/>
        </w:rPr>
        <w:t>（JD仮訳）</w:t>
      </w:r>
    </w:p>
    <w:p w14:paraId="128EA69C" w14:textId="77777777" w:rsidR="003426C4" w:rsidRPr="003426C4" w:rsidRDefault="003426C4">
      <w:pPr>
        <w:rPr>
          <w:b/>
          <w:bCs/>
        </w:rPr>
      </w:pPr>
      <w:r w:rsidRPr="003426C4">
        <w:rPr>
          <w:b/>
          <w:bCs/>
        </w:rPr>
        <w:t xml:space="preserve">Input to the Draft General Comment on Article 27 </w:t>
      </w:r>
    </w:p>
    <w:p w14:paraId="70FE97B5" w14:textId="604357DD" w:rsidR="003426C4" w:rsidRPr="003426C4" w:rsidRDefault="003426C4">
      <w:pPr>
        <w:rPr>
          <w:b/>
          <w:bCs/>
        </w:rPr>
      </w:pPr>
      <w:r w:rsidRPr="003426C4">
        <w:rPr>
          <w:b/>
          <w:bCs/>
        </w:rPr>
        <w:t>by the European Disability Forum</w:t>
      </w:r>
    </w:p>
    <w:p w14:paraId="2216E91D" w14:textId="13BAA6E2" w:rsidR="003426C4" w:rsidRDefault="003426C4"/>
    <w:p w14:paraId="7430BAA9" w14:textId="77777777" w:rsidR="001651C8" w:rsidRPr="00C80AC0" w:rsidRDefault="001651C8" w:rsidP="001651C8">
      <w:pPr>
        <w:rPr>
          <w:b/>
          <w:bCs/>
        </w:rPr>
      </w:pPr>
      <w:r w:rsidRPr="00B276F5">
        <w:rPr>
          <w:rFonts w:hint="eastAsia"/>
          <w:b/>
          <w:bCs/>
        </w:rPr>
        <w:t>ヨーロッパ</w:t>
      </w:r>
      <w:r w:rsidRPr="00C80AC0">
        <w:rPr>
          <w:rFonts w:hint="eastAsia"/>
          <w:b/>
          <w:bCs/>
        </w:rPr>
        <w:t>障害フォーラム</w:t>
      </w:r>
    </w:p>
    <w:p w14:paraId="0C75D6C4" w14:textId="56C1C014" w:rsidR="001651C8" w:rsidRDefault="001651C8" w:rsidP="001651C8">
      <w:pPr>
        <w:ind w:firstLineChars="100" w:firstLine="210"/>
      </w:pPr>
      <w:r>
        <w:rPr>
          <w:rFonts w:hint="eastAsia"/>
        </w:rPr>
        <w:t>ヨーロッパ障害フォーラム</w:t>
      </w:r>
      <w:r w:rsidR="00213C2F">
        <w:rPr>
          <w:rFonts w:hint="eastAsia"/>
        </w:rPr>
        <w:t>（EDF）</w:t>
      </w:r>
      <w:r>
        <w:rPr>
          <w:rFonts w:hint="eastAsia"/>
        </w:rPr>
        <w:t>は、</w:t>
      </w:r>
      <w:r>
        <w:t>1億人の</w:t>
      </w:r>
      <w:r>
        <w:rPr>
          <w:rFonts w:hint="eastAsia"/>
        </w:rPr>
        <w:t>ヨーロッパ</w:t>
      </w:r>
      <w:r>
        <w:t>の障害のある人の利益を代表する独立したNGOである。EDFは、</w:t>
      </w:r>
      <w:r>
        <w:rPr>
          <w:rFonts w:hint="eastAsia"/>
        </w:rPr>
        <w:t>ヨーロッパ</w:t>
      </w:r>
      <w:r>
        <w:t>全域の障害者団体を代表するユニークなプラットフォームである。EDFは、障害のある人とその家族によって運営されている。我々は、ヨーロッパにおける障害のある人の強力で統一された声である。</w:t>
      </w:r>
    </w:p>
    <w:p w14:paraId="1FBCC9F0" w14:textId="05FE3D7B" w:rsidR="001651C8" w:rsidRDefault="001651C8" w:rsidP="001651C8"/>
    <w:p w14:paraId="289BC086" w14:textId="77777777" w:rsidR="001651C8" w:rsidRPr="00C80AC0" w:rsidRDefault="001651C8" w:rsidP="001651C8">
      <w:pPr>
        <w:rPr>
          <w:b/>
          <w:bCs/>
        </w:rPr>
      </w:pPr>
      <w:r w:rsidRPr="00C80AC0">
        <w:rPr>
          <w:rFonts w:hint="eastAsia"/>
          <w:b/>
          <w:bCs/>
        </w:rPr>
        <w:t>修正提案のポイント</w:t>
      </w:r>
      <w:r w:rsidRPr="00C80AC0">
        <w:rPr>
          <w:b/>
          <w:bCs/>
        </w:rPr>
        <w:t xml:space="preserve"> </w:t>
      </w:r>
    </w:p>
    <w:p w14:paraId="7A35A154" w14:textId="77777777" w:rsidR="001651C8" w:rsidRDefault="001651C8" w:rsidP="001651C8">
      <w:pPr>
        <w:ind w:firstLineChars="100" w:firstLine="210"/>
      </w:pPr>
      <w:r>
        <w:rPr>
          <w:rFonts w:hint="eastAsia"/>
        </w:rPr>
        <w:t>我々は、一般的意見案の次のパラグラフについて修正を提案している。</w:t>
      </w:r>
      <w:r>
        <w:t>5、6、14、18、22、24、30、31、32、37、38、42、44、46、50、62、79、97a</w:t>
      </w:r>
      <w:r>
        <w:rPr>
          <w:rFonts w:hint="eastAsia"/>
        </w:rPr>
        <w:t>および</w:t>
      </w:r>
      <w:r>
        <w:t>97b。</w:t>
      </w:r>
    </w:p>
    <w:p w14:paraId="767B0CBF" w14:textId="77777777" w:rsidR="001651C8" w:rsidRDefault="001651C8" w:rsidP="001651C8">
      <w:pPr>
        <w:ind w:firstLineChars="100" w:firstLine="210"/>
      </w:pPr>
      <w:r>
        <w:rPr>
          <w:rFonts w:hint="eastAsia"/>
        </w:rPr>
        <w:t>さらに、どこでも検討されていないトピックをカバーする新しいパラグラフを提案し、本文のどこに統合するかを提案したい。それは次のとおり。</w:t>
      </w:r>
      <w:r>
        <w:t>23新、50新、72 b新、91新</w:t>
      </w:r>
      <w:r>
        <w:rPr>
          <w:rFonts w:hint="eastAsia"/>
        </w:rPr>
        <w:t>。</w:t>
      </w:r>
      <w:r>
        <w:t xml:space="preserve"> </w:t>
      </w:r>
    </w:p>
    <w:p w14:paraId="69A4F7B1" w14:textId="734D33E1" w:rsidR="001651C8" w:rsidRDefault="001651C8" w:rsidP="007D3F38"/>
    <w:p w14:paraId="78BF2853" w14:textId="77777777" w:rsidR="001651C8" w:rsidRPr="00C80AC0" w:rsidRDefault="001651C8" w:rsidP="001651C8">
      <w:pPr>
        <w:rPr>
          <w:b/>
          <w:bCs/>
        </w:rPr>
      </w:pPr>
      <w:r>
        <w:rPr>
          <w:rFonts w:hint="eastAsia"/>
          <w:b/>
          <w:bCs/>
        </w:rPr>
        <w:t>我々</w:t>
      </w:r>
      <w:r w:rsidRPr="00C80AC0">
        <w:rPr>
          <w:rFonts w:hint="eastAsia"/>
          <w:b/>
          <w:bCs/>
        </w:rPr>
        <w:t>の修正案</w:t>
      </w:r>
    </w:p>
    <w:p w14:paraId="587AEEFD" w14:textId="09B65C52" w:rsidR="001651C8" w:rsidRDefault="001651C8" w:rsidP="001651C8">
      <w:r>
        <w:t>(</w:t>
      </w:r>
      <w:r>
        <w:rPr>
          <w:rFonts w:hint="eastAsia"/>
        </w:rPr>
        <w:t>パラグラフ</w:t>
      </w:r>
      <w:r>
        <w:t>5)</w:t>
      </w:r>
      <w:r>
        <w:rPr>
          <w:rFonts w:hint="eastAsia"/>
        </w:rPr>
        <w:t xml:space="preserve">　</w:t>
      </w:r>
      <w:r w:rsidRPr="00B276F5">
        <w:t>経済と労働市場の状況の進化は、労働の権利を確保する上での新たな課題と機会を生み出している。人工知能やデジタルワークへの移行を含む新技術は、新しい障壁や差別の形態を生み出すだけでなく、</w:t>
      </w:r>
      <w:r w:rsidRPr="00B276F5">
        <w:rPr>
          <w:u w:val="single"/>
        </w:rPr>
        <w:t>差別</w:t>
      </w:r>
      <w:r w:rsidRPr="00B276F5">
        <w:rPr>
          <w:rFonts w:hint="eastAsia"/>
          <w:u w:val="single"/>
        </w:rPr>
        <w:t>禁止</w:t>
      </w:r>
      <w:r w:rsidRPr="00B276F5">
        <w:rPr>
          <w:u w:val="single"/>
        </w:rPr>
        <w:t>とアクセシビリティが適切に考慮されれば、</w:t>
      </w:r>
      <w:r w:rsidRPr="00B276F5">
        <w:t>労働の新しい形態や労働への新しい道筋を提供する可能性がある。グリーン経済への移行や危機への対応などの経済的変革は、人々を取り残す脅威と同時に、インクルージョンのための機会を生み出す</w:t>
      </w:r>
      <w:r w:rsidR="009C7884" w:rsidRPr="00497AD0">
        <w:rPr>
          <w:rStyle w:val="a7"/>
          <w:rFonts w:ascii="Arial" w:hAnsi="Arial" w:cs="Arial"/>
          <w:sz w:val="22"/>
        </w:rPr>
        <w:footnoteReference w:id="1"/>
      </w:r>
      <w:r w:rsidRPr="00B276F5">
        <w:t>。</w:t>
      </w:r>
    </w:p>
    <w:p w14:paraId="7F2F3D0B" w14:textId="3C9F0C9F" w:rsidR="001651C8" w:rsidRDefault="001651C8" w:rsidP="007D3F38"/>
    <w:p w14:paraId="5245C6BB" w14:textId="63B3CCCD" w:rsidR="001651C8" w:rsidRDefault="001651C8" w:rsidP="001651C8">
      <w:r>
        <w:t>(</w:t>
      </w:r>
      <w:r>
        <w:rPr>
          <w:rFonts w:hint="eastAsia"/>
        </w:rPr>
        <w:t>パラグラフ</w:t>
      </w:r>
      <w:r>
        <w:t>6)</w:t>
      </w:r>
      <w:r w:rsidRPr="00B276F5">
        <w:t xml:space="preserve">　第27条は、労働の権利の中に、障害のある人が公正かつ良好な労働条件を享受する権利、そして安全な労働条件と</w:t>
      </w:r>
      <w:r w:rsidR="00BF1E93">
        <w:rPr>
          <w:rFonts w:hint="eastAsia"/>
        </w:rPr>
        <w:t>ハラスメント</w:t>
      </w:r>
      <w:r w:rsidRPr="00B276F5">
        <w:t>からの保護の権利（27条1（b））、および</w:t>
      </w:r>
      <w:r w:rsidR="00FF20C0" w:rsidRPr="00B276F5">
        <w:t>障害のある人の労働組合権と労働権を行使する権利を明記</w:t>
      </w:r>
      <w:r w:rsidR="00FF20C0">
        <w:rPr>
          <w:rFonts w:hint="eastAsia"/>
        </w:rPr>
        <w:t>した、</w:t>
      </w:r>
      <w:r w:rsidRPr="00B276F5">
        <w:t>労働の権利の集団的側面（27条1（c））を含むいくつかの相互に依存し、関連する権利を組み込んだものであ</w:t>
      </w:r>
      <w:r w:rsidRPr="00B276F5">
        <w:lastRenderedPageBreak/>
        <w:t>る</w:t>
      </w:r>
      <w:r w:rsidR="009C7884" w:rsidRPr="00497AD0">
        <w:rPr>
          <w:rStyle w:val="a7"/>
          <w:rFonts w:ascii="Arial" w:hAnsi="Arial" w:cs="Arial"/>
          <w:sz w:val="22"/>
        </w:rPr>
        <w:footnoteReference w:id="2"/>
      </w:r>
      <w:r w:rsidRPr="00B276F5">
        <w:t>。本一般的意見は、一方では働く権利を達成するために</w:t>
      </w:r>
      <w:r w:rsidR="00FF482A">
        <w:rPr>
          <w:rFonts w:hint="eastAsia"/>
        </w:rPr>
        <w:t>第</w:t>
      </w:r>
      <w:r w:rsidRPr="00B276F5">
        <w:t>27条に列挙された措置の相互依存性を考慮し、他方では労働と雇用の権利と条約の他の規定、例えばアクセシビリテ</w:t>
      </w:r>
      <w:r w:rsidRPr="00B276F5">
        <w:rPr>
          <w:rFonts w:hint="eastAsia"/>
        </w:rPr>
        <w:t>ィ（第</w:t>
      </w:r>
      <w:r w:rsidRPr="00B276F5">
        <w:t>9条）、法律の前に等しく認められること（第12条）、司法へのアクセス（第13条）、拷問または残虐な、非人道的なもしくは品位を傷つける取り扱いもしくは刑罰からの自由（第15条）、</w:t>
      </w:r>
      <w:r w:rsidRPr="00B276F5">
        <w:rPr>
          <w:u w:val="single"/>
        </w:rPr>
        <w:t>自立生活（</w:t>
      </w:r>
      <w:r w:rsidR="005C7E58">
        <w:rPr>
          <w:rFonts w:hint="eastAsia"/>
          <w:u w:val="single"/>
        </w:rPr>
        <w:t>第</w:t>
      </w:r>
      <w:r w:rsidRPr="00B276F5">
        <w:rPr>
          <w:u w:val="single"/>
        </w:rPr>
        <w:t>19条）、</w:t>
      </w:r>
      <w:r w:rsidRPr="00B276F5">
        <w:rPr>
          <w:rFonts w:hint="eastAsia"/>
          <w:u w:val="single"/>
        </w:rPr>
        <w:t>インクルーシブ</w:t>
      </w:r>
      <w:r w:rsidRPr="00B276F5">
        <w:rPr>
          <w:u w:val="single"/>
        </w:rPr>
        <w:t>教育（</w:t>
      </w:r>
      <w:r w:rsidR="005C7E58">
        <w:rPr>
          <w:rFonts w:hint="eastAsia"/>
          <w:u w:val="single"/>
        </w:rPr>
        <w:t>第</w:t>
      </w:r>
      <w:r w:rsidRPr="00B276F5">
        <w:rPr>
          <w:u w:val="single"/>
        </w:rPr>
        <w:t>24条）、</w:t>
      </w:r>
      <w:r w:rsidRPr="00B276F5">
        <w:t>ハビリテーションおよびリハビリテーション（第26条）、相当な生活水準および社会的保障（第28条）等、他の条項との相互関係を考慮し</w:t>
      </w:r>
      <w:r w:rsidR="00023A97">
        <w:rPr>
          <w:rFonts w:hint="eastAsia"/>
        </w:rPr>
        <w:t>つつ、第</w:t>
      </w:r>
      <w:r w:rsidR="00023A97" w:rsidRPr="00B276F5">
        <w:t>27条の義務について包括的に概観し</w:t>
      </w:r>
      <w:r w:rsidRPr="00B276F5">
        <w:t>ている。</w:t>
      </w:r>
    </w:p>
    <w:p w14:paraId="59E5D7F6" w14:textId="67E03D5B" w:rsidR="001651C8" w:rsidRDefault="001651C8" w:rsidP="001651C8"/>
    <w:p w14:paraId="619AE503" w14:textId="417023EE" w:rsidR="001651C8" w:rsidRDefault="001651C8" w:rsidP="001651C8">
      <w:r>
        <w:t>(</w:t>
      </w:r>
      <w:r>
        <w:rPr>
          <w:rFonts w:hint="eastAsia"/>
        </w:rPr>
        <w:t>パラグラフ</w:t>
      </w:r>
      <w:r>
        <w:t>14)</w:t>
      </w:r>
      <w:r w:rsidRPr="00B276F5">
        <w:tab/>
        <w:t>多少の進展はあったが、開かれた労働市場へのアクセスとそこからの</w:t>
      </w:r>
      <w:r w:rsidR="002A7847">
        <w:rPr>
          <w:rFonts w:hint="eastAsia"/>
        </w:rPr>
        <w:t>分離</w:t>
      </w:r>
      <w:r w:rsidRPr="00B276F5">
        <w:t>は、障害のある人にとって依然として最大の課題である。合理的配慮の拒否、アクセスしにくい職場、ハラスメントは、開かれた労働市場や職場環境での雇用にさらなる障壁をもたら</w:t>
      </w:r>
      <w:r w:rsidRPr="00B276F5">
        <w:rPr>
          <w:rFonts w:hint="eastAsia"/>
        </w:rPr>
        <w:t>す。</w:t>
      </w:r>
      <w:r w:rsidRPr="00B276F5">
        <w:rPr>
          <w:u w:val="single"/>
        </w:rPr>
        <w:t>開かれた労働市場における機会均等がない</w:t>
      </w:r>
      <w:r w:rsidRPr="00B276F5">
        <w:rPr>
          <w:rFonts w:hint="eastAsia"/>
          <w:u w:val="single"/>
        </w:rPr>
        <w:t>なかで、</w:t>
      </w:r>
      <w:r w:rsidRPr="00B276F5">
        <w:rPr>
          <w:u w:val="single"/>
        </w:rPr>
        <w:t>多くの障害のある人は、</w:t>
      </w:r>
      <w:r>
        <w:t>障害</w:t>
      </w:r>
      <w:r w:rsidR="002A7847">
        <w:rPr>
          <w:rFonts w:hint="eastAsia"/>
        </w:rPr>
        <w:t>者向けの</w:t>
      </w:r>
      <w:r>
        <w:t>閉鎖的な職場で働く</w:t>
      </w:r>
      <w:r w:rsidR="00D05840" w:rsidRPr="00D05840">
        <w:rPr>
          <w:rFonts w:hint="eastAsia"/>
          <w:u w:val="single"/>
        </w:rPr>
        <w:t>ことを余儀なくされる</w:t>
      </w:r>
      <w:r w:rsidR="007A04E0">
        <w:rPr>
          <w:rFonts w:hint="eastAsia"/>
        </w:rPr>
        <w:t>職業の自由な選択</w:t>
      </w:r>
      <w:r w:rsidRPr="00B276F5">
        <w:t>の概念は、雇用政策に関するILO第122号条約（1964年）にも含まれている。それは、「</w:t>
      </w:r>
      <w:r w:rsidR="007A04E0" w:rsidRPr="007A04E0">
        <w:rPr>
          <w:rFonts w:hint="eastAsia"/>
        </w:rPr>
        <w:t>完全雇用、生産的な雇用及び職業の自由な選択</w:t>
      </w:r>
      <w:r w:rsidRPr="00B276F5">
        <w:t>」をはっきり示し、完全雇用</w:t>
      </w:r>
      <w:r w:rsidRPr="00B276F5">
        <w:rPr>
          <w:rFonts w:hint="eastAsia"/>
        </w:rPr>
        <w:t>状態を作り出す締約国の義務と強制労働を確実になくす義務とを結びつけている。</w:t>
      </w:r>
    </w:p>
    <w:p w14:paraId="0E508C78" w14:textId="44741DC0" w:rsidR="001651C8" w:rsidRPr="00D81F94" w:rsidRDefault="001651C8" w:rsidP="001651C8"/>
    <w:p w14:paraId="43298C0B" w14:textId="1ECD55C1" w:rsidR="001651C8" w:rsidRDefault="001651C8" w:rsidP="001651C8">
      <w:r>
        <w:rPr>
          <w:rFonts w:hint="eastAsia"/>
        </w:rPr>
        <w:t>（パラグラフ</w:t>
      </w:r>
      <w:r>
        <w:t>18)</w:t>
      </w:r>
      <w:r>
        <w:rPr>
          <w:rFonts w:hint="eastAsia"/>
        </w:rPr>
        <w:t xml:space="preserve">　</w:t>
      </w:r>
      <w:r w:rsidRPr="00B276F5">
        <w:t>障害のある人のシェルタード・ワークショップは、開かれたインクルーシブな労働市場での雇用においてのみ立証される労働の権利を漸進的に実現するための措置と見なしてはならない。シェルタード・ワークショップと、コーポラティブ（協同組合）、</w:t>
      </w:r>
      <w:r w:rsidRPr="00B276F5">
        <w:rPr>
          <w:rFonts w:hint="eastAsia"/>
          <w:u w:val="single"/>
        </w:rPr>
        <w:t>開かれた労働市場へのキャリアアップを促進しながら適切な労働契約と公正な報酬を提供する社会的企業、</w:t>
      </w:r>
      <w:r w:rsidRPr="00B276F5">
        <w:rPr>
          <w:rFonts w:hint="eastAsia"/>
        </w:rPr>
        <w:t>または</w:t>
      </w:r>
      <w:r w:rsidRPr="00B276F5">
        <w:t>労働法が一般に尊重されている障害のある人によって組織または運営されている労働とを混同しないことが重要である。</w:t>
      </w:r>
      <w:r w:rsidRPr="00B276F5">
        <w:rPr>
          <w:u w:val="single"/>
        </w:rPr>
        <w:t>さらに、保護された雇用から</w:t>
      </w:r>
      <w:r w:rsidR="00B46ED3">
        <w:rPr>
          <w:rFonts w:hint="eastAsia"/>
          <w:u w:val="single"/>
        </w:rPr>
        <w:t>開かれた</w:t>
      </w:r>
      <w:r w:rsidRPr="00B276F5">
        <w:rPr>
          <w:u w:val="single"/>
        </w:rPr>
        <w:t>労働市場での機会への移行を支援する際、保護施設の元従業員自身が自由な労働市</w:t>
      </w:r>
      <w:r w:rsidRPr="00B276F5">
        <w:rPr>
          <w:rFonts w:hint="eastAsia"/>
          <w:u w:val="single"/>
        </w:rPr>
        <w:t>場への移行を支援され、その結果、失業状態にならないようにすることが重要である。これには、保護された雇用センターを訓練施設として再利用し、障害のある人を公開労働市場へ準備させることも</w:t>
      </w:r>
      <w:r>
        <w:rPr>
          <w:rFonts w:hint="eastAsia"/>
          <w:u w:val="single"/>
        </w:rPr>
        <w:t>含めることが</w:t>
      </w:r>
      <w:r w:rsidRPr="00B276F5">
        <w:rPr>
          <w:rFonts w:hint="eastAsia"/>
          <w:u w:val="single"/>
        </w:rPr>
        <w:t>できる。</w:t>
      </w:r>
    </w:p>
    <w:p w14:paraId="2BEE6188" w14:textId="77777777" w:rsidR="001651C8" w:rsidRPr="00441B2B" w:rsidRDefault="001651C8" w:rsidP="001651C8">
      <w:pPr>
        <w:rPr>
          <w:lang w:val="en-GB"/>
        </w:rPr>
      </w:pPr>
    </w:p>
    <w:p w14:paraId="73206895" w14:textId="104B14BE" w:rsidR="001651C8" w:rsidRDefault="001651C8" w:rsidP="001651C8">
      <w:r>
        <w:t>(</w:t>
      </w:r>
      <w:r>
        <w:rPr>
          <w:rFonts w:hint="eastAsia"/>
        </w:rPr>
        <w:t>パラグラフ</w:t>
      </w:r>
      <w:r>
        <w:t>22)</w:t>
      </w:r>
      <w:r w:rsidRPr="00B276F5">
        <w:tab/>
      </w:r>
      <w:r w:rsidRPr="00B276F5">
        <w:rPr>
          <w:b/>
          <w:bCs/>
          <w:i/>
          <w:iCs/>
        </w:rPr>
        <w:t>合理的配慮の拒否</w:t>
      </w:r>
      <w:r w:rsidRPr="00B276F5">
        <w:t>は、必要かつ適切な修正と調整　-　釣り合いの取れないまたは過度の負担を課さない　-　が拒否され、しかもその配慮が人権または基本的自由の平等な享受または行使を確保するために必要である場合、差別に該当する</w:t>
      </w:r>
      <w:r w:rsidR="009C7884" w:rsidRPr="00601C7B">
        <w:rPr>
          <w:rStyle w:val="a7"/>
          <w:rFonts w:ascii="Arial" w:hAnsi="Arial" w:cs="Arial"/>
          <w:sz w:val="22"/>
        </w:rPr>
        <w:footnoteReference w:id="3"/>
      </w:r>
      <w:r w:rsidRPr="00B276F5">
        <w:t>。</w:t>
      </w:r>
      <w:r w:rsidR="005F4286">
        <w:rPr>
          <w:rFonts w:hint="eastAsia"/>
        </w:rPr>
        <w:t>例えば、</w:t>
      </w:r>
      <w:r w:rsidRPr="00B276F5">
        <w:t>視</w:t>
      </w:r>
      <w:r w:rsidRPr="00B276F5">
        <w:lastRenderedPageBreak/>
        <w:t>覚障害のある公共</w:t>
      </w:r>
      <w:r w:rsidR="005F4286">
        <w:rPr>
          <w:rFonts w:hint="eastAsia"/>
        </w:rPr>
        <w:t>セクター</w:t>
      </w:r>
      <w:r w:rsidRPr="00B276F5">
        <w:t>の職員が、</w:t>
      </w:r>
      <w:r w:rsidR="00800963" w:rsidRPr="00441B2B">
        <w:rPr>
          <w:rFonts w:hint="eastAsia"/>
          <w:strike/>
        </w:rPr>
        <w:t>スクリーンの文字を拡大するコンピュータープログラム</w:t>
      </w:r>
      <w:r>
        <w:rPr>
          <w:rFonts w:hint="eastAsia"/>
          <w:u w:val="single"/>
        </w:rPr>
        <w:t>特別に改造されたキーボード</w:t>
      </w:r>
      <w:r w:rsidRPr="00B276F5">
        <w:t>など、割り当てられた業務を遂行するための適切な機器を提供されないこと</w:t>
      </w:r>
      <w:r w:rsidR="006B74C0">
        <w:rPr>
          <w:rFonts w:hint="eastAsia"/>
        </w:rPr>
        <w:t>や、</w:t>
      </w:r>
      <w:r w:rsidR="006B74C0" w:rsidRPr="00441B2B">
        <w:rPr>
          <w:u w:val="single"/>
        </w:rPr>
        <w:t>運動障害を持つ人が</w:t>
      </w:r>
      <w:r w:rsidR="00671D6A" w:rsidRPr="00441B2B">
        <w:rPr>
          <w:u w:val="single"/>
        </w:rPr>
        <w:t>コンピュータを操作するための</w:t>
      </w:r>
      <w:r w:rsidR="006B74C0" w:rsidRPr="00441B2B">
        <w:rPr>
          <w:u w:val="single"/>
        </w:rPr>
        <w:t>視線追跡技術</w:t>
      </w:r>
      <w:r w:rsidR="00671D6A" w:rsidRPr="00441B2B">
        <w:rPr>
          <w:rFonts w:hint="eastAsia"/>
          <w:u w:val="single"/>
        </w:rPr>
        <w:t>を提供されないこと</w:t>
      </w:r>
      <w:r w:rsidRPr="00B276F5">
        <w:t>は、合理的配慮の拒否の一例である</w:t>
      </w:r>
      <w:r w:rsidR="000D59A7" w:rsidRPr="00601C7B">
        <w:rPr>
          <w:rStyle w:val="a7"/>
          <w:rFonts w:ascii="Arial" w:hAnsi="Arial" w:cs="Arial"/>
          <w:sz w:val="22"/>
        </w:rPr>
        <w:footnoteReference w:id="4"/>
      </w:r>
      <w:r w:rsidRPr="00B276F5">
        <w:t>。合理的配慮の例としては、既存の施設や情報を障害のある人が利用しやすくする、設備を</w:t>
      </w:r>
      <w:r w:rsidR="00F85DD7">
        <w:rPr>
          <w:rFonts w:hint="eastAsia"/>
        </w:rPr>
        <w:t>改造</w:t>
      </w:r>
      <w:r w:rsidRPr="00B276F5">
        <w:t>する、活</w:t>
      </w:r>
      <w:r w:rsidRPr="00B276F5">
        <w:rPr>
          <w:rFonts w:hint="eastAsia"/>
        </w:rPr>
        <w:t>動を再編成する、仕事のスケジュールを変更する、支援担当者にアクセスできるようにする、などがある</w:t>
      </w:r>
      <w:r w:rsidRPr="00B276F5">
        <w:t xml:space="preserve"> 。合理的配慮については、本人との交渉が必要である。合理的配慮を提供する義務は、配慮要請を受けた時点から適用される</w:t>
      </w:r>
      <w:r w:rsidR="000D59A7" w:rsidRPr="00601C7B">
        <w:rPr>
          <w:rStyle w:val="a7"/>
          <w:rFonts w:ascii="Arial" w:hAnsi="Arial" w:cs="Arial"/>
          <w:sz w:val="22"/>
        </w:rPr>
        <w:footnoteReference w:id="5"/>
      </w:r>
      <w:r w:rsidRPr="00B276F5">
        <w:t>。</w:t>
      </w:r>
      <w:r w:rsidRPr="00B276F5">
        <w:rPr>
          <w:u w:val="single"/>
        </w:rPr>
        <w:t>合理的配慮の提供は</w:t>
      </w:r>
      <w:r w:rsidR="00B75E1D">
        <w:rPr>
          <w:rFonts w:hint="eastAsia"/>
          <w:u w:val="single"/>
        </w:rPr>
        <w:t>就職</w:t>
      </w:r>
      <w:r w:rsidRPr="00B276F5">
        <w:rPr>
          <w:u w:val="single"/>
        </w:rPr>
        <w:t>採用プロセスにも適用されるべきであり、</w:t>
      </w:r>
      <w:r w:rsidRPr="00B276F5">
        <w:rPr>
          <w:rFonts w:hint="eastAsia"/>
          <w:u w:val="single"/>
        </w:rPr>
        <w:t>また</w:t>
      </w:r>
      <w:r w:rsidRPr="00B276F5">
        <w:rPr>
          <w:u w:val="single"/>
        </w:rPr>
        <w:t>アクセシビリティ基準の</w:t>
      </w:r>
      <w:r w:rsidRPr="00B276F5">
        <w:rPr>
          <w:rFonts w:hint="eastAsia"/>
          <w:u w:val="single"/>
        </w:rPr>
        <w:t>義務的</w:t>
      </w:r>
      <w:r w:rsidRPr="00B276F5">
        <w:rPr>
          <w:u w:val="single"/>
        </w:rPr>
        <w:t>適用に代わるものと見なすべきではない。</w:t>
      </w:r>
    </w:p>
    <w:p w14:paraId="3D591597" w14:textId="77777777" w:rsidR="001651C8" w:rsidRPr="00441B2B" w:rsidRDefault="001651C8" w:rsidP="001651C8">
      <w:pPr>
        <w:rPr>
          <w:lang w:val="en-GB"/>
        </w:rPr>
      </w:pPr>
    </w:p>
    <w:p w14:paraId="1D9E0644" w14:textId="77777777" w:rsidR="001651C8" w:rsidRPr="00B276F5" w:rsidRDefault="001651C8" w:rsidP="001651C8">
      <w:pPr>
        <w:rPr>
          <w:u w:val="single"/>
        </w:rPr>
      </w:pPr>
      <w:r>
        <w:t>(</w:t>
      </w:r>
      <w:r>
        <w:rPr>
          <w:rFonts w:hint="eastAsia"/>
        </w:rPr>
        <w:t>パラグラフ</w:t>
      </w:r>
      <w:r>
        <w:t>23</w:t>
      </w:r>
      <w:r>
        <w:rPr>
          <w:rFonts w:hint="eastAsia"/>
        </w:rPr>
        <w:t>新</w:t>
      </w:r>
      <w:r>
        <w:t xml:space="preserve">) </w:t>
      </w:r>
      <w:r>
        <w:rPr>
          <w:rFonts w:hint="eastAsia"/>
        </w:rPr>
        <w:t xml:space="preserve">　</w:t>
      </w:r>
      <w:r w:rsidRPr="00B276F5">
        <w:rPr>
          <w:b/>
          <w:bCs/>
          <w:i/>
          <w:iCs/>
          <w:u w:val="single"/>
        </w:rPr>
        <w:t>アクセシビリティの欠如は差別の一形態である。</w:t>
      </w:r>
      <w:r w:rsidRPr="00B276F5">
        <w:rPr>
          <w:u w:val="single"/>
        </w:rPr>
        <w:t>民間および公共の雇用主は、CRPD 第 9 条に従い、障害</w:t>
      </w:r>
      <w:r>
        <w:rPr>
          <w:rFonts w:hint="eastAsia"/>
          <w:u w:val="single"/>
        </w:rPr>
        <w:t>のある</w:t>
      </w:r>
      <w:r w:rsidRPr="00B276F5">
        <w:rPr>
          <w:u w:val="single"/>
        </w:rPr>
        <w:t>労働者がいな</w:t>
      </w:r>
      <w:r w:rsidRPr="00B276F5">
        <w:rPr>
          <w:rFonts w:hint="eastAsia"/>
          <w:u w:val="single"/>
        </w:rPr>
        <w:t>くても</w:t>
      </w:r>
      <w:r w:rsidRPr="00B276F5">
        <w:rPr>
          <w:u w:val="single"/>
        </w:rPr>
        <w:t>、アクセシビリティが社内で考慮されていることを保証しなければならない。例えば、企業が新しい建物や新しい情報通信技術を調達する場合、それらが最先端のアクセシビリティ基準に適合しているかどうかを確認し、間接的に障害のある人を差別しないようにしなければならない。</w:t>
      </w:r>
    </w:p>
    <w:p w14:paraId="52633253" w14:textId="77777777" w:rsidR="001651C8" w:rsidRPr="00441B2B" w:rsidRDefault="001651C8" w:rsidP="001651C8">
      <w:pPr>
        <w:rPr>
          <w:lang w:val="en-AU"/>
        </w:rPr>
      </w:pPr>
    </w:p>
    <w:p w14:paraId="428E68E7" w14:textId="4C604F51" w:rsidR="001651C8" w:rsidRDefault="001651C8" w:rsidP="001651C8">
      <w:r>
        <w:t>(</w:t>
      </w:r>
      <w:r>
        <w:rPr>
          <w:rFonts w:hint="eastAsia"/>
        </w:rPr>
        <w:t>パラグラフ</w:t>
      </w:r>
      <w:r>
        <w:t>24）</w:t>
      </w:r>
      <w:r w:rsidRPr="00B276F5">
        <w:tab/>
        <w:t>障害のある人は、しばしば交差的および多重的な差別の影響を</w:t>
      </w:r>
      <w:r w:rsidR="004A0DA9">
        <w:rPr>
          <w:rFonts w:hint="eastAsia"/>
        </w:rPr>
        <w:t>偏って</w:t>
      </w:r>
      <w:r w:rsidRPr="00B276F5">
        <w:t>多く受けている。障害のある人の多様性は、働く権利を実現するために</w:t>
      </w:r>
      <w:r w:rsidR="009B2A86">
        <w:rPr>
          <w:rFonts w:hint="eastAsia"/>
        </w:rPr>
        <w:t>多</w:t>
      </w:r>
      <w:r w:rsidRPr="00B276F5">
        <w:t>様な障壁に直面することを意味し、</w:t>
      </w:r>
      <w:r w:rsidR="009B2A86">
        <w:rPr>
          <w:rFonts w:hint="eastAsia"/>
        </w:rPr>
        <w:t>職業生活</w:t>
      </w:r>
      <w:r w:rsidRPr="00B276F5">
        <w:t>を通して労働の様々な経路をたどることを意味する。多重的差別（multiple discrimination）とは、ある人が2つ以上の理由で差別を受け、その結果、差別が複合化または悪化する状況を指す</w:t>
      </w:r>
      <w:r w:rsidR="000D59A7" w:rsidRPr="00601C7B">
        <w:rPr>
          <w:rFonts w:ascii="Arial" w:hAnsi="Arial" w:cs="Arial"/>
          <w:vertAlign w:val="superscript"/>
        </w:rPr>
        <w:footnoteReference w:id="6"/>
      </w:r>
      <w:r w:rsidRPr="00B276F5">
        <w:t>。交差的差別（intersectional discrimination）とは、複数の理由が切り離せない形で同時に相互作用する場合に生じる</w:t>
      </w:r>
      <w:r w:rsidR="000D59A7" w:rsidRPr="00601C7B">
        <w:rPr>
          <w:rFonts w:ascii="Arial" w:hAnsi="Arial" w:cs="Arial"/>
          <w:vertAlign w:val="superscript"/>
        </w:rPr>
        <w:footnoteReference w:id="7"/>
      </w:r>
      <w:r w:rsidRPr="00B276F5">
        <w:t>。</w:t>
      </w:r>
      <w:r w:rsidRPr="00B276F5">
        <w:rPr>
          <w:rFonts w:hint="eastAsia"/>
        </w:rPr>
        <w:t>交差的差別</w:t>
      </w:r>
      <w:r w:rsidR="008203F3">
        <w:rPr>
          <w:rFonts w:hint="eastAsia"/>
        </w:rPr>
        <w:t>と</w:t>
      </w:r>
      <w:r w:rsidRPr="00B276F5">
        <w:rPr>
          <w:rFonts w:hint="eastAsia"/>
        </w:rPr>
        <w:t>は、個人が均質なグループの一員として差別を経験するのではなく、アイデンティティ、地位、生活状況などの多次元の層を持つ個人として差別を経験する</w:t>
      </w:r>
      <w:r w:rsidR="008203F3">
        <w:rPr>
          <w:rFonts w:hint="eastAsia"/>
        </w:rPr>
        <w:t>ことを認める</w:t>
      </w:r>
      <w:r w:rsidRPr="00B276F5">
        <w:rPr>
          <w:rFonts w:hint="eastAsia"/>
        </w:rPr>
        <w:t>ものである。障害以外の理由には、年齢、人種、</w:t>
      </w:r>
      <w:r w:rsidRPr="00B276F5">
        <w:rPr>
          <w:rFonts w:hint="eastAsia"/>
          <w:u w:val="single"/>
        </w:rPr>
        <w:t>少数民族、</w:t>
      </w:r>
      <w:r w:rsidRPr="00B276F5">
        <w:rPr>
          <w:rFonts w:hint="eastAsia"/>
        </w:rPr>
        <w:t>先住民、出身国または社会的出身、難民、移民または</w:t>
      </w:r>
      <w:r w:rsidRPr="00B276F5">
        <w:rPr>
          <w:rFonts w:hint="eastAsia"/>
        </w:rPr>
        <w:lastRenderedPageBreak/>
        <w:t>亡命希望者</w:t>
      </w:r>
      <w:r w:rsidR="00787E1A">
        <w:rPr>
          <w:rFonts w:hint="eastAsia"/>
        </w:rPr>
        <w:t>として</w:t>
      </w:r>
      <w:r w:rsidRPr="00B276F5">
        <w:rPr>
          <w:rFonts w:hint="eastAsia"/>
        </w:rPr>
        <w:t>の地位、政治的またはその他の意見、宗教、性別、性的指向および性自認が含まれる。</w:t>
      </w:r>
    </w:p>
    <w:p w14:paraId="6C5B3C15" w14:textId="77777777" w:rsidR="001651C8" w:rsidRPr="00441B2B" w:rsidRDefault="001651C8" w:rsidP="001651C8">
      <w:pPr>
        <w:rPr>
          <w:lang w:val="en-GB"/>
        </w:rPr>
      </w:pPr>
    </w:p>
    <w:p w14:paraId="031CED7D" w14:textId="2C22ACF2" w:rsidR="001651C8" w:rsidRDefault="001651C8" w:rsidP="001651C8">
      <w:r>
        <w:t>(</w:t>
      </w:r>
      <w:r>
        <w:rPr>
          <w:rFonts w:hint="eastAsia"/>
        </w:rPr>
        <w:t>パラグラフ</w:t>
      </w:r>
      <w:r>
        <w:t xml:space="preserve">30) </w:t>
      </w:r>
      <w:r>
        <w:rPr>
          <w:rFonts w:hint="eastAsia"/>
        </w:rPr>
        <w:t xml:space="preserve">　</w:t>
      </w:r>
      <w:r w:rsidRPr="00B276F5">
        <w:rPr>
          <w:rFonts w:hint="eastAsia"/>
        </w:rPr>
        <w:t xml:space="preserve"> </w:t>
      </w:r>
      <w:r>
        <w:t>障害のある人にとって公正かつ</w:t>
      </w:r>
      <w:r w:rsidR="001810E9">
        <w:rPr>
          <w:rFonts w:hint="eastAsia"/>
        </w:rPr>
        <w:t>好ましい</w:t>
      </w:r>
      <w:r>
        <w:t>労働条件には、</w:t>
      </w:r>
      <w:r>
        <w:rPr>
          <w:rFonts w:hint="eastAsia"/>
        </w:rPr>
        <w:t>退職手当、</w:t>
      </w:r>
      <w:r>
        <w:t>病気休暇、長期勤続休暇、</w:t>
      </w:r>
      <w:r w:rsidRPr="00B276F5">
        <w:rPr>
          <w:u w:val="single"/>
        </w:rPr>
        <w:t>病気の子どもの世話のための休暇を含む</w:t>
      </w:r>
      <w:r>
        <w:t>育児休暇、</w:t>
      </w:r>
      <w:r w:rsidRPr="00B276F5">
        <w:rPr>
          <w:u w:val="single"/>
        </w:rPr>
        <w:t>教育休暇、有給職業訓練</w:t>
      </w:r>
      <w:r>
        <w:t>、昇進、休息、余暇、有給定期</w:t>
      </w:r>
      <w:r>
        <w:rPr>
          <w:rFonts w:hint="eastAsia"/>
        </w:rPr>
        <w:t>休暇</w:t>
      </w:r>
      <w:r>
        <w:t>など他の労働者が</w:t>
      </w:r>
      <w:r>
        <w:rPr>
          <w:rFonts w:hint="eastAsia"/>
        </w:rPr>
        <w:t>もつ</w:t>
      </w:r>
      <w:r>
        <w:t>給付と保護が含まれ</w:t>
      </w:r>
      <w:r>
        <w:rPr>
          <w:rFonts w:hint="eastAsia"/>
        </w:rPr>
        <w:t>る</w:t>
      </w:r>
      <w:r w:rsidR="000D59A7" w:rsidRPr="00601C7B">
        <w:rPr>
          <w:rFonts w:ascii="Arial" w:hAnsi="Arial" w:cs="Arial"/>
          <w:vertAlign w:val="superscript"/>
        </w:rPr>
        <w:footnoteReference w:id="8"/>
      </w:r>
      <w:r>
        <w:t xml:space="preserve">。 </w:t>
      </w:r>
    </w:p>
    <w:p w14:paraId="07CF91A1" w14:textId="77777777" w:rsidR="001651C8" w:rsidRPr="00441B2B" w:rsidRDefault="001651C8" w:rsidP="001651C8">
      <w:pPr>
        <w:rPr>
          <w:lang w:val="en-GB"/>
        </w:rPr>
      </w:pPr>
    </w:p>
    <w:p w14:paraId="41129054" w14:textId="495185AC" w:rsidR="001651C8" w:rsidRDefault="001651C8" w:rsidP="001651C8">
      <w:r>
        <w:t>(</w:t>
      </w:r>
      <w:r>
        <w:rPr>
          <w:rFonts w:hint="eastAsia"/>
        </w:rPr>
        <w:t>パラグラフ</w:t>
      </w:r>
      <w:r>
        <w:t>31）</w:t>
      </w:r>
      <w:r>
        <w:rPr>
          <w:rFonts w:hint="eastAsia"/>
        </w:rPr>
        <w:t xml:space="preserve">　</w:t>
      </w:r>
      <w:r w:rsidRPr="00B276F5">
        <w:rPr>
          <w:rFonts w:hint="eastAsia"/>
        </w:rPr>
        <w:t>障害のある労働者は、障害のない労働者と同一または類似の仕事を行う場合、平等な報酬を受ける権利を有する。また、仕事が全く異なるが、価値が同じである場合も、報酬は平等であるべきである。労働の価値は、客観的な基準によって評価される。締約国は、</w:t>
      </w:r>
      <w:r w:rsidRPr="00B276F5">
        <w:rPr>
          <w:u w:val="single"/>
        </w:rPr>
        <w:t>障害のある男性や障害のない女性よりも低い報酬を受けていることが多い障害のある女性が直面している男女間の賃金格差に特に注意を払うべきである。</w:t>
      </w:r>
      <w:r w:rsidRPr="00441B2B">
        <w:t>また、</w:t>
      </w:r>
      <w:r w:rsidR="00E83050">
        <w:rPr>
          <w:rFonts w:hint="eastAsia"/>
        </w:rPr>
        <w:t>就労</w:t>
      </w:r>
      <w:r w:rsidRPr="00B276F5">
        <w:rPr>
          <w:rFonts w:hint="eastAsia"/>
        </w:rPr>
        <w:t>移行過程</w:t>
      </w:r>
      <w:r w:rsidR="00E83050">
        <w:rPr>
          <w:rFonts w:hint="eastAsia"/>
        </w:rPr>
        <w:t>のための</w:t>
      </w:r>
      <w:r w:rsidRPr="00B276F5">
        <w:rPr>
          <w:rFonts w:hint="eastAsia"/>
        </w:rPr>
        <w:t>分離された職場が最低賃金支払い免除を受け、賃金が最賃を下回ることがないようにしなければならない。</w:t>
      </w:r>
    </w:p>
    <w:p w14:paraId="0037B1E3" w14:textId="77777777" w:rsidR="001651C8" w:rsidRPr="00441B2B" w:rsidRDefault="001651C8" w:rsidP="001651C8">
      <w:pPr>
        <w:rPr>
          <w:lang w:val="en-GB"/>
        </w:rPr>
      </w:pPr>
    </w:p>
    <w:p w14:paraId="73B011AD" w14:textId="5781F571" w:rsidR="001651C8" w:rsidRDefault="001651C8" w:rsidP="001651C8">
      <w:r>
        <w:t>(</w:t>
      </w:r>
      <w:r>
        <w:rPr>
          <w:rFonts w:hint="eastAsia"/>
        </w:rPr>
        <w:t>パラグラフ</w:t>
      </w:r>
      <w:r>
        <w:t>32)</w:t>
      </w:r>
      <w:r>
        <w:rPr>
          <w:rFonts w:hint="eastAsia"/>
        </w:rPr>
        <w:t xml:space="preserve">　</w:t>
      </w:r>
      <w:r w:rsidRPr="00B276F5">
        <w:rPr>
          <w:rFonts w:hint="eastAsia"/>
        </w:rPr>
        <w:t>障害のある労働者の安全で健康的な労働環境への権利には、障害のある人の労働環境における</w:t>
      </w:r>
      <w:r w:rsidR="00A37FF7">
        <w:rPr>
          <w:rFonts w:hint="eastAsia"/>
        </w:rPr>
        <w:t>職業的健康/</w:t>
      </w:r>
      <w:r w:rsidRPr="00B276F5">
        <w:rPr>
          <w:rFonts w:hint="eastAsia"/>
        </w:rPr>
        <w:t>衛生に関する首尾一貫した国家政策の策定が含まれる。この政策の目的は、業務に起因し、業務に関連し、または業務中に発生する事故および傷害を防止することである。</w:t>
      </w:r>
      <w:r w:rsidRPr="00B276F5">
        <w:rPr>
          <w:u w:val="single"/>
        </w:rPr>
        <w:t>これは、職場でのストレスや燃え尽き症候群に関連する精神衛生上の問題をカバーするものでなければならない。</w:t>
      </w:r>
      <w:r w:rsidRPr="00B276F5">
        <w:rPr>
          <w:rFonts w:hint="eastAsia"/>
        </w:rPr>
        <w:t>この政策には、短期・長期</w:t>
      </w:r>
      <w:r w:rsidRPr="00B276F5">
        <w:rPr>
          <w:u w:val="single"/>
        </w:rPr>
        <w:t>あるいは0時間</w:t>
      </w:r>
      <w:r w:rsidRPr="00B276F5">
        <w:rPr>
          <w:rFonts w:hint="eastAsia"/>
        </w:rPr>
        <w:t>契約またはパートタイムで働く人、</w:t>
      </w:r>
      <w:r w:rsidRPr="00B276F5">
        <w:rPr>
          <w:rFonts w:hint="eastAsia"/>
          <w:u w:val="single"/>
        </w:rPr>
        <w:t>リモートで働く人、</w:t>
      </w:r>
      <w:r w:rsidRPr="00B276F5">
        <w:rPr>
          <w:rFonts w:hint="eastAsia"/>
        </w:rPr>
        <w:t>見習い、自営業者、移民労働者、インフォーマル部門の労働者など、すべての障害のある労働者の保護が含まれていなければならない。障害のある労働者を代表する組織は、国家政策の策定、実施、定期的な見直しに参加すべきである。</w:t>
      </w:r>
    </w:p>
    <w:p w14:paraId="44A30D3D" w14:textId="77777777" w:rsidR="001651C8" w:rsidRPr="00441B2B" w:rsidRDefault="001651C8" w:rsidP="001651C8">
      <w:pPr>
        <w:rPr>
          <w:lang w:val="en-GB"/>
        </w:rPr>
      </w:pPr>
    </w:p>
    <w:p w14:paraId="3E3FBAE5" w14:textId="2FB1E7B6" w:rsidR="001651C8" w:rsidRDefault="001651C8" w:rsidP="001651C8">
      <w:r>
        <w:t>(</w:t>
      </w:r>
      <w:r>
        <w:rPr>
          <w:rFonts w:hint="eastAsia"/>
        </w:rPr>
        <w:t>パラグラフ</w:t>
      </w:r>
      <w:r>
        <w:t xml:space="preserve">37) </w:t>
      </w:r>
      <w:r>
        <w:rPr>
          <w:rFonts w:hint="eastAsia"/>
        </w:rPr>
        <w:t xml:space="preserve">　</w:t>
      </w:r>
      <w:r w:rsidRPr="00B276F5">
        <w:rPr>
          <w:rFonts w:hint="eastAsia"/>
        </w:rPr>
        <w:t>団体交渉の取り決めは、障害を理由とする差別をしてはならない。労働条件を規定する場合、協約の対象となる合理的配慮の提供を予期し、またはそれに適合したものでなければならない。</w:t>
      </w:r>
      <w:r w:rsidRPr="00B276F5">
        <w:rPr>
          <w:u w:val="single"/>
        </w:rPr>
        <w:t>障害</w:t>
      </w:r>
      <w:r w:rsidRPr="00B276F5">
        <w:rPr>
          <w:rFonts w:hint="eastAsia"/>
          <w:u w:val="single"/>
        </w:rPr>
        <w:t>のある</w:t>
      </w:r>
      <w:r w:rsidRPr="00B276F5">
        <w:rPr>
          <w:u w:val="single"/>
        </w:rPr>
        <w:t>労働者の</w:t>
      </w:r>
      <w:r w:rsidRPr="00B276F5">
        <w:rPr>
          <w:rFonts w:hint="eastAsia"/>
          <w:u w:val="single"/>
        </w:rPr>
        <w:t>要求</w:t>
      </w:r>
      <w:r w:rsidRPr="00B276F5">
        <w:rPr>
          <w:u w:val="single"/>
        </w:rPr>
        <w:t>を特に</w:t>
      </w:r>
      <w:r w:rsidR="00D07E57">
        <w:rPr>
          <w:rFonts w:hint="eastAsia"/>
          <w:u w:val="single"/>
        </w:rPr>
        <w:t>扱う</w:t>
      </w:r>
      <w:r w:rsidRPr="00B276F5">
        <w:rPr>
          <w:u w:val="single"/>
        </w:rPr>
        <w:t>規定は、協定を結ぶ際の交渉材料として決して使われてはならず、また、障害のある人の</w:t>
      </w:r>
      <w:r w:rsidRPr="00B276F5">
        <w:rPr>
          <w:rFonts w:hint="eastAsia"/>
          <w:u w:val="single"/>
        </w:rPr>
        <w:t>要求</w:t>
      </w:r>
      <w:r w:rsidRPr="00B276F5">
        <w:rPr>
          <w:u w:val="single"/>
        </w:rPr>
        <w:t>をその範囲から除外する場合には、いかなる協定も完全なものとはみなされない。</w:t>
      </w:r>
    </w:p>
    <w:p w14:paraId="2DF1C5F3" w14:textId="77777777" w:rsidR="001651C8" w:rsidRPr="00441B2B" w:rsidRDefault="001651C8" w:rsidP="001651C8">
      <w:pPr>
        <w:rPr>
          <w:lang w:val="en-GB"/>
        </w:rPr>
      </w:pPr>
    </w:p>
    <w:p w14:paraId="2F43BE31" w14:textId="1D1BA6E2" w:rsidR="001651C8" w:rsidRDefault="001651C8" w:rsidP="001651C8">
      <w:r>
        <w:t>(</w:t>
      </w:r>
      <w:r>
        <w:rPr>
          <w:rFonts w:hint="eastAsia"/>
        </w:rPr>
        <w:t>パラグラフ</w:t>
      </w:r>
      <w:r>
        <w:t xml:space="preserve">38) </w:t>
      </w:r>
      <w:r>
        <w:rPr>
          <w:rFonts w:hint="eastAsia"/>
        </w:rPr>
        <w:t xml:space="preserve">　</w:t>
      </w:r>
      <w:r w:rsidRPr="00B276F5">
        <w:rPr>
          <w:rFonts w:hint="eastAsia"/>
        </w:rPr>
        <w:t>障害のある人の労働と雇用の権利を実現するためには、主流の（一般の）技術及び職業指導、訓練及び職業紹介のサービスを平等に差別なく利用することが必要である</w:t>
      </w:r>
      <w:r w:rsidR="000D59A7" w:rsidRPr="00601C7B">
        <w:rPr>
          <w:rStyle w:val="a7"/>
          <w:rFonts w:ascii="Arial" w:hAnsi="Arial" w:cs="Arial"/>
          <w:sz w:val="22"/>
        </w:rPr>
        <w:footnoteReference w:id="9"/>
      </w:r>
      <w:r w:rsidRPr="00B276F5">
        <w:t>。主流のサービスに障害のある人が参加することは、サービスの非分離（non-segregation）を促進し、「障害のある人が開かれた雇用および職業訓練サービスにアクセスする」ことを促進する</w:t>
      </w:r>
      <w:r w:rsidR="008F5A47" w:rsidRPr="00601C7B">
        <w:rPr>
          <w:rStyle w:val="a7"/>
          <w:rFonts w:ascii="Arial" w:hAnsi="Arial" w:cs="Arial"/>
          <w:sz w:val="22"/>
        </w:rPr>
        <w:footnoteReference w:id="10"/>
      </w:r>
      <w:r w:rsidRPr="00B276F5">
        <w:t>。これらは、職に就いたり、雇用されている間を通じて、または職場異動のために適切であるかもしれない。</w:t>
      </w:r>
      <w:r w:rsidR="00AF0459">
        <w:rPr>
          <w:rFonts w:hint="eastAsia"/>
        </w:rPr>
        <w:t>締約</w:t>
      </w:r>
      <w:r w:rsidRPr="00B276F5">
        <w:t>国には、他の人と平等に能力および業績を認証</w:t>
      </w:r>
      <w:r w:rsidR="00AF0459">
        <w:rPr>
          <w:rFonts w:hint="eastAsia"/>
        </w:rPr>
        <w:t>することを可能に</w:t>
      </w:r>
      <w:r w:rsidRPr="00441B2B">
        <w:rPr>
          <w:rFonts w:hint="eastAsia"/>
        </w:rPr>
        <w:t>し</w:t>
      </w:r>
      <w:r w:rsidRPr="00B276F5">
        <w:rPr>
          <w:rFonts w:hint="eastAsia"/>
          <w:u w:val="single"/>
        </w:rPr>
        <w:t>積極的に促進</w:t>
      </w:r>
      <w:r w:rsidRPr="00B276F5">
        <w:rPr>
          <w:rFonts w:hint="eastAsia"/>
        </w:rPr>
        <w:t>する</w:t>
      </w:r>
      <w:r w:rsidRPr="00B276F5">
        <w:t>措置、職業訓練を扱う法律に</w:t>
      </w:r>
      <w:r w:rsidRPr="00B276F5">
        <w:rPr>
          <w:rFonts w:hint="eastAsia"/>
        </w:rPr>
        <w:t>障害のある人を明示的に含めること、職業訓練の一般法制に障害のある人を明示すること、アクセス可能な施設・情報および資料、障害のある人の権利に関する雇用分野の職員研修の提供、合理的配慮措置への資金提供、なども求められる。職業および専門的な準備、訓練、およびその他のサービスは、アクセス可能でインクルーシブな方法で提供されるべきである。</w:t>
      </w:r>
    </w:p>
    <w:p w14:paraId="54E41925" w14:textId="77777777" w:rsidR="001651C8" w:rsidRPr="00441B2B" w:rsidRDefault="001651C8" w:rsidP="001651C8">
      <w:pPr>
        <w:rPr>
          <w:lang w:val="en-GB"/>
        </w:rPr>
      </w:pPr>
    </w:p>
    <w:p w14:paraId="4DA574E3" w14:textId="110E0560" w:rsidR="001651C8" w:rsidRDefault="001651C8" w:rsidP="001651C8">
      <w:r>
        <w:t>(</w:t>
      </w:r>
      <w:r>
        <w:rPr>
          <w:rFonts w:hint="eastAsia"/>
        </w:rPr>
        <w:t>パラグラフ</w:t>
      </w:r>
      <w:r>
        <w:t xml:space="preserve">42) </w:t>
      </w:r>
      <w:r>
        <w:rPr>
          <w:rFonts w:hint="eastAsia"/>
        </w:rPr>
        <w:t xml:space="preserve">　</w:t>
      </w:r>
      <w:r w:rsidRPr="00B276F5">
        <w:rPr>
          <w:rFonts w:hint="eastAsia"/>
        </w:rPr>
        <w:t>自由に選択できる労働の機会を促進するためには、起業、零細・中小企業、コーポラティブ（協同組合）など他の形態の事業モデルに関するアクセ</w:t>
      </w:r>
      <w:r w:rsidR="00C966EC">
        <w:rPr>
          <w:rFonts w:hint="eastAsia"/>
        </w:rPr>
        <w:t>スしやすい</w:t>
      </w:r>
      <w:r w:rsidRPr="00B276F5">
        <w:rPr>
          <w:rFonts w:hint="eastAsia"/>
        </w:rPr>
        <w:t>情報が必要である</w:t>
      </w:r>
      <w:r w:rsidR="008F5A47" w:rsidRPr="00601C7B">
        <w:rPr>
          <w:rStyle w:val="a7"/>
          <w:rFonts w:ascii="Arial" w:hAnsi="Arial" w:cs="Arial"/>
          <w:sz w:val="22"/>
          <w:lang w:val="en-AU"/>
        </w:rPr>
        <w:footnoteReference w:id="11"/>
      </w:r>
      <w:r w:rsidRPr="00B276F5">
        <w:t>。事業サービス、市場、インフラと技術、</w:t>
      </w:r>
      <w:r w:rsidR="00C966EC">
        <w:rPr>
          <w:rFonts w:hint="eastAsia"/>
        </w:rPr>
        <w:t>職業的な</w:t>
      </w:r>
      <w:r w:rsidRPr="00B276F5">
        <w:t>安全</w:t>
      </w:r>
      <w:r w:rsidR="00C966EC">
        <w:rPr>
          <w:rFonts w:hint="eastAsia"/>
        </w:rPr>
        <w:t>や</w:t>
      </w:r>
      <w:r w:rsidRPr="00B276F5">
        <w:t>衛生への差別のないアクセスは、</w:t>
      </w:r>
      <w:r w:rsidRPr="00B276F5">
        <w:rPr>
          <w:u w:val="single"/>
        </w:rPr>
        <w:t>特に障害のある女性にとって、</w:t>
      </w:r>
      <w:r>
        <w:t>金融サービス、</w:t>
      </w:r>
      <w:r w:rsidRPr="00B276F5">
        <w:rPr>
          <w:u w:val="single"/>
        </w:rPr>
        <w:t>事業助成金や融資などの資金源、</w:t>
      </w:r>
      <w:r w:rsidRPr="00B276F5">
        <w:t>指導、ネットワーキングへの差別のないアクセスとともに考慮される必要がある。締約国は、税務当局や社会保障機関を含む様々なレベルの政府間で調整された統合的な政策枠組みの策定と実施を検討する必要がある</w:t>
      </w:r>
      <w:r w:rsidR="008F5A47" w:rsidRPr="00601C7B">
        <w:rPr>
          <w:rStyle w:val="a7"/>
          <w:rFonts w:ascii="Arial" w:hAnsi="Arial" w:cs="Arial"/>
          <w:sz w:val="22"/>
          <w:lang w:val="en-AU"/>
        </w:rPr>
        <w:footnoteReference w:id="12"/>
      </w:r>
      <w:r w:rsidRPr="00B276F5">
        <w:t>。</w:t>
      </w:r>
    </w:p>
    <w:p w14:paraId="5F81F723" w14:textId="77777777" w:rsidR="001651C8" w:rsidRPr="00441B2B" w:rsidRDefault="001651C8" w:rsidP="001651C8">
      <w:pPr>
        <w:rPr>
          <w:lang w:val="en-AU"/>
        </w:rPr>
      </w:pPr>
      <w:bookmarkStart w:id="2" w:name="AP12"/>
      <w:bookmarkEnd w:id="2"/>
    </w:p>
    <w:p w14:paraId="17F2EF48" w14:textId="7C66E5CB" w:rsidR="001651C8" w:rsidRDefault="001651C8" w:rsidP="001651C8">
      <w:r>
        <w:t>(</w:t>
      </w:r>
      <w:r>
        <w:rPr>
          <w:rFonts w:hint="eastAsia"/>
        </w:rPr>
        <w:t>パラグラフ</w:t>
      </w:r>
      <w:r>
        <w:t xml:space="preserve">44) </w:t>
      </w:r>
      <w:r>
        <w:rPr>
          <w:rFonts w:hint="eastAsia"/>
        </w:rPr>
        <w:t xml:space="preserve">　</w:t>
      </w:r>
      <w:r w:rsidRPr="00B276F5">
        <w:rPr>
          <w:rFonts w:hint="eastAsia"/>
        </w:rPr>
        <w:t>委員会は、締約国に対し、公共</w:t>
      </w:r>
      <w:r w:rsidR="00A82A9E">
        <w:rPr>
          <w:rFonts w:hint="eastAsia"/>
        </w:rPr>
        <w:t>セクター</w:t>
      </w:r>
      <w:r w:rsidRPr="00B276F5">
        <w:rPr>
          <w:rFonts w:hint="eastAsia"/>
        </w:rPr>
        <w:t>における障害のある人の雇用を増やす努力として、積極的差別是正措置、および障害のある人の雇用および職業プログラムを促進する目的の資金を</w:t>
      </w:r>
      <w:r w:rsidR="00A82A9E">
        <w:rPr>
          <w:rFonts w:hint="eastAsia"/>
        </w:rPr>
        <w:t>作り出</w:t>
      </w:r>
      <w:r w:rsidRPr="00B276F5">
        <w:rPr>
          <w:rFonts w:hint="eastAsia"/>
        </w:rPr>
        <w:t>し、実施するよう勧告している</w:t>
      </w:r>
      <w:r w:rsidR="008F5A47" w:rsidRPr="00601C7B">
        <w:rPr>
          <w:rStyle w:val="a7"/>
          <w:rFonts w:ascii="Arial" w:hAnsi="Arial" w:cs="Arial"/>
          <w:sz w:val="22"/>
        </w:rPr>
        <w:footnoteReference w:id="13"/>
      </w:r>
      <w:r w:rsidRPr="00B276F5">
        <w:t>。さらに、</w:t>
      </w:r>
      <w:r w:rsidR="00FF04FD">
        <w:rPr>
          <w:rFonts w:hint="eastAsia"/>
        </w:rPr>
        <w:t>その措置には、</w:t>
      </w:r>
      <w:r w:rsidRPr="00B276F5">
        <w:rPr>
          <w:u w:val="single"/>
        </w:rPr>
        <w:lastRenderedPageBreak/>
        <w:t>公共</w:t>
      </w:r>
      <w:r w:rsidR="00A82A9E">
        <w:rPr>
          <w:rFonts w:hint="eastAsia"/>
          <w:u w:val="single"/>
        </w:rPr>
        <w:t>セクター</w:t>
      </w:r>
      <w:r w:rsidRPr="00B276F5">
        <w:rPr>
          <w:u w:val="single"/>
        </w:rPr>
        <w:t>が公</w:t>
      </w:r>
      <w:r w:rsidR="00A82A9E">
        <w:rPr>
          <w:rFonts w:hint="eastAsia"/>
          <w:u w:val="single"/>
        </w:rPr>
        <w:t>的な</w:t>
      </w:r>
      <w:r w:rsidRPr="00B276F5">
        <w:rPr>
          <w:u w:val="single"/>
        </w:rPr>
        <w:t>調達を通じて質の高い社会的協同企業を支援することを奨励するとともに、</w:t>
      </w:r>
      <w:r w:rsidRPr="00B276F5">
        <w:t>割当雇用や</w:t>
      </w:r>
      <w:r w:rsidR="00FF04FD">
        <w:rPr>
          <w:rFonts w:hint="eastAsia"/>
        </w:rPr>
        <w:t>ターゲット雇用</w:t>
      </w:r>
      <w:r w:rsidRPr="00B276F5">
        <w:t>も含まれる。採用されたすべての措置は、公的機関がそれをどのように遵守しているかを報告する年次報告義務を伴うべきである。</w:t>
      </w:r>
      <w:r w:rsidRPr="00B276F5">
        <w:rPr>
          <w:u w:val="single"/>
        </w:rPr>
        <w:t>この報告には、必要であれば、公共</w:t>
      </w:r>
      <w:r w:rsidR="00FF04FD">
        <w:rPr>
          <w:rFonts w:hint="eastAsia"/>
          <w:u w:val="single"/>
        </w:rPr>
        <w:t>セクター</w:t>
      </w:r>
      <w:r w:rsidRPr="00B276F5">
        <w:rPr>
          <w:u w:val="single"/>
        </w:rPr>
        <w:t>での雇用から最も排除されている障害のある人</w:t>
      </w:r>
      <w:r w:rsidRPr="00B276F5">
        <w:rPr>
          <w:rFonts w:hint="eastAsia"/>
          <w:u w:val="single"/>
        </w:rPr>
        <w:t>に関して、特定の目標または割当を設定するために、障害の種類ごとに分類されたデータを含めるべきである。</w:t>
      </w:r>
    </w:p>
    <w:p w14:paraId="7772E05F" w14:textId="77777777" w:rsidR="00BF2B67" w:rsidRPr="00441B2B" w:rsidRDefault="00BF2B67" w:rsidP="001651C8">
      <w:pPr>
        <w:rPr>
          <w:lang w:val="en-GB"/>
        </w:rPr>
      </w:pPr>
    </w:p>
    <w:p w14:paraId="686388E9" w14:textId="4EA6251C" w:rsidR="001651C8" w:rsidRDefault="001651C8" w:rsidP="001651C8">
      <w:r>
        <w:t>(</w:t>
      </w:r>
      <w:r>
        <w:rPr>
          <w:rFonts w:hint="eastAsia"/>
        </w:rPr>
        <w:t>パラグラフ</w:t>
      </w:r>
      <w:r>
        <w:t xml:space="preserve">46) </w:t>
      </w:r>
      <w:r>
        <w:rPr>
          <w:rFonts w:hint="eastAsia"/>
        </w:rPr>
        <w:t xml:space="preserve">　</w:t>
      </w:r>
      <w:r w:rsidRPr="00B276F5">
        <w:rPr>
          <w:rFonts w:hint="eastAsia"/>
        </w:rPr>
        <w:t>委員会は、締約国に対して、公共</w:t>
      </w:r>
      <w:r w:rsidR="00B4347A">
        <w:rPr>
          <w:rFonts w:hint="eastAsia"/>
        </w:rPr>
        <w:t>セクター</w:t>
      </w:r>
      <w:r w:rsidRPr="00B276F5">
        <w:rPr>
          <w:rFonts w:hint="eastAsia"/>
        </w:rPr>
        <w:t>における障害のある人の雇用を増加させるための戦略を勧告しているが、それは民間</w:t>
      </w:r>
      <w:r w:rsidR="00B4347A">
        <w:rPr>
          <w:rFonts w:hint="eastAsia"/>
        </w:rPr>
        <w:t>セクター</w:t>
      </w:r>
      <w:r w:rsidRPr="00B276F5">
        <w:rPr>
          <w:rFonts w:hint="eastAsia"/>
        </w:rPr>
        <w:t>にも同様に適用できる。また、民間</w:t>
      </w:r>
      <w:r w:rsidR="00B4347A">
        <w:rPr>
          <w:rFonts w:hint="eastAsia"/>
        </w:rPr>
        <w:t>セクター</w:t>
      </w:r>
      <w:r w:rsidRPr="00B276F5">
        <w:rPr>
          <w:rFonts w:hint="eastAsia"/>
        </w:rPr>
        <w:t>における障害のある人の雇用を増加させるために、割当雇用のような特定の積極的差別是正措置が必要な場合がある。</w:t>
      </w:r>
      <w:r w:rsidRPr="00B276F5">
        <w:rPr>
          <w:u w:val="single"/>
        </w:rPr>
        <w:t>民間</w:t>
      </w:r>
      <w:r w:rsidR="00B4347A">
        <w:rPr>
          <w:rFonts w:hint="eastAsia"/>
          <w:u w:val="single"/>
        </w:rPr>
        <w:t>セクター</w:t>
      </w:r>
      <w:r w:rsidRPr="00B276F5">
        <w:rPr>
          <w:u w:val="single"/>
        </w:rPr>
        <w:t>における割当の導入は、雇用</w:t>
      </w:r>
      <w:r w:rsidRPr="00B276F5">
        <w:rPr>
          <w:rFonts w:hint="eastAsia"/>
          <w:u w:val="single"/>
        </w:rPr>
        <w:t>主</w:t>
      </w:r>
      <w:r w:rsidRPr="00B276F5">
        <w:rPr>
          <w:u w:val="single"/>
        </w:rPr>
        <w:t>にこれらの義務の尊重を強制する措置を伴うべきである。割当の不履行に対して罰金が課される場合、このお金がどこに行くのか、また、開かれた労働市場に</w:t>
      </w:r>
      <w:r w:rsidR="00B4347A">
        <w:rPr>
          <w:rFonts w:hint="eastAsia"/>
          <w:u w:val="single"/>
        </w:rPr>
        <w:t>おける</w:t>
      </w:r>
      <w:r w:rsidRPr="00B276F5">
        <w:rPr>
          <w:u w:val="single"/>
        </w:rPr>
        <w:t>障害のある人</w:t>
      </w:r>
      <w:r w:rsidR="00B4347A">
        <w:rPr>
          <w:rFonts w:hint="eastAsia"/>
          <w:u w:val="single"/>
        </w:rPr>
        <w:t>のインクルージョンの</w:t>
      </w:r>
      <w:r w:rsidRPr="00B276F5">
        <w:rPr>
          <w:u w:val="single"/>
        </w:rPr>
        <w:t>ためのさらなる投資にどのように使われるのかについて透明性を確保する</w:t>
      </w:r>
      <w:r w:rsidRPr="00B276F5">
        <w:rPr>
          <w:rFonts w:hint="eastAsia"/>
          <w:u w:val="single"/>
        </w:rPr>
        <w:t>必要がある。また、割当を尊重する代わりに、常に罰金を支払っている企業に対する是正措置も必要である。</w:t>
      </w:r>
      <w:r w:rsidRPr="00B276F5">
        <w:rPr>
          <w:rFonts w:hint="eastAsia"/>
        </w:rPr>
        <w:t>同時に、割当雇用だけでは障害のある人の雇用を促進するには不十分であり、能力ではなく機能障害に焦点を当てた制度には、</w:t>
      </w:r>
      <w:r w:rsidR="00A37FF7">
        <w:rPr>
          <w:rFonts w:hint="eastAsia"/>
        </w:rPr>
        <w:t>抵抗のある障害者もいる</w:t>
      </w:r>
      <w:r w:rsidRPr="00B276F5">
        <w:rPr>
          <w:rFonts w:hint="eastAsia"/>
        </w:rPr>
        <w:t>。また、割当制度は守秘義務の問題を引き起こす。その他の積極的差別是正措置としては、労働環境の</w:t>
      </w:r>
      <w:r w:rsidR="00D51CE0">
        <w:rPr>
          <w:rFonts w:hint="eastAsia"/>
        </w:rPr>
        <w:t>修正</w:t>
      </w:r>
      <w:r w:rsidRPr="00B276F5">
        <w:rPr>
          <w:rFonts w:hint="eastAsia"/>
        </w:rPr>
        <w:t>、見習い賃金支援、給与税控除、賃金補助（</w:t>
      </w:r>
      <w:r w:rsidRPr="00B276F5">
        <w:t>wage subsidies）など、障害者雇用を促進するための的を絞った資金助成が考えられる。</w:t>
      </w:r>
    </w:p>
    <w:p w14:paraId="4D883866" w14:textId="77777777" w:rsidR="001651C8" w:rsidRPr="00441B2B" w:rsidRDefault="001651C8" w:rsidP="001651C8">
      <w:pPr>
        <w:rPr>
          <w:lang w:val="en-GB"/>
        </w:rPr>
      </w:pPr>
    </w:p>
    <w:p w14:paraId="7DE86E27" w14:textId="637CF013" w:rsidR="001651C8" w:rsidRDefault="001651C8" w:rsidP="001651C8">
      <w:r>
        <w:t>(</w:t>
      </w:r>
      <w:r>
        <w:rPr>
          <w:rFonts w:hint="eastAsia"/>
        </w:rPr>
        <w:t>パラグラフ</w:t>
      </w:r>
      <w:r>
        <w:t xml:space="preserve">50) </w:t>
      </w:r>
      <w:r>
        <w:rPr>
          <w:rFonts w:hint="eastAsia"/>
        </w:rPr>
        <w:t xml:space="preserve">　</w:t>
      </w:r>
      <w:r w:rsidRPr="00B276F5">
        <w:rPr>
          <w:rFonts w:hint="eastAsia"/>
        </w:rPr>
        <w:t>合理的配慮の提供義務は、配慮の要請を受けた時点から適用される協力的かつ双方向のプロセスであり、雇用主が従業員と対話に入ることを要求する</w:t>
      </w:r>
      <w:r w:rsidR="008F5A47" w:rsidRPr="00601C7B">
        <w:rPr>
          <w:rStyle w:val="a7"/>
          <w:rFonts w:ascii="Arial" w:hAnsi="Arial" w:cs="Arial"/>
          <w:sz w:val="22"/>
        </w:rPr>
        <w:footnoteReference w:id="14"/>
      </w:r>
      <w:r w:rsidRPr="00B276F5">
        <w:t>。その提供は、「不釣り合いまたは</w:t>
      </w:r>
      <w:r w:rsidR="00811FE3">
        <w:rPr>
          <w:rFonts w:hint="eastAsia"/>
        </w:rPr>
        <w:t>過重</w:t>
      </w:r>
      <w:r w:rsidRPr="00B276F5">
        <w:t>な負担」の概念によって制限される。こ</w:t>
      </w:r>
      <w:r w:rsidR="00811FE3">
        <w:rPr>
          <w:rFonts w:hint="eastAsia"/>
        </w:rPr>
        <w:t>の概念</w:t>
      </w:r>
      <w:r w:rsidRPr="00B276F5">
        <w:t>は、「採用される手段とその目的（労働・雇用の権利の享受）との釣り合いの関係（proportional relationship）」を客観的に分析すること</w:t>
      </w:r>
      <w:r w:rsidR="00811FE3">
        <w:rPr>
          <w:rFonts w:hint="eastAsia"/>
        </w:rPr>
        <w:t>を求め</w:t>
      </w:r>
      <w:r w:rsidRPr="00B276F5">
        <w:t>る</w:t>
      </w:r>
      <w:r w:rsidR="008F5A47" w:rsidRPr="00601C7B">
        <w:rPr>
          <w:rFonts w:ascii="Arial" w:hAnsi="Arial" w:cs="Arial"/>
          <w:b/>
          <w:vertAlign w:val="superscript"/>
        </w:rPr>
        <w:footnoteReference w:id="15"/>
      </w:r>
      <w:r w:rsidRPr="00B276F5">
        <w:t>。</w:t>
      </w:r>
      <w:r w:rsidRPr="00B276F5">
        <w:rPr>
          <w:u w:val="single"/>
        </w:rPr>
        <w:t>さらに労働検査官は、</w:t>
      </w:r>
      <w:r w:rsidRPr="00B276F5">
        <w:rPr>
          <w:rFonts w:hint="eastAsia"/>
          <w:u w:val="single"/>
        </w:rPr>
        <w:t>雇用主</w:t>
      </w:r>
      <w:r w:rsidRPr="00B276F5">
        <w:rPr>
          <w:u w:val="single"/>
        </w:rPr>
        <w:t>が障害</w:t>
      </w:r>
      <w:r>
        <w:rPr>
          <w:rFonts w:hint="eastAsia"/>
          <w:u w:val="single"/>
        </w:rPr>
        <w:t>のある</w:t>
      </w:r>
      <w:r w:rsidRPr="00B276F5">
        <w:rPr>
          <w:u w:val="single"/>
        </w:rPr>
        <w:t>従業員に合理的配慮を提供しているか</w:t>
      </w:r>
      <w:r>
        <w:rPr>
          <w:rFonts w:hint="eastAsia"/>
          <w:u w:val="single"/>
        </w:rPr>
        <w:t>否</w:t>
      </w:r>
      <w:r w:rsidRPr="00B276F5">
        <w:rPr>
          <w:u w:val="single"/>
        </w:rPr>
        <w:t>かを、</w:t>
      </w:r>
      <w:r w:rsidR="00A37FF7">
        <w:rPr>
          <w:rFonts w:hint="eastAsia"/>
          <w:u w:val="single"/>
        </w:rPr>
        <w:t>自発的に</w:t>
      </w:r>
      <w:r w:rsidRPr="00B276F5">
        <w:rPr>
          <w:u w:val="single"/>
        </w:rPr>
        <w:t>または職権で確認する必要がある。</w:t>
      </w:r>
    </w:p>
    <w:p w14:paraId="58D6CAD9" w14:textId="77777777" w:rsidR="001651C8" w:rsidRPr="00441B2B" w:rsidRDefault="001651C8" w:rsidP="001651C8">
      <w:pPr>
        <w:rPr>
          <w:lang w:val="en-GB"/>
        </w:rPr>
      </w:pPr>
    </w:p>
    <w:p w14:paraId="4330CA43" w14:textId="77777777" w:rsidR="001651C8" w:rsidRDefault="001651C8" w:rsidP="001651C8">
      <w:r>
        <w:t>(</w:t>
      </w:r>
      <w:r>
        <w:rPr>
          <w:rFonts w:hint="eastAsia"/>
        </w:rPr>
        <w:t>パラグラフ</w:t>
      </w:r>
      <w:r>
        <w:t xml:space="preserve">50 </w:t>
      </w:r>
      <w:r>
        <w:rPr>
          <w:rFonts w:hint="eastAsia"/>
        </w:rPr>
        <w:t>新</w:t>
      </w:r>
      <w:r>
        <w:t xml:space="preserve">) </w:t>
      </w:r>
      <w:r>
        <w:rPr>
          <w:rFonts w:hint="eastAsia"/>
        </w:rPr>
        <w:t xml:space="preserve">　</w:t>
      </w:r>
      <w:r w:rsidRPr="00B276F5">
        <w:rPr>
          <w:u w:val="single"/>
        </w:rPr>
        <w:t>締約国は、合理的配慮のための措置を実施する雇用</w:t>
      </w:r>
      <w:r w:rsidRPr="00B276F5">
        <w:rPr>
          <w:rFonts w:hint="eastAsia"/>
          <w:u w:val="single"/>
        </w:rPr>
        <w:t>主</w:t>
      </w:r>
      <w:r w:rsidRPr="00B276F5">
        <w:rPr>
          <w:u w:val="single"/>
        </w:rPr>
        <w:t>を支援すべきである。必要な場合には、雇用主が必要な投資を行うことができるよう、締約国は財政的支援を行うべきであり、また、すべての従業員の</w:t>
      </w:r>
      <w:r w:rsidRPr="00B276F5">
        <w:rPr>
          <w:rFonts w:hint="eastAsia"/>
          <w:u w:val="single"/>
        </w:rPr>
        <w:t>要求</w:t>
      </w:r>
      <w:r w:rsidRPr="00B276F5">
        <w:rPr>
          <w:u w:val="single"/>
        </w:rPr>
        <w:t>を満たすために何から始めればよいかを</w:t>
      </w:r>
      <w:r w:rsidRPr="00B276F5">
        <w:rPr>
          <w:u w:val="single"/>
        </w:rPr>
        <w:lastRenderedPageBreak/>
        <w:t>雇用主が理解できるよう、ガイダンスを提供するべきである。</w:t>
      </w:r>
      <w:r>
        <w:t xml:space="preserve"> </w:t>
      </w:r>
    </w:p>
    <w:p w14:paraId="41CC479A" w14:textId="77777777" w:rsidR="001651C8" w:rsidRPr="00441B2B" w:rsidRDefault="001651C8" w:rsidP="001651C8">
      <w:pPr>
        <w:rPr>
          <w:lang w:val="en-GB"/>
        </w:rPr>
      </w:pPr>
    </w:p>
    <w:p w14:paraId="54E3C1ED" w14:textId="4B12FFF7" w:rsidR="001651C8" w:rsidRDefault="001651C8" w:rsidP="001651C8">
      <w:r>
        <w:t>(</w:t>
      </w:r>
      <w:r>
        <w:rPr>
          <w:rFonts w:hint="eastAsia"/>
        </w:rPr>
        <w:t>パラグラフ</w:t>
      </w:r>
      <w:r>
        <w:t xml:space="preserve">62) </w:t>
      </w:r>
      <w:r>
        <w:rPr>
          <w:rFonts w:hint="eastAsia"/>
        </w:rPr>
        <w:t xml:space="preserve">　</w:t>
      </w:r>
      <w:r w:rsidRPr="00B276F5">
        <w:rPr>
          <w:rFonts w:hint="eastAsia"/>
        </w:rPr>
        <w:t>尊重の義務は、締約国に対し、特に、すべての障害のある人のディーセントワークへの平等なアクセスを否定または制限することを控えること、障害に基づく国内最低賃金の支払いを免除する仕組みを控えること、強制または義務的労働を禁止することにより、労働権の享有を直接的または間接的に妨害することを控えるよう求めるものである。締約国は、障害のある女性及び若年者が公正かつ良好な労働条件を確保する権利を尊重する義務に拘束され、したがって、交差的差別と闘い、昇進の機会均等及び同一価値の労働に対する同一報酬を促進するための措置を講じなければならない。労働の価値に関する締約国による</w:t>
      </w:r>
      <w:r w:rsidR="007515F1">
        <w:rPr>
          <w:rFonts w:hint="eastAsia"/>
        </w:rPr>
        <w:t>労働の価値に関する</w:t>
      </w:r>
      <w:r w:rsidRPr="00B276F5">
        <w:rPr>
          <w:rFonts w:hint="eastAsia"/>
        </w:rPr>
        <w:t>いかなる評価も、障害のある女性が主に行う労働を過小評価する可能性のある、障害のある人の性別やジェンダーに関わる固定観念を避ける必要がある</w:t>
      </w:r>
      <w:r w:rsidR="00A30623" w:rsidRPr="00601C7B">
        <w:rPr>
          <w:rStyle w:val="a7"/>
          <w:rFonts w:ascii="Arial" w:hAnsi="Arial" w:cs="Arial"/>
          <w:sz w:val="22"/>
        </w:rPr>
        <w:footnoteReference w:id="16"/>
      </w:r>
      <w:r w:rsidRPr="00B276F5">
        <w:t>。さらに、締約国は、障害を「働けないこと」と関連付ける法律、政策、プログラムの障壁を取り除くための措置を直ちに講じるべきである。特に、障害の状態を評価または分類する措置は、障害のある人の働く権利の制限に基づくもの、あるいはそれにつながるものであってはならない。</w:t>
      </w:r>
      <w:r w:rsidRPr="00B276F5">
        <w:rPr>
          <w:u w:val="single"/>
        </w:rPr>
        <w:t>また、仕事を始めるという人の決断が障害評価に反するとみなされたり、その時点から障害手当やサービスを受ける権利に疑問が持</w:t>
      </w:r>
      <w:r w:rsidRPr="00B276F5">
        <w:rPr>
          <w:rFonts w:hint="eastAsia"/>
          <w:u w:val="single"/>
        </w:rPr>
        <w:t>たれることがあってはならない。</w:t>
      </w:r>
    </w:p>
    <w:p w14:paraId="409378EA" w14:textId="77777777" w:rsidR="001651C8" w:rsidRPr="00441B2B" w:rsidRDefault="001651C8" w:rsidP="001651C8">
      <w:pPr>
        <w:rPr>
          <w:lang w:val="en-GB"/>
        </w:rPr>
      </w:pPr>
    </w:p>
    <w:p w14:paraId="74927E59" w14:textId="1A162B6A" w:rsidR="001651C8" w:rsidRDefault="001651C8" w:rsidP="001651C8">
      <w:r>
        <w:t>(</w:t>
      </w:r>
      <w:r>
        <w:rPr>
          <w:rFonts w:hint="eastAsia"/>
        </w:rPr>
        <w:t>パラグラフ</w:t>
      </w:r>
      <w:r>
        <w:t xml:space="preserve">72,b </w:t>
      </w:r>
      <w:r>
        <w:rPr>
          <w:rFonts w:hint="eastAsia"/>
        </w:rPr>
        <w:t>新</w:t>
      </w:r>
      <w:r>
        <w:t>)</w:t>
      </w:r>
      <w:r>
        <w:rPr>
          <w:rFonts w:hint="eastAsia"/>
        </w:rPr>
        <w:t xml:space="preserve">　</w:t>
      </w:r>
      <w:r>
        <w:t xml:space="preserve"> </w:t>
      </w:r>
      <w:r w:rsidRPr="00B276F5">
        <w:rPr>
          <w:u w:val="single"/>
        </w:rPr>
        <w:t>公</w:t>
      </w:r>
      <w:r w:rsidR="00803F24">
        <w:rPr>
          <w:rFonts w:hint="eastAsia"/>
          <w:u w:val="single"/>
        </w:rPr>
        <w:t>共</w:t>
      </w:r>
      <w:r w:rsidRPr="00B276F5">
        <w:rPr>
          <w:u w:val="single"/>
        </w:rPr>
        <w:t>および民間</w:t>
      </w:r>
      <w:r w:rsidR="00803F24">
        <w:rPr>
          <w:rFonts w:hint="eastAsia"/>
          <w:u w:val="single"/>
        </w:rPr>
        <w:t>セクター</w:t>
      </w:r>
      <w:r w:rsidRPr="00B276F5">
        <w:rPr>
          <w:u w:val="single"/>
        </w:rPr>
        <w:t>における間接差別としてのアクセシビリティの否定。</w:t>
      </w:r>
    </w:p>
    <w:p w14:paraId="33061844" w14:textId="77777777" w:rsidR="001651C8" w:rsidRPr="00441B2B" w:rsidRDefault="001651C8" w:rsidP="001651C8">
      <w:pPr>
        <w:rPr>
          <w:lang w:val="en-GB"/>
        </w:rPr>
      </w:pPr>
    </w:p>
    <w:p w14:paraId="0BDDACF7" w14:textId="77777777" w:rsidR="001651C8" w:rsidRDefault="001651C8" w:rsidP="001651C8">
      <w:r>
        <w:t>(</w:t>
      </w:r>
      <w:r>
        <w:rPr>
          <w:rFonts w:hint="eastAsia"/>
        </w:rPr>
        <w:t>パラグラフ</w:t>
      </w:r>
      <w:r>
        <w:t>72,d,i)</w:t>
      </w:r>
      <w:r>
        <w:rPr>
          <w:rFonts w:hint="eastAsia"/>
        </w:rPr>
        <w:t xml:space="preserve">　</w:t>
      </w:r>
      <w:r>
        <w:t>障害のある人が最低賃金を下回ることなく、就労開始時に、</w:t>
      </w:r>
      <w:r w:rsidRPr="00B276F5">
        <w:rPr>
          <w:u w:val="single"/>
        </w:rPr>
        <w:t>または配偶者や世帯員の収入を理由に</w:t>
      </w:r>
      <w:r>
        <w:t>障害手当の給付を失わないようにすること。</w:t>
      </w:r>
    </w:p>
    <w:p w14:paraId="5241456A" w14:textId="77777777" w:rsidR="001651C8" w:rsidRPr="00441B2B" w:rsidRDefault="001651C8" w:rsidP="001651C8">
      <w:pPr>
        <w:rPr>
          <w:lang w:val="en-GB"/>
        </w:rPr>
      </w:pPr>
    </w:p>
    <w:p w14:paraId="2D10CA80" w14:textId="5F8C4863" w:rsidR="001651C8" w:rsidRDefault="001651C8" w:rsidP="001651C8">
      <w:r>
        <w:t>(</w:t>
      </w:r>
      <w:r>
        <w:rPr>
          <w:rFonts w:hint="eastAsia"/>
        </w:rPr>
        <w:t>パラグラフ</w:t>
      </w:r>
      <w:r>
        <w:t>79）</w:t>
      </w:r>
      <w:r>
        <w:rPr>
          <w:rFonts w:hint="eastAsia"/>
        </w:rPr>
        <w:t xml:space="preserve">　</w:t>
      </w:r>
      <w:r w:rsidRPr="00B276F5">
        <w:rPr>
          <w:rFonts w:hint="eastAsia"/>
        </w:rPr>
        <w:t>平等及び無差別に関する第</w:t>
      </w:r>
      <w:r w:rsidRPr="00B276F5">
        <w:t>5条は、締約国に対し、労働、雇用及び雇用サイクルのすべての事項に関して平等及び無差別が確保されるよう求めている。合理的配慮の拒否は、障害に基づく差別の一形態であり、締約国は、労働および雇用のすべての段階において合理的配慮の提供を支援する責任をもつ。</w:t>
      </w:r>
      <w:r w:rsidRPr="00B276F5">
        <w:rPr>
          <w:u w:val="single"/>
        </w:rPr>
        <w:t>また、国は、例えばロマ人や先住民を含む少数民族、宗教的少数派、高齢の障害のある人、障害のあるゲイ、レズビアン、インターセックス、トランスの人が直面する、交差</w:t>
      </w:r>
      <w:r w:rsidR="009A2C50">
        <w:rPr>
          <w:rFonts w:hint="eastAsia"/>
          <w:u w:val="single"/>
        </w:rPr>
        <w:t>的な</w:t>
      </w:r>
      <w:r w:rsidRPr="00B276F5">
        <w:rPr>
          <w:u w:val="single"/>
        </w:rPr>
        <w:t>形態の差別と闘わなければならない。</w:t>
      </w:r>
    </w:p>
    <w:p w14:paraId="783565EA" w14:textId="77777777" w:rsidR="001651C8" w:rsidRPr="00441B2B" w:rsidRDefault="001651C8" w:rsidP="001651C8">
      <w:pPr>
        <w:rPr>
          <w:lang w:val="en-GB"/>
        </w:rPr>
      </w:pPr>
    </w:p>
    <w:p w14:paraId="3393C4E9" w14:textId="23C1F7BA" w:rsidR="001651C8" w:rsidRPr="00B276F5" w:rsidRDefault="001651C8" w:rsidP="001651C8">
      <w:pPr>
        <w:rPr>
          <w:u w:val="single"/>
        </w:rPr>
      </w:pPr>
      <w:r>
        <w:t>(</w:t>
      </w:r>
      <w:r>
        <w:rPr>
          <w:rFonts w:hint="eastAsia"/>
        </w:rPr>
        <w:t>パラグラフ</w:t>
      </w:r>
      <w:r>
        <w:t xml:space="preserve">91 </w:t>
      </w:r>
      <w:r>
        <w:rPr>
          <w:rFonts w:hint="eastAsia"/>
        </w:rPr>
        <w:t>新</w:t>
      </w:r>
      <w:r>
        <w:t>)</w:t>
      </w:r>
      <w:r>
        <w:rPr>
          <w:rFonts w:hint="eastAsia"/>
        </w:rPr>
        <w:t xml:space="preserve">　</w:t>
      </w:r>
      <w:r w:rsidRPr="00B276F5">
        <w:rPr>
          <w:u w:val="single"/>
        </w:rPr>
        <w:t>健康についての第25条。締約国は、雇用が障害を悪化させない安全かつ健康的な労働環境において行われることを確保しなければならない。また、労働条件が</w:t>
      </w:r>
      <w:r w:rsidR="009A2C50">
        <w:rPr>
          <w:rFonts w:hint="eastAsia"/>
          <w:u w:val="single"/>
        </w:rPr>
        <w:t>職業</w:t>
      </w:r>
      <w:r w:rsidRPr="00B276F5">
        <w:rPr>
          <w:u w:val="single"/>
        </w:rPr>
        <w:t>生活の過程で障害の原因とならないことを確保しなければならない。締約国は、公的お</w:t>
      </w:r>
      <w:r w:rsidRPr="00B276F5">
        <w:rPr>
          <w:u w:val="single"/>
        </w:rPr>
        <w:lastRenderedPageBreak/>
        <w:t>よび私的な企業に対し、サイバー領域を含め、ハラスメントおよび暴力、特にジェンダーに基づく暴力に配慮し、これを防止するよう奨励しなければならない。</w:t>
      </w:r>
    </w:p>
    <w:p w14:paraId="46F5DEB5" w14:textId="77777777" w:rsidR="001651C8" w:rsidRPr="00441B2B" w:rsidRDefault="001651C8" w:rsidP="001651C8">
      <w:pPr>
        <w:rPr>
          <w:lang w:val="en-GB"/>
        </w:rPr>
      </w:pPr>
    </w:p>
    <w:p w14:paraId="616DAB35" w14:textId="7D56D900" w:rsidR="001651C8" w:rsidRDefault="001651C8" w:rsidP="001651C8">
      <w:r>
        <w:t>(</w:t>
      </w:r>
      <w:r>
        <w:rPr>
          <w:rFonts w:hint="eastAsia"/>
        </w:rPr>
        <w:t>パラグラフ</w:t>
      </w:r>
      <w:r>
        <w:t>97 a)</w:t>
      </w:r>
      <w:r>
        <w:rPr>
          <w:rFonts w:hint="eastAsia"/>
        </w:rPr>
        <w:t xml:space="preserve">　</w:t>
      </w:r>
      <w:r w:rsidRPr="00B276F5">
        <w:rPr>
          <w:rFonts w:hint="eastAsia"/>
        </w:rPr>
        <w:t>態度、スティグマ</w:t>
      </w:r>
      <w:r w:rsidR="00A37FF7">
        <w:rPr>
          <w:rFonts w:hint="eastAsia"/>
        </w:rPr>
        <w:t>、</w:t>
      </w:r>
      <w:r w:rsidRPr="00B276F5">
        <w:rPr>
          <w:rFonts w:hint="eastAsia"/>
        </w:rPr>
        <w:t>差別</w:t>
      </w:r>
      <w:r w:rsidR="00A37FF7">
        <w:rPr>
          <w:rFonts w:hint="eastAsia"/>
        </w:rPr>
        <w:t>の交差的な</w:t>
      </w:r>
      <w:r w:rsidRPr="00B276F5">
        <w:rPr>
          <w:rFonts w:hint="eastAsia"/>
        </w:rPr>
        <w:t>背景のもとでの、労働の世界における能力主義の位置づけと、労働の社会的意味についての理解を深めること</w:t>
      </w:r>
      <w:r w:rsidRPr="00B276F5">
        <w:rPr>
          <w:rFonts w:hint="eastAsia"/>
          <w:u w:val="single"/>
        </w:rPr>
        <w:t>によって、</w:t>
      </w:r>
      <w:r w:rsidRPr="00B276F5">
        <w:rPr>
          <w:u w:val="single"/>
        </w:rPr>
        <w:t>労働の権利を享受しようとする際に直面する偏見、スティグマ、社会的障壁と闘うこと</w:t>
      </w:r>
      <w:r w:rsidRPr="00B276F5">
        <w:rPr>
          <w:rFonts w:hint="eastAsia"/>
          <w:u w:val="single"/>
        </w:rPr>
        <w:t>。</w:t>
      </w:r>
    </w:p>
    <w:p w14:paraId="474DE7D8" w14:textId="77777777" w:rsidR="001651C8" w:rsidRPr="00441B2B" w:rsidRDefault="001651C8" w:rsidP="001651C8">
      <w:pPr>
        <w:rPr>
          <w:lang w:val="en-GB"/>
        </w:rPr>
      </w:pPr>
    </w:p>
    <w:p w14:paraId="12C43046" w14:textId="0907567F" w:rsidR="001651C8" w:rsidRDefault="001651C8" w:rsidP="001651C8">
      <w:r>
        <w:t>(</w:t>
      </w:r>
      <w:r>
        <w:rPr>
          <w:rFonts w:hint="eastAsia"/>
        </w:rPr>
        <w:t>パラグラフ</w:t>
      </w:r>
      <w:r>
        <w:t>97 b)</w:t>
      </w:r>
      <w:r>
        <w:rPr>
          <w:rFonts w:hint="eastAsia"/>
        </w:rPr>
        <w:t xml:space="preserve">　</w:t>
      </w:r>
      <w:r w:rsidRPr="00B276F5">
        <w:rPr>
          <w:rFonts w:hint="eastAsia"/>
        </w:rPr>
        <w:t>障害のある人</w:t>
      </w:r>
      <w:r w:rsidRPr="00B276F5">
        <w:rPr>
          <w:rFonts w:hint="eastAsia"/>
          <w:u w:val="single"/>
        </w:rPr>
        <w:t>、特に障害のある女性</w:t>
      </w:r>
      <w:r w:rsidRPr="00B276F5">
        <w:rPr>
          <w:rFonts w:hint="eastAsia"/>
        </w:rPr>
        <w:t>が労働の権利にアクセスする際の障壁に関する研究を実施し、障害のある人がこの権利を実現する際に直面する具体的な課題を特定するとともに、障害のある人の労働の権利を保護・促進する取り組みの革新的な実践と解決策を研究し、強調すること。</w:t>
      </w:r>
    </w:p>
    <w:p w14:paraId="798DF7D0" w14:textId="77777777" w:rsidR="004A1E41" w:rsidRPr="00441B2B" w:rsidRDefault="004A1E41" w:rsidP="001651C8">
      <w:pPr>
        <w:rPr>
          <w:lang w:val="en-GB"/>
        </w:rPr>
      </w:pPr>
    </w:p>
    <w:p w14:paraId="0B7CA900" w14:textId="77777777" w:rsidR="001651C8" w:rsidRDefault="001651C8" w:rsidP="001651C8">
      <w:pPr>
        <w:spacing w:before="480"/>
      </w:pPr>
      <w:r w:rsidRPr="00CE5153">
        <w:rPr>
          <w:lang w:val="en-GB"/>
        </w:rPr>
        <w:t>The European Disability Forum</w:t>
      </w:r>
      <w:r w:rsidRPr="00CE5153">
        <w:rPr>
          <w:lang w:val="en-GB"/>
        </w:rPr>
        <w:tab/>
      </w:r>
      <w:r w:rsidRPr="00CE5153">
        <w:rPr>
          <w:lang w:val="en-GB"/>
        </w:rPr>
        <w:tab/>
      </w:r>
      <w:r w:rsidRPr="00CE5153">
        <w:rPr>
          <w:lang w:val="en-GB"/>
        </w:rPr>
        <w:tab/>
        <w:t>Finnish Disability Forum</w:t>
      </w:r>
      <w:r w:rsidRPr="00CE5153">
        <w:rPr>
          <w:lang w:val="en-GB"/>
        </w:rPr>
        <w:br/>
        <w:t>Mundo Madou</w:t>
      </w:r>
      <w:r w:rsidRPr="00CE5153">
        <w:rPr>
          <w:lang w:val="en-GB"/>
        </w:rPr>
        <w:tab/>
      </w:r>
      <w:r w:rsidRPr="00CE5153">
        <w:rPr>
          <w:lang w:val="en-GB"/>
        </w:rPr>
        <w:tab/>
      </w:r>
      <w:r w:rsidRPr="00CE5153">
        <w:rPr>
          <w:lang w:val="en-GB"/>
        </w:rPr>
        <w:tab/>
      </w:r>
      <w:r w:rsidRPr="00CE5153">
        <w:rPr>
          <w:lang w:val="en-GB"/>
        </w:rPr>
        <w:tab/>
      </w:r>
      <w:r w:rsidRPr="00CE5153">
        <w:rPr>
          <w:lang w:val="en-GB"/>
        </w:rPr>
        <w:tab/>
        <w:t>PB 30</w:t>
      </w:r>
      <w:r w:rsidRPr="00CE5153">
        <w:rPr>
          <w:lang w:val="en-GB"/>
        </w:rPr>
        <w:br/>
        <w:t>Avenue des Arts 7-8</w:t>
      </w:r>
      <w:r w:rsidRPr="00CE5153">
        <w:rPr>
          <w:lang w:val="en-GB"/>
        </w:rPr>
        <w:tab/>
      </w:r>
      <w:r w:rsidRPr="00CE5153">
        <w:rPr>
          <w:lang w:val="en-GB"/>
        </w:rPr>
        <w:tab/>
      </w:r>
      <w:r w:rsidRPr="00CE5153">
        <w:rPr>
          <w:lang w:val="en-GB"/>
        </w:rPr>
        <w:tab/>
      </w:r>
      <w:r w:rsidRPr="00CE5153">
        <w:rPr>
          <w:lang w:val="en-GB"/>
        </w:rPr>
        <w:tab/>
        <w:t>00030 IIRIS, FINLAND</w:t>
      </w:r>
      <w:r w:rsidRPr="00CE5153">
        <w:rPr>
          <w:lang w:val="en-GB"/>
        </w:rPr>
        <w:br/>
        <w:t>1210 Brussels, Belgium.</w:t>
      </w:r>
      <w:r w:rsidRPr="00CE5153">
        <w:rPr>
          <w:lang w:val="en-GB"/>
        </w:rPr>
        <w:tab/>
      </w:r>
      <w:r w:rsidRPr="00CE5153">
        <w:rPr>
          <w:lang w:val="en-GB"/>
        </w:rPr>
        <w:tab/>
      </w:r>
      <w:r w:rsidRPr="00CE5153">
        <w:rPr>
          <w:lang w:val="en-GB"/>
        </w:rPr>
        <w:tab/>
      </w:r>
      <w:r w:rsidRPr="00CE5153">
        <w:rPr>
          <w:lang w:val="en-GB"/>
        </w:rPr>
        <w:tab/>
      </w:r>
      <w:r>
        <w:t>info@vammaisfoorumi.fi</w:t>
      </w:r>
    </w:p>
    <w:p w14:paraId="486C27FC" w14:textId="07CFC313" w:rsidR="001651C8" w:rsidRDefault="001651C8" w:rsidP="001651C8">
      <w:pPr>
        <w:jc w:val="right"/>
      </w:pPr>
      <w:r>
        <w:rPr>
          <w:rFonts w:hint="eastAsia"/>
        </w:rPr>
        <w:t>（翻訳：佐藤久夫、</w:t>
      </w:r>
      <w:r w:rsidR="004A1E41">
        <w:rPr>
          <w:rFonts w:hint="eastAsia"/>
        </w:rPr>
        <w:t>伊東香純</w:t>
      </w:r>
      <w:r>
        <w:rPr>
          <w:rFonts w:hint="eastAsia"/>
        </w:rPr>
        <w:t>）</w:t>
      </w:r>
    </w:p>
    <w:p w14:paraId="7AA0E5DE" w14:textId="77777777" w:rsidR="001651C8" w:rsidRPr="001651C8" w:rsidRDefault="001651C8"/>
    <w:p w14:paraId="19B617E1" w14:textId="523E47E2" w:rsidR="008D551E" w:rsidRDefault="008D551E" w:rsidP="008D551E">
      <w:pPr>
        <w:jc w:val="right"/>
      </w:pPr>
    </w:p>
    <w:sectPr w:rsidR="008D551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0EC6" w14:textId="77777777" w:rsidR="00D710DC" w:rsidRDefault="00D710DC" w:rsidP="003426C4">
      <w:r>
        <w:separator/>
      </w:r>
    </w:p>
  </w:endnote>
  <w:endnote w:type="continuationSeparator" w:id="0">
    <w:p w14:paraId="23667045" w14:textId="77777777" w:rsidR="00D710DC" w:rsidRDefault="00D710DC" w:rsidP="0034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018664"/>
      <w:docPartObj>
        <w:docPartGallery w:val="Page Numbers (Bottom of Page)"/>
        <w:docPartUnique/>
      </w:docPartObj>
    </w:sdtPr>
    <w:sdtEndPr/>
    <w:sdtContent>
      <w:p w14:paraId="3BD26A07" w14:textId="6572CCE4" w:rsidR="008778F8" w:rsidRDefault="008778F8">
        <w:pPr>
          <w:pStyle w:val="a5"/>
        </w:pPr>
        <w:r>
          <w:fldChar w:fldCharType="begin"/>
        </w:r>
        <w:r>
          <w:instrText>PAGE   \* MERGEFORMAT</w:instrText>
        </w:r>
        <w:r>
          <w:fldChar w:fldCharType="separate"/>
        </w:r>
        <w:r>
          <w:rPr>
            <w:lang w:val="ja-JP"/>
          </w:rPr>
          <w:t>2</w:t>
        </w:r>
        <w:r>
          <w:fldChar w:fldCharType="end"/>
        </w:r>
      </w:p>
    </w:sdtContent>
  </w:sdt>
  <w:p w14:paraId="7DF27C37" w14:textId="77777777" w:rsidR="008778F8" w:rsidRDefault="00877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BD8E" w14:textId="77777777" w:rsidR="00D710DC" w:rsidRDefault="00D710DC" w:rsidP="003426C4">
      <w:r>
        <w:separator/>
      </w:r>
    </w:p>
  </w:footnote>
  <w:footnote w:type="continuationSeparator" w:id="0">
    <w:p w14:paraId="71E78C42" w14:textId="77777777" w:rsidR="00D710DC" w:rsidRDefault="00D710DC" w:rsidP="003426C4">
      <w:r>
        <w:continuationSeparator/>
      </w:r>
    </w:p>
  </w:footnote>
  <w:footnote w:id="1">
    <w:p w14:paraId="127DF664" w14:textId="77777777" w:rsidR="009C7884" w:rsidRPr="008674CA" w:rsidRDefault="009C7884" w:rsidP="009C7884">
      <w:pPr>
        <w:pStyle w:val="a8"/>
      </w:pPr>
      <w:r>
        <w:rPr>
          <w:rStyle w:val="a7"/>
        </w:rPr>
        <w:footnoteRef/>
      </w:r>
      <w:r>
        <w:t xml:space="preserve"> </w:t>
      </w:r>
      <w:r w:rsidRPr="001C227B">
        <w:t xml:space="preserve">International Labour Organization, </w:t>
      </w:r>
      <w:r>
        <w:t>“</w:t>
      </w:r>
      <w:r w:rsidRPr="001C227B">
        <w:t xml:space="preserve">Making the future of Work Inclusive of </w:t>
      </w:r>
      <w:r>
        <w:t>Persons with Disabilities” (2019)</w:t>
      </w:r>
    </w:p>
  </w:footnote>
  <w:footnote w:id="2">
    <w:p w14:paraId="3B1A76DA" w14:textId="77777777" w:rsidR="009C7884" w:rsidRPr="006371B2" w:rsidRDefault="009C7884" w:rsidP="009C7884">
      <w:pPr>
        <w:pStyle w:val="a8"/>
        <w:rPr>
          <w:lang w:val="en-US"/>
        </w:rPr>
      </w:pPr>
      <w:r w:rsidRPr="006371B2">
        <w:rPr>
          <w:rStyle w:val="a7"/>
        </w:rPr>
        <w:footnoteRef/>
      </w:r>
      <w:r w:rsidRPr="00A479E7">
        <w:t xml:space="preserve"> </w:t>
      </w:r>
      <w:r w:rsidRPr="00A479E7">
        <w:rPr>
          <w:lang w:val="en-US"/>
        </w:rPr>
        <w:t>Articles 27(1), 27(1)(b) and (c) form three interdependent articles of the ICESCR: articles 6, 7 and 8. The CESCR has developed separate general comments on articles 6 and 7. A general comment on article 8 has not been developed as yet.</w:t>
      </w:r>
    </w:p>
  </w:footnote>
  <w:footnote w:id="3">
    <w:p w14:paraId="40379DC7" w14:textId="77777777" w:rsidR="009C7884" w:rsidRPr="00D26FF0" w:rsidRDefault="009C7884" w:rsidP="009C7884">
      <w:pPr>
        <w:pStyle w:val="a8"/>
        <w:rPr>
          <w:lang w:val="es-ES"/>
        </w:rPr>
      </w:pPr>
      <w:r w:rsidRPr="0077033E">
        <w:rPr>
          <w:rStyle w:val="a7"/>
        </w:rPr>
        <w:footnoteRef/>
      </w:r>
      <w:r w:rsidRPr="00D26FF0">
        <w:rPr>
          <w:lang w:val="es-ES"/>
        </w:rPr>
        <w:t xml:space="preserve"> </w:t>
      </w:r>
      <w:bookmarkStart w:id="0" w:name="_Hlk83823673"/>
      <w:r w:rsidRPr="00D26FF0">
        <w:rPr>
          <w:lang w:val="es-ES"/>
        </w:rPr>
        <w:t>CRPD General Comment No. 6 (2018), para 18(c)</w:t>
      </w:r>
      <w:bookmarkEnd w:id="0"/>
    </w:p>
  </w:footnote>
  <w:footnote w:id="4">
    <w:p w14:paraId="5CA944CD" w14:textId="77777777" w:rsidR="000D59A7" w:rsidRPr="00D26FF0" w:rsidRDefault="000D59A7" w:rsidP="000D59A7">
      <w:pPr>
        <w:pStyle w:val="a8"/>
        <w:rPr>
          <w:lang w:val="es-ES"/>
        </w:rPr>
      </w:pPr>
      <w:r w:rsidRPr="0077033E">
        <w:rPr>
          <w:rStyle w:val="a7"/>
        </w:rPr>
        <w:footnoteRef/>
      </w:r>
      <w:r w:rsidRPr="00D26FF0">
        <w:rPr>
          <w:lang w:val="es-ES"/>
        </w:rPr>
        <w:t xml:space="preserve"> CRPD General Comment No. 6 (2018), para 23.</w:t>
      </w:r>
    </w:p>
  </w:footnote>
  <w:footnote w:id="5">
    <w:p w14:paraId="1521B76C" w14:textId="77777777" w:rsidR="000D59A7" w:rsidRPr="00D26FF0" w:rsidRDefault="000D59A7" w:rsidP="000D59A7">
      <w:pPr>
        <w:pStyle w:val="a8"/>
        <w:rPr>
          <w:lang w:val="es-ES"/>
        </w:rPr>
      </w:pPr>
      <w:r w:rsidRPr="0077033E">
        <w:rPr>
          <w:rStyle w:val="a7"/>
        </w:rPr>
        <w:footnoteRef/>
      </w:r>
      <w:r w:rsidRPr="00D26FF0">
        <w:rPr>
          <w:lang w:val="es-ES"/>
        </w:rPr>
        <w:t xml:space="preserve"> CRPD General Comment No. 6 (2018), para 24(b).</w:t>
      </w:r>
    </w:p>
  </w:footnote>
  <w:footnote w:id="6">
    <w:p w14:paraId="56038893" w14:textId="77777777" w:rsidR="000D59A7" w:rsidRPr="00A862EA" w:rsidRDefault="000D59A7" w:rsidP="000D59A7">
      <w:pPr>
        <w:pStyle w:val="a8"/>
      </w:pPr>
      <w:r w:rsidRPr="00A862EA">
        <w:rPr>
          <w:rStyle w:val="a7"/>
        </w:rPr>
        <w:footnoteRef/>
      </w:r>
      <w:r w:rsidRPr="00A862EA">
        <w:t xml:space="preserve"> C</w:t>
      </w:r>
      <w:r>
        <w:t>RPD</w:t>
      </w:r>
      <w:r w:rsidRPr="00A862EA">
        <w:t xml:space="preserve"> general comment No. 3 (2016), para. 4(c) drawing on Committee on the Elimination of Discrimination against Women, general recommendation No. 25 (2004) on temporary special measures, para. 12.</w:t>
      </w:r>
    </w:p>
  </w:footnote>
  <w:footnote w:id="7">
    <w:p w14:paraId="62734592" w14:textId="77777777" w:rsidR="000D59A7" w:rsidRPr="00A862EA" w:rsidRDefault="000D59A7" w:rsidP="000D59A7">
      <w:pPr>
        <w:pStyle w:val="a8"/>
        <w:rPr>
          <w:rFonts w:eastAsia="Calibri"/>
        </w:rPr>
      </w:pPr>
      <w:r w:rsidRPr="00A862EA">
        <w:rPr>
          <w:rStyle w:val="a7"/>
        </w:rPr>
        <w:footnoteRef/>
      </w:r>
      <w:r w:rsidRPr="00A862EA">
        <w:t xml:space="preserve"> C</w:t>
      </w:r>
      <w:r w:rsidRPr="00A479E7">
        <w:t xml:space="preserve">RPD General Comment </w:t>
      </w:r>
      <w:r w:rsidRPr="00A862EA">
        <w:t xml:space="preserve">No. 3 (2016) para 4(c) drawing on drawing on Committee on the Elimination of Discrimination against Women, </w:t>
      </w:r>
      <w:r w:rsidRPr="00A479E7">
        <w:t>G</w:t>
      </w:r>
      <w:r w:rsidRPr="00A862EA">
        <w:t xml:space="preserve">eneral </w:t>
      </w:r>
      <w:r w:rsidRPr="00A479E7">
        <w:t>R</w:t>
      </w:r>
      <w:r w:rsidRPr="00A862EA">
        <w:t xml:space="preserve">ecommendation No. 25 (2004) on temporary special measures, para 12 and </w:t>
      </w:r>
      <w:r w:rsidRPr="00A479E7">
        <w:t>G</w:t>
      </w:r>
      <w:r w:rsidRPr="00A862EA">
        <w:t xml:space="preserve">eneral </w:t>
      </w:r>
      <w:r w:rsidRPr="00A479E7">
        <w:t>R</w:t>
      </w:r>
      <w:r w:rsidRPr="00A862EA">
        <w:t>ecommendation No. 28 (2010) on the core obligations of States parties under article 2 of the Convention on the Elimination of All Forms of Discrimination against Women</w:t>
      </w:r>
      <w:r w:rsidRPr="00A862EA">
        <w:rPr>
          <w:rFonts w:eastAsia="Calibri"/>
        </w:rPr>
        <w:t>, para 18.</w:t>
      </w:r>
    </w:p>
  </w:footnote>
  <w:footnote w:id="8">
    <w:p w14:paraId="3EA56A72" w14:textId="77777777" w:rsidR="000D59A7" w:rsidRPr="00A862EA" w:rsidRDefault="000D59A7" w:rsidP="000D59A7">
      <w:pPr>
        <w:pStyle w:val="a8"/>
        <w:rPr>
          <w:rFonts w:eastAsia="Calibri"/>
        </w:rPr>
      </w:pPr>
      <w:r w:rsidRPr="00A862EA">
        <w:rPr>
          <w:rStyle w:val="a7"/>
        </w:rPr>
        <w:footnoteRef/>
      </w:r>
      <w:r w:rsidRPr="00A862EA">
        <w:t xml:space="preserve"> C</w:t>
      </w:r>
      <w:r w:rsidRPr="00A479E7">
        <w:t xml:space="preserve">RPD General Comment </w:t>
      </w:r>
      <w:r w:rsidRPr="00A862EA">
        <w:t xml:space="preserve">No. 3 (2016) para 4(c) drawing on drawing on Committee on the Elimination of Discrimination against Women, </w:t>
      </w:r>
      <w:r w:rsidRPr="00A479E7">
        <w:t>G</w:t>
      </w:r>
      <w:r w:rsidRPr="00A862EA">
        <w:t xml:space="preserve">eneral </w:t>
      </w:r>
      <w:r w:rsidRPr="00A479E7">
        <w:t>R</w:t>
      </w:r>
      <w:r w:rsidRPr="00A862EA">
        <w:t xml:space="preserve">ecommendation No. 25 (2004) on temporary special measures, para 12 and </w:t>
      </w:r>
      <w:r w:rsidRPr="00A479E7">
        <w:t>G</w:t>
      </w:r>
      <w:r w:rsidRPr="00A862EA">
        <w:t xml:space="preserve">eneral </w:t>
      </w:r>
      <w:r w:rsidRPr="00A479E7">
        <w:t>R</w:t>
      </w:r>
      <w:r w:rsidRPr="00A862EA">
        <w:t>ecommendation No. 28 (2010) on the core obligations of States parties under article 2 of the Convention on the Elimination of All Forms of Discrimination against Women</w:t>
      </w:r>
      <w:r w:rsidRPr="00A862EA">
        <w:rPr>
          <w:rFonts w:eastAsia="Calibri"/>
        </w:rPr>
        <w:t>, para 18.</w:t>
      </w:r>
    </w:p>
  </w:footnote>
  <w:footnote w:id="9">
    <w:p w14:paraId="57373807" w14:textId="77777777" w:rsidR="000D59A7" w:rsidRPr="007D626D" w:rsidRDefault="000D59A7" w:rsidP="000D59A7">
      <w:pPr>
        <w:pStyle w:val="a8"/>
        <w:rPr>
          <w:lang w:val="en-US"/>
        </w:rPr>
      </w:pPr>
      <w:r w:rsidRPr="007D626D">
        <w:rPr>
          <w:rStyle w:val="a7"/>
        </w:rPr>
        <w:footnoteRef/>
      </w:r>
      <w:r>
        <w:t xml:space="preserve"> CESCR</w:t>
      </w:r>
      <w:r w:rsidRPr="00A479E7">
        <w:t xml:space="preserve">, art. 6 </w:t>
      </w:r>
      <w:r w:rsidRPr="00A479E7">
        <w:rPr>
          <w:i/>
          <w:iCs/>
        </w:rPr>
        <w:t>The right to work</w:t>
      </w:r>
      <w:r w:rsidRPr="00A479E7">
        <w:t xml:space="preserve"> and ILO </w:t>
      </w:r>
      <w:r w:rsidRPr="00A479E7">
        <w:rPr>
          <w:i/>
          <w:iCs/>
          <w:lang w:val="en-AU"/>
        </w:rPr>
        <w:t>Vocational Rehabilitation and Employment (Disabled Persons) Convention</w:t>
      </w:r>
      <w:r w:rsidRPr="00A479E7">
        <w:rPr>
          <w:lang w:val="en-AU"/>
        </w:rPr>
        <w:t xml:space="preserve"> 1983 (No. 159)</w:t>
      </w:r>
      <w:r w:rsidRPr="00A479E7">
        <w:t>.</w:t>
      </w:r>
    </w:p>
  </w:footnote>
  <w:footnote w:id="10">
    <w:p w14:paraId="5760BC00" w14:textId="77777777" w:rsidR="008F5A47" w:rsidRPr="00B763BA" w:rsidRDefault="008F5A47" w:rsidP="008F5A47">
      <w:pPr>
        <w:pStyle w:val="a8"/>
        <w:rPr>
          <w:lang w:val="en-US"/>
        </w:rPr>
      </w:pPr>
      <w:r w:rsidRPr="00B763BA">
        <w:rPr>
          <w:rStyle w:val="a7"/>
        </w:rPr>
        <w:footnoteRef/>
      </w:r>
      <w:r w:rsidRPr="00A479E7">
        <w:t xml:space="preserve"> CRPD Committee, ‘Guidelines on Treaty-Specific Document to be Submitted by States Parties under Article 35, paragraph 1, of the Convention on the Rights of Persons with Disabilities’ CRPD/C/2/3 </w:t>
      </w:r>
      <w:r>
        <w:t>(18 November 2009) para 10.</w:t>
      </w:r>
    </w:p>
  </w:footnote>
  <w:footnote w:id="11">
    <w:p w14:paraId="7369BF29" w14:textId="77777777" w:rsidR="008F5A47" w:rsidRPr="00A815AB" w:rsidRDefault="008F5A47" w:rsidP="008F5A47">
      <w:pPr>
        <w:pStyle w:val="a8"/>
        <w:rPr>
          <w:lang w:val="en-US"/>
        </w:rPr>
      </w:pPr>
      <w:r w:rsidRPr="00A815AB">
        <w:rPr>
          <w:rStyle w:val="a7"/>
        </w:rPr>
        <w:footnoteRef/>
      </w:r>
      <w:r w:rsidRPr="00A479E7">
        <w:t xml:space="preserve"> </w:t>
      </w:r>
      <w:bookmarkStart w:id="1" w:name="_Hlk83832842"/>
      <w:r w:rsidRPr="00A479E7">
        <w:rPr>
          <w:lang w:val="en-US"/>
        </w:rPr>
        <w:t xml:space="preserve">ILO, </w:t>
      </w:r>
      <w:r w:rsidRPr="00A815AB">
        <w:rPr>
          <w:i/>
          <w:iCs/>
          <w:lang w:val="en-AU"/>
        </w:rPr>
        <w:t>Transition from the Informal to the Formal Economy Recommendation, 2015 (No. 204)</w:t>
      </w:r>
      <w:r w:rsidRPr="00A479E7">
        <w:rPr>
          <w:lang w:val="en-AU"/>
        </w:rPr>
        <w:t>.</w:t>
      </w:r>
      <w:bookmarkEnd w:id="1"/>
    </w:p>
  </w:footnote>
  <w:footnote w:id="12">
    <w:p w14:paraId="7D640844" w14:textId="77777777" w:rsidR="008F5A47" w:rsidRPr="00A815AB" w:rsidRDefault="008F5A47" w:rsidP="008F5A47">
      <w:pPr>
        <w:pStyle w:val="a8"/>
        <w:rPr>
          <w:lang w:val="en-US"/>
        </w:rPr>
      </w:pPr>
      <w:r w:rsidRPr="00A815AB">
        <w:rPr>
          <w:rStyle w:val="a7"/>
        </w:rPr>
        <w:footnoteRef/>
      </w:r>
      <w:r w:rsidRPr="00A479E7">
        <w:t xml:space="preserve"> </w:t>
      </w:r>
      <w:r w:rsidRPr="00A479E7">
        <w:rPr>
          <w:lang w:val="en-US"/>
        </w:rPr>
        <w:t xml:space="preserve">ILO, </w:t>
      </w:r>
      <w:r w:rsidRPr="00A479E7">
        <w:rPr>
          <w:i/>
          <w:iCs/>
          <w:lang w:val="en-AU"/>
        </w:rPr>
        <w:t>Transition from the Informal to the Formal Economy Recommendation, 2015 (No. 204)</w:t>
      </w:r>
      <w:r w:rsidRPr="00A479E7">
        <w:rPr>
          <w:lang w:val="en-AU"/>
        </w:rPr>
        <w:t>.</w:t>
      </w:r>
    </w:p>
  </w:footnote>
  <w:footnote w:id="13">
    <w:p w14:paraId="3250F428" w14:textId="77777777" w:rsidR="008F5A47" w:rsidRPr="00A815AB" w:rsidRDefault="008F5A47" w:rsidP="008F5A47">
      <w:pPr>
        <w:pStyle w:val="a8"/>
        <w:rPr>
          <w:lang w:val="en-US"/>
        </w:rPr>
      </w:pPr>
      <w:r w:rsidRPr="00A815AB">
        <w:rPr>
          <w:rStyle w:val="a7"/>
        </w:rPr>
        <w:footnoteRef/>
      </w:r>
      <w:r w:rsidRPr="00A479E7">
        <w:t xml:space="preserve"> </w:t>
      </w:r>
      <w:r w:rsidRPr="00A479E7">
        <w:rPr>
          <w:lang w:val="en-US"/>
        </w:rPr>
        <w:t xml:space="preserve"> CRPD Committee,</w:t>
      </w:r>
      <w:r w:rsidRPr="00A815AB">
        <w:t xml:space="preserve"> </w:t>
      </w:r>
      <w:r w:rsidRPr="00A815AB">
        <w:rPr>
          <w:i/>
          <w:iCs/>
        </w:rPr>
        <w:t>Concluding observations on the initial report of Canada</w:t>
      </w:r>
      <w:r w:rsidRPr="00A479E7">
        <w:t xml:space="preserve"> (2017) UN Doc CRPD/C/CAN/CO/1,</w:t>
      </w:r>
      <w:r w:rsidRPr="00A479E7">
        <w:rPr>
          <w:lang w:val="en-US"/>
        </w:rPr>
        <w:t xml:space="preserve"> para 48(c), </w:t>
      </w:r>
      <w:r w:rsidRPr="00A815AB">
        <w:rPr>
          <w:i/>
          <w:iCs/>
        </w:rPr>
        <w:t>Concluding observations on the initial report of Jordan</w:t>
      </w:r>
      <w:r w:rsidRPr="00A479E7">
        <w:t xml:space="preserve"> (2017) UN Doc CRPD/C/JOR/CO/1, para 50(c), </w:t>
      </w:r>
      <w:r w:rsidRPr="00A815AB">
        <w:rPr>
          <w:i/>
          <w:iCs/>
        </w:rPr>
        <w:t>Concluding Observations on Uruguay</w:t>
      </w:r>
      <w:r w:rsidRPr="00A479E7">
        <w:t xml:space="preserve"> (2016) UN Doc CRPD/1/URY/CO/1 paras 57–58, </w:t>
      </w:r>
      <w:r w:rsidRPr="00A815AB">
        <w:rPr>
          <w:i/>
          <w:iCs/>
        </w:rPr>
        <w:t>Concluding Observations on Guatemala</w:t>
      </w:r>
      <w:r w:rsidRPr="00A479E7">
        <w:rPr>
          <w:i/>
          <w:iCs/>
        </w:rPr>
        <w:t xml:space="preserve"> </w:t>
      </w:r>
      <w:r w:rsidRPr="00A479E7">
        <w:t>(2016) UN Doc CRPD/C/GTM/CO/1, para 63</w:t>
      </w:r>
      <w:r w:rsidRPr="00A479E7">
        <w:rPr>
          <w:lang w:val="en-US"/>
        </w:rPr>
        <w:t>.</w:t>
      </w:r>
    </w:p>
  </w:footnote>
  <w:footnote w:id="14">
    <w:p w14:paraId="369A8200" w14:textId="77777777" w:rsidR="008F5A47" w:rsidRPr="00A815AB" w:rsidRDefault="008F5A47" w:rsidP="008F5A47">
      <w:pPr>
        <w:pStyle w:val="a8"/>
        <w:rPr>
          <w:lang w:val="en-US"/>
        </w:rPr>
      </w:pPr>
      <w:r w:rsidRPr="00A815AB">
        <w:rPr>
          <w:rStyle w:val="a7"/>
        </w:rPr>
        <w:footnoteRef/>
      </w:r>
      <w:r w:rsidRPr="00A479E7">
        <w:t xml:space="preserve"> </w:t>
      </w:r>
      <w:r w:rsidRPr="00A479E7">
        <w:rPr>
          <w:lang w:val="en-US"/>
        </w:rPr>
        <w:t xml:space="preserve">CRPD General Comment No. 6 (2018) </w:t>
      </w:r>
      <w:r w:rsidRPr="00A479E7">
        <w:rPr>
          <w:i/>
          <w:iCs/>
          <w:lang w:val="en-US"/>
        </w:rPr>
        <w:t>Equality and non-discrimination (art. 5)</w:t>
      </w:r>
      <w:r w:rsidRPr="00A479E7">
        <w:rPr>
          <w:lang w:val="en-US"/>
        </w:rPr>
        <w:t>, para 24(b).</w:t>
      </w:r>
    </w:p>
  </w:footnote>
  <w:footnote w:id="15">
    <w:p w14:paraId="293DD669" w14:textId="77777777" w:rsidR="008F5A47" w:rsidRPr="00A479E7" w:rsidRDefault="008F5A47" w:rsidP="008F5A47">
      <w:pPr>
        <w:pStyle w:val="a8"/>
        <w:rPr>
          <w:lang w:val="en-US"/>
        </w:rPr>
      </w:pPr>
      <w:r w:rsidRPr="00A815AB">
        <w:rPr>
          <w:rStyle w:val="a7"/>
        </w:rPr>
        <w:footnoteRef/>
      </w:r>
      <w:r w:rsidRPr="00A479E7">
        <w:t xml:space="preserve"> </w:t>
      </w:r>
      <w:bookmarkStart w:id="3" w:name="_Hlk83852985"/>
      <w:r w:rsidRPr="00A479E7">
        <w:rPr>
          <w:lang w:val="en-US"/>
        </w:rPr>
        <w:t xml:space="preserve">CRPD General Comment No. 6 (2018) </w:t>
      </w:r>
      <w:r w:rsidRPr="00A479E7">
        <w:rPr>
          <w:i/>
          <w:iCs/>
          <w:lang w:val="en-US"/>
        </w:rPr>
        <w:t>Equality and non-discrimination (art. 5)</w:t>
      </w:r>
      <w:r w:rsidRPr="00A479E7">
        <w:rPr>
          <w:lang w:val="en-US"/>
        </w:rPr>
        <w:t>, para 26(d).</w:t>
      </w:r>
      <w:bookmarkEnd w:id="3"/>
    </w:p>
  </w:footnote>
  <w:footnote w:id="16">
    <w:p w14:paraId="301BECE7" w14:textId="77777777" w:rsidR="00A30623" w:rsidRPr="009F19ED" w:rsidRDefault="00A30623" w:rsidP="00A30623">
      <w:pPr>
        <w:pStyle w:val="a8"/>
        <w:rPr>
          <w:lang w:val="es-ES"/>
        </w:rPr>
      </w:pPr>
      <w:r w:rsidRPr="00DA1E85">
        <w:rPr>
          <w:rStyle w:val="a7"/>
        </w:rPr>
        <w:footnoteRef/>
      </w:r>
      <w:r w:rsidRPr="009F19ED">
        <w:rPr>
          <w:lang w:val="es-ES"/>
        </w:rPr>
        <w:t xml:space="preserve"> CESCR General Comment No. 23 (2018), para 47(a).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2C"/>
    <w:rsid w:val="00007F0B"/>
    <w:rsid w:val="00023A97"/>
    <w:rsid w:val="000943B0"/>
    <w:rsid w:val="000D59A7"/>
    <w:rsid w:val="00101624"/>
    <w:rsid w:val="00134485"/>
    <w:rsid w:val="001651C8"/>
    <w:rsid w:val="001810E9"/>
    <w:rsid w:val="001B6ED3"/>
    <w:rsid w:val="00213C2F"/>
    <w:rsid w:val="002A7847"/>
    <w:rsid w:val="002B51A4"/>
    <w:rsid w:val="002D345A"/>
    <w:rsid w:val="003426C4"/>
    <w:rsid w:val="00366247"/>
    <w:rsid w:val="00405CB7"/>
    <w:rsid w:val="00435E46"/>
    <w:rsid w:val="00441B2B"/>
    <w:rsid w:val="004A0DA9"/>
    <w:rsid w:val="004A1E41"/>
    <w:rsid w:val="00557E64"/>
    <w:rsid w:val="00584899"/>
    <w:rsid w:val="005B7CE9"/>
    <w:rsid w:val="005C7E58"/>
    <w:rsid w:val="005F4286"/>
    <w:rsid w:val="00671D6A"/>
    <w:rsid w:val="006B74C0"/>
    <w:rsid w:val="006F0E77"/>
    <w:rsid w:val="007515F1"/>
    <w:rsid w:val="007629E5"/>
    <w:rsid w:val="00787E1A"/>
    <w:rsid w:val="007A04E0"/>
    <w:rsid w:val="007D3F38"/>
    <w:rsid w:val="007E276B"/>
    <w:rsid w:val="007F752F"/>
    <w:rsid w:val="00800963"/>
    <w:rsid w:val="00803F24"/>
    <w:rsid w:val="00811FE3"/>
    <w:rsid w:val="008203F3"/>
    <w:rsid w:val="00833BDC"/>
    <w:rsid w:val="008778F8"/>
    <w:rsid w:val="0089012C"/>
    <w:rsid w:val="008B3AFB"/>
    <w:rsid w:val="008D551E"/>
    <w:rsid w:val="008F2051"/>
    <w:rsid w:val="008F5A47"/>
    <w:rsid w:val="0097654C"/>
    <w:rsid w:val="009A2C50"/>
    <w:rsid w:val="009B2A86"/>
    <w:rsid w:val="009C7884"/>
    <w:rsid w:val="00A06767"/>
    <w:rsid w:val="00A215BD"/>
    <w:rsid w:val="00A30623"/>
    <w:rsid w:val="00A37FF7"/>
    <w:rsid w:val="00A464E9"/>
    <w:rsid w:val="00A82A9E"/>
    <w:rsid w:val="00AB55D8"/>
    <w:rsid w:val="00AC1526"/>
    <w:rsid w:val="00AF0459"/>
    <w:rsid w:val="00B4347A"/>
    <w:rsid w:val="00B46ED3"/>
    <w:rsid w:val="00B75E1D"/>
    <w:rsid w:val="00BA5EBC"/>
    <w:rsid w:val="00BF1E93"/>
    <w:rsid w:val="00BF2B67"/>
    <w:rsid w:val="00C44A72"/>
    <w:rsid w:val="00C52F43"/>
    <w:rsid w:val="00C966EC"/>
    <w:rsid w:val="00CC6634"/>
    <w:rsid w:val="00CE3357"/>
    <w:rsid w:val="00D05840"/>
    <w:rsid w:val="00D07E57"/>
    <w:rsid w:val="00D51CE0"/>
    <w:rsid w:val="00D710DC"/>
    <w:rsid w:val="00D81F94"/>
    <w:rsid w:val="00D95B30"/>
    <w:rsid w:val="00DB63AD"/>
    <w:rsid w:val="00DD6F20"/>
    <w:rsid w:val="00DF2109"/>
    <w:rsid w:val="00E83050"/>
    <w:rsid w:val="00EA7D9F"/>
    <w:rsid w:val="00F758F6"/>
    <w:rsid w:val="00F85DD7"/>
    <w:rsid w:val="00F93534"/>
    <w:rsid w:val="00FA09AB"/>
    <w:rsid w:val="00FA37A1"/>
    <w:rsid w:val="00FF04FD"/>
    <w:rsid w:val="00FF20C0"/>
    <w:rsid w:val="00FF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60339"/>
  <w15:chartTrackingRefBased/>
  <w15:docId w15:val="{D6D63211-4731-4619-B958-66E32829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C4"/>
    <w:pPr>
      <w:tabs>
        <w:tab w:val="center" w:pos="4252"/>
        <w:tab w:val="right" w:pos="8504"/>
      </w:tabs>
      <w:snapToGrid w:val="0"/>
    </w:pPr>
  </w:style>
  <w:style w:type="character" w:customStyle="1" w:styleId="a4">
    <w:name w:val="ヘッダー (文字)"/>
    <w:basedOn w:val="a0"/>
    <w:link w:val="a3"/>
    <w:uiPriority w:val="99"/>
    <w:rsid w:val="003426C4"/>
  </w:style>
  <w:style w:type="paragraph" w:styleId="a5">
    <w:name w:val="footer"/>
    <w:basedOn w:val="a"/>
    <w:link w:val="a6"/>
    <w:uiPriority w:val="99"/>
    <w:unhideWhenUsed/>
    <w:rsid w:val="003426C4"/>
    <w:pPr>
      <w:tabs>
        <w:tab w:val="center" w:pos="4252"/>
        <w:tab w:val="right" w:pos="8504"/>
      </w:tabs>
      <w:snapToGrid w:val="0"/>
    </w:pPr>
  </w:style>
  <w:style w:type="character" w:customStyle="1" w:styleId="a6">
    <w:name w:val="フッター (文字)"/>
    <w:basedOn w:val="a0"/>
    <w:link w:val="a5"/>
    <w:uiPriority w:val="99"/>
    <w:rsid w:val="003426C4"/>
  </w:style>
  <w:style w:type="character" w:styleId="a7">
    <w:name w:val="footnote reference"/>
    <w:aliases w:val="4_G"/>
    <w:rsid w:val="009C7884"/>
    <w:rPr>
      <w:b/>
      <w:sz w:val="24"/>
      <w:vertAlign w:val="superscript"/>
    </w:rPr>
  </w:style>
  <w:style w:type="paragraph" w:styleId="a8">
    <w:name w:val="footnote text"/>
    <w:aliases w:val="5_G"/>
    <w:basedOn w:val="a"/>
    <w:link w:val="a9"/>
    <w:unhideWhenUsed/>
    <w:rsid w:val="009C7884"/>
    <w:pPr>
      <w:widowControl/>
      <w:ind w:left="357" w:hanging="357"/>
      <w:jc w:val="left"/>
    </w:pPr>
    <w:rPr>
      <w:rFonts w:ascii="Arial" w:eastAsia="Arial" w:hAnsi="Arial" w:cs="Arial"/>
      <w:kern w:val="0"/>
      <w:sz w:val="20"/>
      <w:szCs w:val="20"/>
      <w:lang w:val="en-GB" w:eastAsia="en-GB"/>
    </w:rPr>
  </w:style>
  <w:style w:type="character" w:customStyle="1" w:styleId="a9">
    <w:name w:val="脚注文字列 (文字)"/>
    <w:aliases w:val="5_G (文字)"/>
    <w:basedOn w:val="a0"/>
    <w:link w:val="a8"/>
    <w:rsid w:val="009C7884"/>
    <w:rPr>
      <w:rFonts w:ascii="Arial" w:eastAsia="Arial" w:hAnsi="Arial" w:cs="Arial"/>
      <w:kern w:val="0"/>
      <w:sz w:val="20"/>
      <w:szCs w:val="20"/>
      <w:lang w:val="en-GB" w:eastAsia="en-GB"/>
    </w:rPr>
  </w:style>
  <w:style w:type="paragraph" w:styleId="aa">
    <w:name w:val="Revision"/>
    <w:hidden/>
    <w:uiPriority w:val="99"/>
    <w:semiHidden/>
    <w:rsid w:val="007D3F38"/>
  </w:style>
  <w:style w:type="character" w:styleId="ab">
    <w:name w:val="annotation reference"/>
    <w:basedOn w:val="a0"/>
    <w:uiPriority w:val="99"/>
    <w:semiHidden/>
    <w:unhideWhenUsed/>
    <w:rsid w:val="000943B0"/>
    <w:rPr>
      <w:sz w:val="18"/>
      <w:szCs w:val="18"/>
    </w:rPr>
  </w:style>
  <w:style w:type="paragraph" w:styleId="ac">
    <w:name w:val="annotation text"/>
    <w:basedOn w:val="a"/>
    <w:link w:val="ad"/>
    <w:uiPriority w:val="99"/>
    <w:semiHidden/>
    <w:unhideWhenUsed/>
    <w:rsid w:val="000943B0"/>
    <w:pPr>
      <w:jc w:val="left"/>
    </w:pPr>
  </w:style>
  <w:style w:type="character" w:customStyle="1" w:styleId="ad">
    <w:name w:val="コメント文字列 (文字)"/>
    <w:basedOn w:val="a0"/>
    <w:link w:val="ac"/>
    <w:uiPriority w:val="99"/>
    <w:semiHidden/>
    <w:rsid w:val="000943B0"/>
  </w:style>
  <w:style w:type="paragraph" w:styleId="ae">
    <w:name w:val="annotation subject"/>
    <w:basedOn w:val="ac"/>
    <w:next w:val="ac"/>
    <w:link w:val="af"/>
    <w:uiPriority w:val="99"/>
    <w:semiHidden/>
    <w:unhideWhenUsed/>
    <w:rsid w:val="000943B0"/>
    <w:rPr>
      <w:b/>
      <w:bCs/>
    </w:rPr>
  </w:style>
  <w:style w:type="character" w:customStyle="1" w:styleId="af">
    <w:name w:val="コメント内容 (文字)"/>
    <w:basedOn w:val="ad"/>
    <w:link w:val="ae"/>
    <w:uiPriority w:val="99"/>
    <w:semiHidden/>
    <w:rsid w:val="00094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78A6-B7A2-4D37-9D3B-12A884F2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6440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2022-05-06T03:51:00Z</dcterms:created>
  <dcterms:modified xsi:type="dcterms:W3CDTF">2022-05-06T03:51:00Z</dcterms:modified>
</cp:coreProperties>
</file>