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9B6F" w14:textId="34E17B9B" w:rsidR="00C51BEE" w:rsidRDefault="00C51BEE" w:rsidP="00C51BEE">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30</w:t>
      </w:r>
    </w:p>
    <w:p w14:paraId="6FE18F86" w14:textId="77777777" w:rsidR="00D6191F" w:rsidRPr="00C51BEE" w:rsidRDefault="00D6191F" w:rsidP="002D0DD3">
      <w:pPr>
        <w:rPr>
          <w:rFonts w:ascii="ＭＳ Ｐゴシック" w:eastAsia="ＭＳ Ｐゴシック" w:hAnsi="ＭＳ Ｐゴシック"/>
          <w:b/>
          <w:bCs/>
          <w:szCs w:val="21"/>
        </w:rPr>
      </w:pPr>
    </w:p>
    <w:p w14:paraId="4D632726" w14:textId="242ADFD8" w:rsidR="00A11465" w:rsidRPr="003926E7" w:rsidRDefault="00B42A13" w:rsidP="002D0DD3">
      <w:pPr>
        <w:rPr>
          <w:rFonts w:ascii="ＭＳ Ｐゴシック" w:eastAsia="ＭＳ Ｐゴシック" w:hAnsi="ＭＳ Ｐゴシック"/>
          <w:b/>
          <w:bCs/>
          <w:szCs w:val="21"/>
        </w:rPr>
      </w:pPr>
      <w:r w:rsidRPr="003926E7">
        <w:rPr>
          <w:rFonts w:ascii="ＭＳ Ｐゴシック" w:eastAsia="ＭＳ Ｐゴシック" w:hAnsi="ＭＳ Ｐゴシック" w:hint="eastAsia"/>
          <w:b/>
          <w:bCs/>
          <w:szCs w:val="21"/>
        </w:rPr>
        <w:t>国際認知症連盟（</w:t>
      </w:r>
      <w:r w:rsidRPr="003926E7">
        <w:rPr>
          <w:rFonts w:ascii="ＭＳ Ｐゴシック" w:eastAsia="ＭＳ Ｐゴシック" w:hAnsi="ＭＳ Ｐゴシック"/>
          <w:b/>
          <w:bCs/>
          <w:szCs w:val="21"/>
        </w:rPr>
        <w:t>Dementia Alliance International (DAI)</w:t>
      </w:r>
      <w:r w:rsidRPr="003926E7">
        <w:rPr>
          <w:rFonts w:ascii="ＭＳ Ｐゴシック" w:eastAsia="ＭＳ Ｐゴシック" w:hAnsi="ＭＳ Ｐゴシック" w:hint="eastAsia"/>
          <w:b/>
          <w:bCs/>
          <w:szCs w:val="21"/>
        </w:rPr>
        <w:t>）</w:t>
      </w:r>
    </w:p>
    <w:p w14:paraId="0AA9D677" w14:textId="77777777" w:rsidR="00B42A13" w:rsidRPr="003926E7" w:rsidRDefault="00B42A13" w:rsidP="002D0DD3">
      <w:pPr>
        <w:rPr>
          <w:szCs w:val="21"/>
        </w:rPr>
      </w:pPr>
    </w:p>
    <w:p w14:paraId="63E9EF19" w14:textId="7699655A" w:rsidR="00B42A13" w:rsidRPr="003926E7" w:rsidRDefault="001D0EC7" w:rsidP="002D0DD3">
      <w:pPr>
        <w:pStyle w:val="a3"/>
        <w:spacing w:before="5"/>
        <w:rPr>
          <w:rFonts w:ascii="Times New Roman"/>
          <w:sz w:val="21"/>
          <w:szCs w:val="21"/>
        </w:rPr>
      </w:pPr>
      <w:r w:rsidRPr="003926E7">
        <w:rPr>
          <w:rFonts w:ascii="Times New Roman"/>
          <w:noProof/>
          <w:sz w:val="21"/>
          <w:szCs w:val="21"/>
          <w:lang w:val="en-GB" w:eastAsia="en-GB"/>
        </w:rPr>
        <w:drawing>
          <wp:inline distT="0" distB="0" distL="0" distR="0" wp14:anchorId="75D234F0" wp14:editId="1C45D626">
            <wp:extent cx="1219200" cy="1249546"/>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24467" cy="1254944"/>
                    </a:xfrm>
                    <a:prstGeom prst="rect">
                      <a:avLst/>
                    </a:prstGeom>
                  </pic:spPr>
                </pic:pic>
              </a:graphicData>
            </a:graphic>
          </wp:inline>
        </w:drawing>
      </w:r>
    </w:p>
    <w:p w14:paraId="62378AAD" w14:textId="77777777" w:rsidR="00B42A13" w:rsidRPr="003926E7" w:rsidRDefault="00B42A13" w:rsidP="003926E7">
      <w:pPr>
        <w:pStyle w:val="a3"/>
        <w:spacing w:before="2"/>
        <w:ind w:left="1126" w:right="1127"/>
        <w:jc w:val="center"/>
        <w:rPr>
          <w:sz w:val="21"/>
          <w:szCs w:val="21"/>
        </w:rPr>
      </w:pPr>
      <w:r w:rsidRPr="003926E7">
        <w:rPr>
          <w:sz w:val="21"/>
          <w:szCs w:val="21"/>
        </w:rPr>
        <w:t>the</w:t>
      </w:r>
      <w:r w:rsidRPr="003926E7">
        <w:rPr>
          <w:spacing w:val="-16"/>
          <w:sz w:val="21"/>
          <w:szCs w:val="21"/>
        </w:rPr>
        <w:t xml:space="preserve"> </w:t>
      </w:r>
      <w:r w:rsidRPr="003926E7">
        <w:rPr>
          <w:sz w:val="21"/>
          <w:szCs w:val="21"/>
        </w:rPr>
        <w:t>Dementia</w:t>
      </w:r>
      <w:r w:rsidRPr="003926E7">
        <w:rPr>
          <w:spacing w:val="-16"/>
          <w:sz w:val="21"/>
          <w:szCs w:val="21"/>
        </w:rPr>
        <w:t xml:space="preserve"> </w:t>
      </w:r>
      <w:r w:rsidRPr="003926E7">
        <w:rPr>
          <w:sz w:val="21"/>
          <w:szCs w:val="21"/>
        </w:rPr>
        <w:t>Alliance</w:t>
      </w:r>
      <w:r w:rsidRPr="003926E7">
        <w:rPr>
          <w:spacing w:val="-16"/>
          <w:sz w:val="21"/>
          <w:szCs w:val="21"/>
        </w:rPr>
        <w:t xml:space="preserve"> </w:t>
      </w:r>
      <w:r w:rsidRPr="003926E7">
        <w:rPr>
          <w:sz w:val="21"/>
          <w:szCs w:val="21"/>
        </w:rPr>
        <w:t>International</w:t>
      </w:r>
      <w:r w:rsidRPr="003926E7">
        <w:rPr>
          <w:spacing w:val="-16"/>
          <w:sz w:val="21"/>
          <w:szCs w:val="21"/>
        </w:rPr>
        <w:t xml:space="preserve"> </w:t>
      </w:r>
      <w:r w:rsidRPr="003926E7">
        <w:rPr>
          <w:sz w:val="21"/>
          <w:szCs w:val="21"/>
        </w:rPr>
        <w:t>(DAI)</w:t>
      </w:r>
    </w:p>
    <w:p w14:paraId="1BD36EBD" w14:textId="262EA112" w:rsidR="001D0EC7" w:rsidRPr="003926E7" w:rsidRDefault="001D0EC7" w:rsidP="003926E7">
      <w:pPr>
        <w:jc w:val="center"/>
        <w:rPr>
          <w:b/>
          <w:bCs/>
          <w:szCs w:val="21"/>
        </w:rPr>
      </w:pPr>
      <w:r w:rsidRPr="003926E7">
        <w:rPr>
          <w:b/>
          <w:bCs/>
          <w:szCs w:val="21"/>
        </w:rPr>
        <w:t>CRPD委員会の</w:t>
      </w:r>
      <w:r w:rsidR="007F4A45" w:rsidRPr="003926E7">
        <w:rPr>
          <w:rFonts w:hint="eastAsia"/>
          <w:b/>
          <w:bCs/>
          <w:szCs w:val="21"/>
        </w:rPr>
        <w:t>「</w:t>
      </w:r>
      <w:r w:rsidRPr="003926E7">
        <w:rPr>
          <w:b/>
          <w:bCs/>
          <w:szCs w:val="21"/>
        </w:rPr>
        <w:t>緊急時を含む脱施設に関するガイドライン案</w:t>
      </w:r>
      <w:r w:rsidR="007F4A45" w:rsidRPr="003926E7">
        <w:rPr>
          <w:rFonts w:hint="eastAsia"/>
          <w:b/>
          <w:bCs/>
          <w:szCs w:val="21"/>
        </w:rPr>
        <w:t>」</w:t>
      </w:r>
    </w:p>
    <w:p w14:paraId="194BF878" w14:textId="77777777" w:rsidR="001D0EC7" w:rsidRPr="003926E7" w:rsidRDefault="001D0EC7" w:rsidP="003926E7">
      <w:pPr>
        <w:jc w:val="center"/>
        <w:rPr>
          <w:szCs w:val="21"/>
        </w:rPr>
      </w:pPr>
      <w:r w:rsidRPr="003926E7">
        <w:rPr>
          <w:szCs w:val="21"/>
        </w:rPr>
        <w:t>2022年7月</w:t>
      </w:r>
    </w:p>
    <w:p w14:paraId="2D7925C0" w14:textId="77777777" w:rsidR="00B42A13" w:rsidRPr="003926E7" w:rsidRDefault="00B42A13" w:rsidP="002D0DD3">
      <w:pPr>
        <w:pStyle w:val="a3"/>
        <w:rPr>
          <w:sz w:val="21"/>
          <w:szCs w:val="21"/>
          <w:lang w:eastAsia="ja-JP"/>
        </w:rPr>
      </w:pPr>
    </w:p>
    <w:p w14:paraId="6AD253A1" w14:textId="1F9DC9DB" w:rsidR="00BC4A4D" w:rsidRPr="003926E7" w:rsidRDefault="00073D73" w:rsidP="00BC4A4D">
      <w:pPr>
        <w:tabs>
          <w:tab w:val="left" w:pos="6521"/>
        </w:tabs>
        <w:ind w:firstLineChars="100" w:firstLine="210"/>
        <w:rPr>
          <w:szCs w:val="21"/>
        </w:rPr>
      </w:pPr>
      <w:bookmarkStart w:id="0" w:name="_Hlk140058345"/>
      <w:r w:rsidRPr="003926E7">
        <w:rPr>
          <w:rFonts w:hint="eastAsia"/>
          <w:szCs w:val="21"/>
        </w:rPr>
        <w:t>国際認知症連盟</w:t>
      </w:r>
      <w:bookmarkEnd w:id="0"/>
      <w:r w:rsidR="001D0EC7" w:rsidRPr="003926E7">
        <w:rPr>
          <w:rFonts w:hint="eastAsia"/>
          <w:szCs w:val="21"/>
        </w:rPr>
        <w:t>は、</w:t>
      </w:r>
      <w:r w:rsidR="00F76260" w:rsidRPr="003926E7">
        <w:rPr>
          <w:rFonts w:hint="eastAsia"/>
          <w:szCs w:val="21"/>
        </w:rPr>
        <w:t>国際的な</w:t>
      </w:r>
      <w:r w:rsidR="001D0EC7" w:rsidRPr="003926E7">
        <w:rPr>
          <w:rFonts w:hint="eastAsia"/>
          <w:szCs w:val="21"/>
        </w:rPr>
        <w:t>障害者</w:t>
      </w:r>
      <w:r w:rsidRPr="003926E7">
        <w:rPr>
          <w:rFonts w:hint="eastAsia"/>
          <w:szCs w:val="21"/>
        </w:rPr>
        <w:t>団体（</w:t>
      </w:r>
      <w:r w:rsidRPr="003926E7">
        <w:rPr>
          <w:szCs w:val="21"/>
        </w:rPr>
        <w:t>DPO）</w:t>
      </w:r>
      <w:r w:rsidR="001D0EC7" w:rsidRPr="003926E7">
        <w:rPr>
          <w:szCs w:val="21"/>
        </w:rPr>
        <w:t>であり、501(c)(3)の</w:t>
      </w:r>
      <w:r w:rsidRPr="003926E7">
        <w:rPr>
          <w:rFonts w:hint="eastAsia"/>
          <w:szCs w:val="21"/>
        </w:rPr>
        <w:t>地位</w:t>
      </w:r>
      <w:r w:rsidR="001D0EC7" w:rsidRPr="003926E7">
        <w:rPr>
          <w:szCs w:val="21"/>
        </w:rPr>
        <w:t>を持つ米国法人として登録されている</w:t>
      </w:r>
      <w:r w:rsidR="00622F28">
        <w:rPr>
          <w:rFonts w:hint="eastAsia"/>
          <w:szCs w:val="21"/>
        </w:rPr>
        <w:t xml:space="preserve">（訳注　</w:t>
      </w:r>
      <w:r w:rsidR="00622F28" w:rsidRPr="00622F28">
        <w:rPr>
          <w:rFonts w:hint="eastAsia"/>
          <w:szCs w:val="21"/>
        </w:rPr>
        <w:t>アメリカの連邦法</w:t>
      </w:r>
      <w:r w:rsidR="00F63AB0">
        <w:rPr>
          <w:rFonts w:hint="eastAsia"/>
          <w:szCs w:val="21"/>
        </w:rPr>
        <w:t>「</w:t>
      </w:r>
      <w:r w:rsidR="00622F28" w:rsidRPr="00622F28">
        <w:rPr>
          <w:rFonts w:hint="eastAsia"/>
          <w:szCs w:val="21"/>
        </w:rPr>
        <w:t>内国歳入法（</w:t>
      </w:r>
      <w:r w:rsidR="00622F28" w:rsidRPr="00622F28">
        <w:rPr>
          <w:szCs w:val="21"/>
        </w:rPr>
        <w:t>IRC）</w:t>
      </w:r>
      <w:r w:rsidR="00F63AB0">
        <w:rPr>
          <w:rFonts w:hint="eastAsia"/>
          <w:szCs w:val="21"/>
        </w:rPr>
        <w:t>」の</w:t>
      </w:r>
      <w:r w:rsidR="00622F28" w:rsidRPr="00622F28">
        <w:rPr>
          <w:szCs w:val="21"/>
        </w:rPr>
        <w:t>501(c)の規定</w:t>
      </w:r>
      <w:r w:rsidR="007D0733">
        <w:rPr>
          <w:rFonts w:hint="eastAsia"/>
          <w:szCs w:val="21"/>
        </w:rPr>
        <w:t>で</w:t>
      </w:r>
      <w:r w:rsidR="00622F28" w:rsidRPr="00622F28">
        <w:rPr>
          <w:szCs w:val="21"/>
        </w:rPr>
        <w:t>税の優遇を受ける非営利組織で</w:t>
      </w:r>
      <w:r w:rsidR="007D0733">
        <w:rPr>
          <w:rFonts w:hint="eastAsia"/>
          <w:szCs w:val="21"/>
        </w:rPr>
        <w:t>、</w:t>
      </w:r>
      <w:r w:rsidR="00622F28" w:rsidRPr="00622F28">
        <w:rPr>
          <w:szCs w:val="21"/>
        </w:rPr>
        <w:t>(3)</w:t>
      </w:r>
      <w:r w:rsidR="00DE617B">
        <w:rPr>
          <w:rFonts w:hint="eastAsia"/>
          <w:szCs w:val="21"/>
        </w:rPr>
        <w:t>は最も大きな</w:t>
      </w:r>
      <w:r w:rsidR="00622F28" w:rsidRPr="00622F28">
        <w:rPr>
          <w:szCs w:val="21"/>
        </w:rPr>
        <w:t>優遇</w:t>
      </w:r>
      <w:r w:rsidR="00DE617B">
        <w:rPr>
          <w:rFonts w:hint="eastAsia"/>
          <w:szCs w:val="21"/>
        </w:rPr>
        <w:t>を受ける</w:t>
      </w:r>
      <w:r w:rsidR="00622F28">
        <w:rPr>
          <w:rFonts w:hint="eastAsia"/>
          <w:szCs w:val="21"/>
        </w:rPr>
        <w:t>）</w:t>
      </w:r>
      <w:r w:rsidR="001D0EC7" w:rsidRPr="003926E7">
        <w:rPr>
          <w:szCs w:val="21"/>
        </w:rPr>
        <w:t>。</w:t>
      </w:r>
      <w:r w:rsidRPr="003926E7">
        <w:rPr>
          <w:rFonts w:hint="eastAsia"/>
          <w:szCs w:val="21"/>
        </w:rPr>
        <w:t>その会員は世界中のあらゆるタイプの認知症と診断された人のために開かれている。</w:t>
      </w:r>
      <w:r w:rsidR="001D0EC7" w:rsidRPr="003926E7">
        <w:rPr>
          <w:szCs w:val="21"/>
        </w:rPr>
        <w:t>DAIは、世界で5,700万人を超える認知症者を擁護し、認知症者や認知症コミュニティを代表、支援、教育してい</w:t>
      </w:r>
      <w:r w:rsidRPr="003926E7">
        <w:rPr>
          <w:rFonts w:hint="eastAsia"/>
          <w:szCs w:val="21"/>
        </w:rPr>
        <w:t>る</w:t>
      </w:r>
      <w:r w:rsidR="001D0EC7" w:rsidRPr="003926E7">
        <w:rPr>
          <w:szCs w:val="21"/>
        </w:rPr>
        <w:t>。DAIは、私たちの権利、個人の自律、生活の質の向上のために、統一された力強い声、アドボカシー</w:t>
      </w:r>
      <w:r w:rsidR="00382F59">
        <w:rPr>
          <w:rFonts w:hint="eastAsia"/>
          <w:szCs w:val="21"/>
        </w:rPr>
        <w:t>（権利擁護）</w:t>
      </w:r>
      <w:r w:rsidR="001D0EC7" w:rsidRPr="003926E7">
        <w:rPr>
          <w:szCs w:val="21"/>
        </w:rPr>
        <w:t>、サポートを提供しようと努力している</w:t>
      </w:r>
      <w:r w:rsidR="00F76260" w:rsidRPr="003926E7">
        <w:rPr>
          <w:rFonts w:hint="eastAsia"/>
          <w:szCs w:val="21"/>
        </w:rPr>
        <w:t>団体</w:t>
      </w:r>
      <w:r w:rsidR="001D0EC7" w:rsidRPr="003926E7">
        <w:rPr>
          <w:szCs w:val="21"/>
        </w:rPr>
        <w:t>で</w:t>
      </w:r>
      <w:r w:rsidRPr="003926E7">
        <w:rPr>
          <w:rFonts w:hint="eastAsia"/>
          <w:szCs w:val="21"/>
        </w:rPr>
        <w:t>ある</w:t>
      </w:r>
      <w:r w:rsidR="001D0EC7" w:rsidRPr="003926E7">
        <w:rPr>
          <w:szCs w:val="21"/>
        </w:rPr>
        <w:t>。DAIは認知症者を代表する世界</w:t>
      </w:r>
      <w:r w:rsidR="00023863" w:rsidRPr="003926E7">
        <w:rPr>
          <w:rFonts w:hint="eastAsia"/>
          <w:szCs w:val="21"/>
        </w:rPr>
        <w:t>の</w:t>
      </w:r>
      <w:r w:rsidR="00BC4A4D" w:rsidRPr="003926E7">
        <w:rPr>
          <w:rFonts w:hint="eastAsia"/>
          <w:szCs w:val="21"/>
        </w:rPr>
        <w:t>最大の団体</w:t>
      </w:r>
      <w:r w:rsidR="00BC4A4D" w:rsidRPr="003926E7">
        <w:rPr>
          <w:szCs w:val="21"/>
        </w:rPr>
        <w:t>であり、認知症</w:t>
      </w:r>
      <w:r w:rsidR="003926E7" w:rsidRPr="003926E7">
        <w:rPr>
          <w:rFonts w:hint="eastAsia"/>
          <w:b/>
          <w:bCs/>
          <w:szCs w:val="21"/>
        </w:rPr>
        <w:t>「</w:t>
      </w:r>
      <w:r w:rsidR="00BC4A4D" w:rsidRPr="003926E7">
        <w:rPr>
          <w:b/>
          <w:bCs/>
          <w:szCs w:val="21"/>
        </w:rPr>
        <w:t>の</w:t>
      </w:r>
      <w:r w:rsidR="003926E7" w:rsidRPr="003926E7">
        <w:rPr>
          <w:rFonts w:hint="eastAsia"/>
          <w:b/>
          <w:bCs/>
          <w:szCs w:val="21"/>
        </w:rPr>
        <w:t>」</w:t>
      </w:r>
      <w:r w:rsidR="00BC4A4D" w:rsidRPr="003926E7">
        <w:rPr>
          <w:szCs w:val="21"/>
        </w:rPr>
        <w:t>世界的な代弁者として広く受け入れられてい</w:t>
      </w:r>
      <w:r w:rsidR="00BC4A4D" w:rsidRPr="003926E7">
        <w:rPr>
          <w:rFonts w:hint="eastAsia"/>
          <w:szCs w:val="21"/>
        </w:rPr>
        <w:t>る</w:t>
      </w:r>
      <w:r w:rsidR="00BC4A4D" w:rsidRPr="003926E7">
        <w:rPr>
          <w:szCs w:val="21"/>
        </w:rPr>
        <w:t>。DAIの使</w:t>
      </w:r>
      <w:r w:rsidR="00BC4A4D" w:rsidRPr="003926E7">
        <w:rPr>
          <w:rFonts w:hint="eastAsia"/>
          <w:szCs w:val="21"/>
        </w:rPr>
        <w:t>命は、</w:t>
      </w:r>
      <w:r w:rsidR="006940E9">
        <w:rPr>
          <w:rFonts w:hint="eastAsia"/>
          <w:szCs w:val="21"/>
        </w:rPr>
        <w:t>障害のある人</w:t>
      </w:r>
      <w:r w:rsidR="00BC4A4D" w:rsidRPr="003926E7">
        <w:rPr>
          <w:rFonts w:hint="eastAsia"/>
          <w:szCs w:val="21"/>
        </w:rPr>
        <w:t>の人権、特に、あらゆるタイプの認知症の診断に起因する</w:t>
      </w:r>
      <w:r w:rsidR="006940E9">
        <w:rPr>
          <w:rFonts w:hint="eastAsia"/>
          <w:szCs w:val="21"/>
        </w:rPr>
        <w:t>障害のある人</w:t>
      </w:r>
      <w:r w:rsidR="00BC4A4D" w:rsidRPr="003926E7">
        <w:rPr>
          <w:rFonts w:hint="eastAsia"/>
          <w:szCs w:val="21"/>
        </w:rPr>
        <w:t>の人権を向上させることである。それは認知症の人々が取り残されてきたからである。</w:t>
      </w:r>
      <w:r w:rsidR="00BC4A4D" w:rsidRPr="003926E7">
        <w:rPr>
          <w:szCs w:val="21"/>
        </w:rPr>
        <w:t>DAIは、障害者権利条約やその他の人権文書を活用することにより、49カ国のメンバーの人権を擁護し、団結した声を提供してい</w:t>
      </w:r>
      <w:r w:rsidR="00BC4A4D" w:rsidRPr="003926E7">
        <w:rPr>
          <w:rFonts w:hint="eastAsia"/>
          <w:szCs w:val="21"/>
        </w:rPr>
        <w:t>る</w:t>
      </w:r>
      <w:r w:rsidR="00BC4A4D" w:rsidRPr="003926E7">
        <w:rPr>
          <w:szCs w:val="21"/>
        </w:rPr>
        <w:t>。</w:t>
      </w:r>
    </w:p>
    <w:p w14:paraId="72E60343" w14:textId="21DF382F" w:rsidR="001D0EC7" w:rsidRPr="003926E7" w:rsidRDefault="001D0EC7" w:rsidP="002D0DD3">
      <w:pPr>
        <w:spacing w:before="76"/>
        <w:ind w:left="1328" w:right="348" w:hanging="981"/>
        <w:rPr>
          <w:b/>
          <w:w w:val="90"/>
          <w:szCs w:val="21"/>
        </w:rPr>
      </w:pPr>
    </w:p>
    <w:p w14:paraId="43A2F80B" w14:textId="709ED2FD" w:rsidR="001D0EC7" w:rsidRPr="003926E7" w:rsidRDefault="001D0EC7" w:rsidP="002D0DD3">
      <w:pPr>
        <w:rPr>
          <w:b/>
          <w:bCs/>
          <w:szCs w:val="21"/>
        </w:rPr>
      </w:pPr>
      <w:r w:rsidRPr="003926E7">
        <w:rPr>
          <w:b/>
          <w:bCs/>
          <w:szCs w:val="21"/>
        </w:rPr>
        <w:t>CRPD委員会の「緊急時を含む</w:t>
      </w:r>
      <w:r w:rsidR="00FE44B7" w:rsidRPr="003926E7">
        <w:rPr>
          <w:rFonts w:hint="eastAsia"/>
          <w:b/>
          <w:bCs/>
          <w:szCs w:val="21"/>
        </w:rPr>
        <w:t>脱施設化</w:t>
      </w:r>
      <w:r w:rsidRPr="003926E7">
        <w:rPr>
          <w:b/>
          <w:bCs/>
          <w:szCs w:val="21"/>
        </w:rPr>
        <w:t>ガイドライン（案）」に関する</w:t>
      </w:r>
      <w:r w:rsidR="00FE44B7" w:rsidRPr="003926E7">
        <w:rPr>
          <w:b/>
          <w:bCs/>
          <w:szCs w:val="21"/>
        </w:rPr>
        <w:t>DAI</w:t>
      </w:r>
      <w:r w:rsidR="00FE44B7" w:rsidRPr="003926E7">
        <w:rPr>
          <w:rFonts w:hint="eastAsia"/>
          <w:b/>
          <w:bCs/>
          <w:szCs w:val="21"/>
        </w:rPr>
        <w:t>の</w:t>
      </w:r>
      <w:r w:rsidRPr="003926E7">
        <w:rPr>
          <w:b/>
          <w:bCs/>
          <w:szCs w:val="21"/>
        </w:rPr>
        <w:t>意見</w:t>
      </w:r>
    </w:p>
    <w:p w14:paraId="3B859E72" w14:textId="77777777" w:rsidR="003926E7" w:rsidRDefault="003926E7" w:rsidP="002D0DD3">
      <w:pPr>
        <w:pStyle w:val="a7"/>
        <w:rPr>
          <w:sz w:val="21"/>
          <w:szCs w:val="21"/>
          <w:lang w:eastAsia="ja-JP"/>
        </w:rPr>
      </w:pPr>
    </w:p>
    <w:p w14:paraId="55D77B0B" w14:textId="359BF7FE" w:rsidR="001D0EC7" w:rsidRPr="003926E7" w:rsidRDefault="001D0EC7" w:rsidP="002D0DD3">
      <w:pPr>
        <w:pStyle w:val="a7"/>
        <w:rPr>
          <w:rFonts w:asciiTheme="minorEastAsia" w:eastAsiaTheme="minorEastAsia" w:hAnsiTheme="minorEastAsia"/>
          <w:b/>
          <w:bCs/>
          <w:sz w:val="21"/>
          <w:szCs w:val="21"/>
          <w:lang w:eastAsia="ja-JP"/>
        </w:rPr>
      </w:pPr>
      <w:r w:rsidRPr="003926E7">
        <w:rPr>
          <w:rFonts w:asciiTheme="minorEastAsia" w:eastAsiaTheme="minorEastAsia" w:hAnsiTheme="minorEastAsia"/>
          <w:b/>
          <w:bCs/>
          <w:sz w:val="21"/>
          <w:szCs w:val="21"/>
          <w:lang w:eastAsia="ja-JP"/>
        </w:rPr>
        <w:t xml:space="preserve">1. </w:t>
      </w:r>
      <w:r w:rsidRPr="003926E7">
        <w:rPr>
          <w:rFonts w:asciiTheme="minorEastAsia" w:eastAsiaTheme="minorEastAsia" w:hAnsiTheme="minorEastAsia" w:cs="Meiryo UI" w:hint="eastAsia"/>
          <w:b/>
          <w:bCs/>
          <w:sz w:val="21"/>
          <w:szCs w:val="21"/>
          <w:lang w:eastAsia="ja-JP"/>
        </w:rPr>
        <w:t>はじめに</w:t>
      </w:r>
    </w:p>
    <w:p w14:paraId="55F388CE" w14:textId="560A4754" w:rsidR="001D0EC7" w:rsidRPr="003926E7" w:rsidRDefault="001D0EC7" w:rsidP="002D0DD3">
      <w:pPr>
        <w:pStyle w:val="a7"/>
        <w:rPr>
          <w:rFonts w:asciiTheme="minorEastAsia" w:eastAsiaTheme="minorEastAsia" w:hAnsiTheme="minorEastAsia"/>
          <w:sz w:val="21"/>
          <w:szCs w:val="21"/>
          <w:lang w:eastAsia="ja-JP"/>
        </w:rPr>
      </w:pPr>
      <w:r w:rsidRPr="003926E7">
        <w:rPr>
          <w:rFonts w:asciiTheme="minorEastAsia" w:eastAsiaTheme="minorEastAsia" w:hAnsiTheme="minorEastAsia"/>
          <w:sz w:val="21"/>
          <w:szCs w:val="21"/>
          <w:lang w:eastAsia="ja-JP"/>
        </w:rPr>
        <w:t>1.</w:t>
      </w:r>
      <w:r w:rsidRPr="003926E7">
        <w:rPr>
          <w:rFonts w:asciiTheme="minorEastAsia" w:eastAsiaTheme="minorEastAsia" w:hAnsiTheme="minorEastAsia"/>
          <w:sz w:val="21"/>
          <w:szCs w:val="21"/>
          <w:lang w:eastAsia="ja-JP"/>
        </w:rPr>
        <w:tab/>
      </w:r>
      <w:r w:rsidR="00023863" w:rsidRPr="003926E7">
        <w:rPr>
          <w:rFonts w:asciiTheme="minorEastAsia" w:eastAsiaTheme="minorEastAsia" w:hAnsiTheme="minorEastAsia" w:cs="Meiryo UI" w:hint="eastAsia"/>
          <w:sz w:val="21"/>
          <w:szCs w:val="21"/>
          <w:lang w:eastAsia="ja-JP"/>
        </w:rPr>
        <w:t>国際認知症連盟</w:t>
      </w:r>
      <w:r w:rsidRPr="003926E7">
        <w:rPr>
          <w:rFonts w:asciiTheme="minorEastAsia" w:eastAsiaTheme="minorEastAsia" w:hAnsiTheme="minorEastAsia"/>
          <w:sz w:val="21"/>
          <w:szCs w:val="21"/>
          <w:lang w:eastAsia="ja-JP"/>
        </w:rPr>
        <w:t>(DAI)</w:t>
      </w:r>
      <w:r w:rsidRPr="003926E7">
        <w:rPr>
          <w:rFonts w:asciiTheme="minorEastAsia" w:eastAsiaTheme="minorEastAsia" w:hAnsiTheme="minorEastAsia" w:cs="Meiryo UI" w:hint="eastAsia"/>
          <w:sz w:val="21"/>
          <w:szCs w:val="21"/>
          <w:lang w:eastAsia="ja-JP"/>
        </w:rPr>
        <w:t>は、障害者権利委員会</w:t>
      </w:r>
      <w:r w:rsidRPr="003926E7">
        <w:rPr>
          <w:rFonts w:asciiTheme="minorEastAsia" w:eastAsiaTheme="minorEastAsia" w:hAnsiTheme="minorEastAsia"/>
          <w:sz w:val="21"/>
          <w:szCs w:val="21"/>
          <w:lang w:eastAsia="ja-JP"/>
        </w:rPr>
        <w:t>(CRPD)</w:t>
      </w:r>
      <w:r w:rsidRPr="003926E7">
        <w:rPr>
          <w:rFonts w:asciiTheme="minorEastAsia" w:eastAsiaTheme="minorEastAsia" w:hAnsiTheme="minorEastAsia" w:cs="Meiryo UI" w:hint="eastAsia"/>
          <w:sz w:val="21"/>
          <w:szCs w:val="21"/>
          <w:lang w:eastAsia="ja-JP"/>
        </w:rPr>
        <w:t>が、</w:t>
      </w:r>
      <w:r w:rsidR="00023863" w:rsidRPr="003926E7">
        <w:rPr>
          <w:rFonts w:asciiTheme="minorEastAsia" w:eastAsiaTheme="minorEastAsia" w:hAnsiTheme="minorEastAsia" w:cs="Meiryo UI" w:hint="eastAsia"/>
          <w:sz w:val="21"/>
          <w:szCs w:val="21"/>
          <w:lang w:eastAsia="ja-JP"/>
        </w:rPr>
        <w:t>「</w:t>
      </w:r>
      <w:r w:rsidRPr="003926E7">
        <w:rPr>
          <w:rFonts w:asciiTheme="minorEastAsia" w:eastAsiaTheme="minorEastAsia" w:hAnsiTheme="minorEastAsia" w:cs="Meiryo UI" w:hint="eastAsia"/>
          <w:sz w:val="21"/>
          <w:szCs w:val="21"/>
          <w:lang w:eastAsia="ja-JP"/>
        </w:rPr>
        <w:t>緊急時を含む脱施設化ガイドライン案</w:t>
      </w:r>
      <w:r w:rsidR="00023863" w:rsidRPr="003926E7">
        <w:rPr>
          <w:rFonts w:asciiTheme="minorEastAsia" w:eastAsiaTheme="minorEastAsia" w:hAnsiTheme="minorEastAsia" w:cs="Meiryo UI" w:hint="eastAsia"/>
          <w:sz w:val="21"/>
          <w:szCs w:val="21"/>
          <w:lang w:eastAsia="ja-JP"/>
        </w:rPr>
        <w:t>」</w:t>
      </w:r>
      <w:r w:rsidR="00BC4A4D" w:rsidRPr="003926E7">
        <w:rPr>
          <w:rFonts w:asciiTheme="minorEastAsia" w:eastAsiaTheme="minorEastAsia" w:hAnsiTheme="minorEastAsia" w:cs="Meiryo UI" w:hint="eastAsia"/>
          <w:sz w:val="21"/>
          <w:szCs w:val="21"/>
          <w:lang w:eastAsia="ja-JP"/>
        </w:rPr>
        <w:t>に対して意見を述べる</w:t>
      </w:r>
      <w:r w:rsidRPr="003926E7">
        <w:rPr>
          <w:rFonts w:asciiTheme="minorEastAsia" w:eastAsiaTheme="minorEastAsia" w:hAnsiTheme="minorEastAsia" w:cs="Meiryo UI" w:hint="eastAsia"/>
          <w:sz w:val="21"/>
          <w:szCs w:val="21"/>
          <w:lang w:eastAsia="ja-JP"/>
        </w:rPr>
        <w:t>機会を与えてく</w:t>
      </w:r>
      <w:r w:rsidR="00023863" w:rsidRPr="003926E7">
        <w:rPr>
          <w:rFonts w:asciiTheme="minorEastAsia" w:eastAsiaTheme="minorEastAsia" w:hAnsiTheme="minorEastAsia" w:cs="Meiryo UI" w:hint="eastAsia"/>
          <w:sz w:val="21"/>
          <w:szCs w:val="21"/>
          <w:lang w:eastAsia="ja-JP"/>
        </w:rPr>
        <w:t>れた</w:t>
      </w:r>
      <w:r w:rsidRPr="003926E7">
        <w:rPr>
          <w:rFonts w:asciiTheme="minorEastAsia" w:eastAsiaTheme="minorEastAsia" w:hAnsiTheme="minorEastAsia" w:cs="Meiryo UI" w:hint="eastAsia"/>
          <w:sz w:val="21"/>
          <w:szCs w:val="21"/>
          <w:lang w:eastAsia="ja-JP"/>
        </w:rPr>
        <w:t>ことに大変感謝している。</w:t>
      </w:r>
      <w:r w:rsidRPr="003926E7">
        <w:rPr>
          <w:rFonts w:asciiTheme="minorEastAsia" w:eastAsiaTheme="minorEastAsia" w:hAnsiTheme="minorEastAsia"/>
          <w:sz w:val="21"/>
          <w:szCs w:val="21"/>
          <w:lang w:eastAsia="ja-JP"/>
        </w:rPr>
        <w:t>DAI</w:t>
      </w:r>
      <w:r w:rsidRPr="003926E7">
        <w:rPr>
          <w:rFonts w:asciiTheme="minorEastAsia" w:eastAsiaTheme="minorEastAsia" w:hAnsiTheme="minorEastAsia" w:cs="Meiryo UI" w:hint="eastAsia"/>
          <w:sz w:val="21"/>
          <w:szCs w:val="21"/>
          <w:lang w:eastAsia="ja-JP"/>
        </w:rPr>
        <w:t>はこのプロセスを支持し、透明で参加性の高いプロセスを高く評価</w:t>
      </w:r>
      <w:r w:rsidR="006B2F59" w:rsidRPr="003926E7">
        <w:rPr>
          <w:rFonts w:asciiTheme="minorEastAsia" w:eastAsiaTheme="minorEastAsia" w:hAnsiTheme="minorEastAsia" w:cs="Meiryo UI" w:hint="eastAsia"/>
          <w:sz w:val="21"/>
          <w:szCs w:val="21"/>
          <w:lang w:eastAsia="ja-JP"/>
        </w:rPr>
        <w:t>する</w:t>
      </w:r>
      <w:r w:rsidRPr="003926E7">
        <w:rPr>
          <w:rFonts w:asciiTheme="minorEastAsia" w:eastAsiaTheme="minorEastAsia" w:hAnsiTheme="minorEastAsia" w:cs="Meiryo UI" w:hint="eastAsia"/>
          <w:sz w:val="21"/>
          <w:szCs w:val="21"/>
          <w:lang w:eastAsia="ja-JP"/>
        </w:rPr>
        <w:t>。私たちは、ガイドラインが国際人権基準に合致し、各国の脱施設化への取り組みを加速させる重要かつ有益な貢献となること、そして、後天的に認知障害やその他の複数の障害を引き起こす認知症とともに生きる</w:t>
      </w:r>
      <w:r w:rsidRPr="003926E7">
        <w:rPr>
          <w:rFonts w:asciiTheme="minorEastAsia" w:eastAsiaTheme="minorEastAsia" w:hAnsiTheme="minorEastAsia"/>
          <w:sz w:val="21"/>
          <w:szCs w:val="21"/>
          <w:lang w:eastAsia="ja-JP"/>
        </w:rPr>
        <w:lastRenderedPageBreak/>
        <w:t>5,700</w:t>
      </w:r>
      <w:r w:rsidRPr="003926E7">
        <w:rPr>
          <w:rFonts w:asciiTheme="minorEastAsia" w:eastAsiaTheme="minorEastAsia" w:hAnsiTheme="minorEastAsia" w:cs="Meiryo UI" w:hint="eastAsia"/>
          <w:sz w:val="21"/>
          <w:szCs w:val="21"/>
          <w:lang w:eastAsia="ja-JP"/>
        </w:rPr>
        <w:t>万人以上の人々がガイドラインに含まれることを確信してい</w:t>
      </w:r>
      <w:r w:rsidR="006B2F59" w:rsidRPr="003926E7">
        <w:rPr>
          <w:rFonts w:asciiTheme="minorEastAsia" w:eastAsiaTheme="minorEastAsia" w:hAnsiTheme="minorEastAsia" w:cs="Meiryo UI" w:hint="eastAsia"/>
          <w:sz w:val="21"/>
          <w:szCs w:val="21"/>
          <w:lang w:eastAsia="ja-JP"/>
        </w:rPr>
        <w:t>る</w:t>
      </w:r>
      <w:r w:rsidR="003926E7" w:rsidRPr="003926E7">
        <w:rPr>
          <w:rStyle w:val="ac"/>
          <w:sz w:val="21"/>
          <w:szCs w:val="21"/>
        </w:rPr>
        <w:footnoteReference w:id="1"/>
      </w:r>
      <w:r w:rsidRPr="003926E7">
        <w:rPr>
          <w:rFonts w:asciiTheme="minorEastAsia" w:eastAsiaTheme="minorEastAsia" w:hAnsiTheme="minorEastAsia" w:cs="Meiryo UI" w:hint="eastAsia"/>
          <w:sz w:val="21"/>
          <w:szCs w:val="21"/>
          <w:lang w:eastAsia="ja-JP"/>
        </w:rPr>
        <w:t>。</w:t>
      </w:r>
    </w:p>
    <w:p w14:paraId="55045498" w14:textId="77777777" w:rsidR="00B42A13" w:rsidRPr="003926E7" w:rsidRDefault="00B42A13" w:rsidP="002D0DD3">
      <w:pPr>
        <w:pStyle w:val="a3"/>
        <w:spacing w:before="11"/>
        <w:rPr>
          <w:sz w:val="21"/>
          <w:szCs w:val="21"/>
          <w:lang w:eastAsia="ja-JP"/>
        </w:rPr>
      </w:pPr>
    </w:p>
    <w:p w14:paraId="09EAE700" w14:textId="635F355C" w:rsidR="001D0EC7" w:rsidRPr="003926E7" w:rsidRDefault="001D0EC7" w:rsidP="002D0DD3">
      <w:pPr>
        <w:pStyle w:val="a7"/>
        <w:rPr>
          <w:rFonts w:asciiTheme="minorEastAsia" w:eastAsiaTheme="minorEastAsia" w:hAnsiTheme="minorEastAsia"/>
          <w:sz w:val="21"/>
          <w:szCs w:val="21"/>
          <w:lang w:eastAsia="ja-JP"/>
        </w:rPr>
      </w:pPr>
      <w:r w:rsidRPr="003926E7">
        <w:rPr>
          <w:rFonts w:asciiTheme="minorEastAsia" w:eastAsiaTheme="minorEastAsia" w:hAnsiTheme="minorEastAsia"/>
          <w:sz w:val="21"/>
          <w:szCs w:val="21"/>
          <w:lang w:eastAsia="ja-JP"/>
        </w:rPr>
        <w:t>2.</w:t>
      </w:r>
      <w:r w:rsidRPr="003926E7">
        <w:rPr>
          <w:rFonts w:asciiTheme="minorEastAsia" w:eastAsiaTheme="minorEastAsia" w:hAnsiTheme="minorEastAsia"/>
          <w:sz w:val="21"/>
          <w:szCs w:val="21"/>
          <w:lang w:eastAsia="ja-JP"/>
        </w:rPr>
        <w:tab/>
      </w:r>
      <w:r w:rsidRPr="003926E7">
        <w:rPr>
          <w:rFonts w:asciiTheme="minorEastAsia" w:eastAsiaTheme="minorEastAsia" w:hAnsiTheme="minorEastAsia" w:cs="Meiryo UI" w:hint="eastAsia"/>
          <w:sz w:val="21"/>
          <w:szCs w:val="21"/>
          <w:lang w:eastAsia="ja-JP"/>
        </w:rPr>
        <w:t>一般論として、</w:t>
      </w:r>
      <w:r w:rsidRPr="003926E7">
        <w:rPr>
          <w:rFonts w:asciiTheme="minorEastAsia" w:eastAsiaTheme="minorEastAsia" w:hAnsiTheme="minorEastAsia"/>
          <w:sz w:val="21"/>
          <w:szCs w:val="21"/>
          <w:lang w:eastAsia="ja-JP"/>
        </w:rPr>
        <w:t>DAI</w:t>
      </w:r>
      <w:r w:rsidRPr="003926E7">
        <w:rPr>
          <w:rFonts w:asciiTheme="minorEastAsia" w:eastAsiaTheme="minorEastAsia" w:hAnsiTheme="minorEastAsia" w:cs="Meiryo UI" w:hint="eastAsia"/>
          <w:sz w:val="21"/>
          <w:szCs w:val="21"/>
          <w:lang w:eastAsia="ja-JP"/>
        </w:rPr>
        <w:t>はこの文書の目的、構成、内容を歓迎する。我々は、脱施設化に関する委員会の作業に認知症の人々が含まれることを確実にし、文書の適用範囲と具体的な勧告を改善するために、特に次のセクションについてコメントを提供する。</w:t>
      </w:r>
      <w:r w:rsidR="00C25900" w:rsidRPr="003926E7">
        <w:rPr>
          <w:rFonts w:asciiTheme="minorEastAsia" w:eastAsiaTheme="minorEastAsia" w:hAnsiTheme="minorEastAsia" w:cs="Meiryo UI" w:hint="eastAsia"/>
          <w:sz w:val="21"/>
          <w:szCs w:val="21"/>
          <w:lang w:eastAsia="ja-JP"/>
        </w:rPr>
        <w:t>国</w:t>
      </w:r>
      <w:r w:rsidRPr="003926E7">
        <w:rPr>
          <w:rFonts w:asciiTheme="minorEastAsia" w:eastAsiaTheme="minorEastAsia" w:hAnsiTheme="minorEastAsia" w:cs="Meiryo UI" w:hint="eastAsia"/>
          <w:sz w:val="21"/>
          <w:szCs w:val="21"/>
          <w:lang w:eastAsia="ja-JP"/>
        </w:rPr>
        <w:t>および当局者は、この</w:t>
      </w:r>
      <w:r w:rsidR="00C25900" w:rsidRPr="003926E7">
        <w:rPr>
          <w:rFonts w:asciiTheme="minorEastAsia" w:eastAsiaTheme="minorEastAsia" w:hAnsiTheme="minorEastAsia" w:cs="Meiryo UI" w:hint="eastAsia"/>
          <w:sz w:val="21"/>
          <w:szCs w:val="21"/>
          <w:lang w:eastAsia="ja-JP"/>
        </w:rPr>
        <w:t>指針</w:t>
      </w:r>
      <w:r w:rsidRPr="003926E7">
        <w:rPr>
          <w:rFonts w:asciiTheme="minorEastAsia" w:eastAsiaTheme="minorEastAsia" w:hAnsiTheme="minorEastAsia" w:cs="Meiryo UI" w:hint="eastAsia"/>
          <w:sz w:val="21"/>
          <w:szCs w:val="21"/>
          <w:lang w:eastAsia="ja-JP"/>
        </w:rPr>
        <w:t>の主な対象者であるべきである。</w:t>
      </w:r>
    </w:p>
    <w:p w14:paraId="3A061109" w14:textId="77777777" w:rsidR="00B42A13" w:rsidRPr="003926E7" w:rsidRDefault="00B42A13" w:rsidP="002D0DD3">
      <w:pPr>
        <w:pStyle w:val="a3"/>
        <w:spacing w:before="1"/>
        <w:rPr>
          <w:sz w:val="21"/>
          <w:szCs w:val="21"/>
          <w:lang w:eastAsia="ja-JP"/>
        </w:rPr>
      </w:pPr>
    </w:p>
    <w:p w14:paraId="19B0B3A5" w14:textId="5E9864FD" w:rsidR="001D0EC7" w:rsidRPr="003926E7" w:rsidRDefault="001D0EC7" w:rsidP="002D0DD3">
      <w:pPr>
        <w:rPr>
          <w:rFonts w:asciiTheme="minorEastAsia" w:hAnsiTheme="minorEastAsia"/>
          <w:b/>
          <w:bCs/>
          <w:szCs w:val="21"/>
        </w:rPr>
      </w:pPr>
      <w:r w:rsidRPr="003926E7">
        <w:rPr>
          <w:rFonts w:asciiTheme="minorEastAsia" w:hAnsiTheme="minorEastAsia"/>
          <w:b/>
          <w:bCs/>
          <w:szCs w:val="21"/>
        </w:rPr>
        <w:t>2.</w:t>
      </w:r>
      <w:r w:rsidRPr="003926E7">
        <w:rPr>
          <w:rFonts w:asciiTheme="minorEastAsia" w:hAnsiTheme="minorEastAsia"/>
          <w:b/>
          <w:bCs/>
          <w:szCs w:val="21"/>
        </w:rPr>
        <w:tab/>
      </w:r>
      <w:r w:rsidRPr="003926E7">
        <w:rPr>
          <w:rFonts w:asciiTheme="minorEastAsia" w:hAnsiTheme="minorEastAsia" w:cs="Meiryo UI" w:hint="eastAsia"/>
          <w:b/>
          <w:bCs/>
          <w:szCs w:val="21"/>
        </w:rPr>
        <w:t>具体的なコメント（</w:t>
      </w:r>
      <w:r w:rsidR="00C25900" w:rsidRPr="003926E7">
        <w:rPr>
          <w:rFonts w:asciiTheme="minorEastAsia" w:hAnsiTheme="minorEastAsia" w:cs="Meiryo UI" w:hint="eastAsia"/>
          <w:b/>
          <w:bCs/>
          <w:szCs w:val="21"/>
        </w:rPr>
        <w:t>パラグラフについて</w:t>
      </w:r>
      <w:r w:rsidRPr="003926E7">
        <w:rPr>
          <w:rFonts w:asciiTheme="minorEastAsia" w:hAnsiTheme="minorEastAsia" w:cs="Meiryo UI" w:hint="eastAsia"/>
          <w:b/>
          <w:bCs/>
          <w:szCs w:val="21"/>
        </w:rPr>
        <w:t>）</w:t>
      </w:r>
    </w:p>
    <w:p w14:paraId="458C992F" w14:textId="77777777" w:rsidR="003926E7" w:rsidRDefault="003926E7" w:rsidP="002D0DD3">
      <w:pPr>
        <w:rPr>
          <w:rFonts w:asciiTheme="minorEastAsia" w:hAnsiTheme="minorEastAsia"/>
          <w:szCs w:val="21"/>
        </w:rPr>
      </w:pPr>
    </w:p>
    <w:p w14:paraId="2AE88221" w14:textId="03FE1587" w:rsidR="001D0EC7" w:rsidRPr="003926E7" w:rsidRDefault="001D0EC7" w:rsidP="002D0DD3">
      <w:pPr>
        <w:rPr>
          <w:rFonts w:asciiTheme="minorEastAsia" w:hAnsiTheme="minorEastAsia"/>
          <w:szCs w:val="21"/>
        </w:rPr>
      </w:pPr>
      <w:r w:rsidRPr="003926E7">
        <w:rPr>
          <w:rFonts w:asciiTheme="minorEastAsia" w:hAnsiTheme="minorEastAsia"/>
          <w:szCs w:val="21"/>
        </w:rPr>
        <w:t>3.</w:t>
      </w:r>
      <w:r w:rsidRPr="003926E7">
        <w:rPr>
          <w:rFonts w:asciiTheme="minorEastAsia" w:hAnsiTheme="minorEastAsia"/>
          <w:szCs w:val="21"/>
        </w:rPr>
        <w:tab/>
      </w:r>
      <w:r w:rsidRPr="003926E7">
        <w:rPr>
          <w:rFonts w:asciiTheme="minorEastAsia" w:hAnsiTheme="minorEastAsia" w:cs="Meiryo UI" w:hint="eastAsia"/>
          <w:szCs w:val="21"/>
        </w:rPr>
        <w:t>具体的な起草案を提示する場合、新しい段落や追加される</w:t>
      </w:r>
      <w:r w:rsidR="00C25900" w:rsidRPr="003926E7">
        <w:rPr>
          <w:rFonts w:asciiTheme="minorEastAsia" w:hAnsiTheme="minorEastAsia" w:cs="Meiryo UI" w:hint="eastAsia"/>
          <w:szCs w:val="21"/>
        </w:rPr>
        <w:t>語句</w:t>
      </w:r>
      <w:r w:rsidRPr="003926E7">
        <w:rPr>
          <w:rFonts w:asciiTheme="minorEastAsia" w:hAnsiTheme="minorEastAsia" w:cs="Meiryo UI" w:hint="eastAsia"/>
          <w:szCs w:val="21"/>
        </w:rPr>
        <w:t>は</w:t>
      </w:r>
      <w:r w:rsidRPr="003926E7">
        <w:rPr>
          <w:rFonts w:asciiTheme="minorEastAsia" w:hAnsiTheme="minorEastAsia" w:cs="Meiryo UI" w:hint="eastAsia"/>
          <w:b/>
          <w:bCs/>
          <w:szCs w:val="21"/>
        </w:rPr>
        <w:t>太字</w:t>
      </w:r>
      <w:r w:rsidRPr="003926E7">
        <w:rPr>
          <w:rFonts w:asciiTheme="minorEastAsia" w:hAnsiTheme="minorEastAsia" w:cs="Meiryo UI" w:hint="eastAsia"/>
          <w:szCs w:val="21"/>
        </w:rPr>
        <w:t>で示し、削除を提案する語句には一重の取り消し線を使用する。</w:t>
      </w:r>
    </w:p>
    <w:p w14:paraId="49AFEFCD" w14:textId="77777777" w:rsidR="00B42A13" w:rsidRPr="003926E7" w:rsidRDefault="00B42A13" w:rsidP="002D0DD3">
      <w:pPr>
        <w:pStyle w:val="a3"/>
        <w:spacing w:before="7"/>
        <w:rPr>
          <w:sz w:val="21"/>
          <w:szCs w:val="21"/>
          <w:lang w:eastAsia="ja-JP"/>
        </w:rPr>
      </w:pPr>
    </w:p>
    <w:p w14:paraId="213A7D8E" w14:textId="20EE4009" w:rsidR="001D0EC7" w:rsidRPr="003926E7" w:rsidRDefault="00FD0910" w:rsidP="002D0DD3">
      <w:pPr>
        <w:rPr>
          <w:b/>
          <w:bCs/>
          <w:szCs w:val="21"/>
        </w:rPr>
      </w:pPr>
      <w:r w:rsidRPr="003926E7">
        <w:rPr>
          <w:rFonts w:hint="eastAsia"/>
          <w:b/>
          <w:bCs/>
          <w:szCs w:val="21"/>
        </w:rPr>
        <w:t>パラグラフ２</w:t>
      </w:r>
    </w:p>
    <w:p w14:paraId="5BEF851B" w14:textId="5B8F60D0" w:rsidR="001D0EC7" w:rsidRPr="003926E7" w:rsidRDefault="001D0EC7" w:rsidP="002D0DD3">
      <w:pPr>
        <w:rPr>
          <w:szCs w:val="21"/>
        </w:rPr>
      </w:pPr>
      <w:r w:rsidRPr="003926E7">
        <w:rPr>
          <w:szCs w:val="21"/>
        </w:rPr>
        <w:t>4.</w:t>
      </w:r>
      <w:r w:rsidRPr="003926E7">
        <w:rPr>
          <w:szCs w:val="21"/>
        </w:rPr>
        <w:tab/>
        <w:t>DAIは、</w:t>
      </w:r>
      <w:r w:rsidR="00FD0910" w:rsidRPr="003926E7">
        <w:rPr>
          <w:szCs w:val="21"/>
        </w:rPr>
        <w:t>施設収容</w:t>
      </w:r>
      <w:r w:rsidRPr="003926E7">
        <w:rPr>
          <w:szCs w:val="21"/>
        </w:rPr>
        <w:t>が</w:t>
      </w:r>
      <w:r w:rsidR="006940E9">
        <w:rPr>
          <w:szCs w:val="21"/>
        </w:rPr>
        <w:t>障害のある人</w:t>
      </w:r>
      <w:r w:rsidRPr="003926E7">
        <w:rPr>
          <w:szCs w:val="21"/>
        </w:rPr>
        <w:t>の権利にも影響を与えることを反映させることを提案する</w:t>
      </w:r>
      <w:r w:rsidR="00FD0910" w:rsidRPr="003926E7">
        <w:rPr>
          <w:rFonts w:hint="eastAsia"/>
          <w:szCs w:val="21"/>
        </w:rPr>
        <w:t>。</w:t>
      </w:r>
    </w:p>
    <w:p w14:paraId="0ED23274" w14:textId="61E85F77" w:rsidR="001D0EC7" w:rsidRPr="003926E7" w:rsidRDefault="001D0EC7" w:rsidP="003926E7">
      <w:pPr>
        <w:ind w:firstLineChars="100" w:firstLine="210"/>
        <w:rPr>
          <w:szCs w:val="21"/>
        </w:rPr>
      </w:pPr>
      <w:r w:rsidRPr="003926E7">
        <w:rPr>
          <w:rFonts w:hint="eastAsia"/>
          <w:szCs w:val="21"/>
        </w:rPr>
        <w:t>「</w:t>
      </w:r>
      <w:r w:rsidRPr="003926E7">
        <w:rPr>
          <w:szCs w:val="21"/>
        </w:rPr>
        <w:t>...</w:t>
      </w:r>
      <w:r w:rsidR="00FD0910" w:rsidRPr="003926E7">
        <w:rPr>
          <w:szCs w:val="21"/>
        </w:rPr>
        <w:t>施設収容</w:t>
      </w:r>
      <w:r w:rsidRPr="003926E7">
        <w:rPr>
          <w:szCs w:val="21"/>
        </w:rPr>
        <w:t>が</w:t>
      </w:r>
      <w:r w:rsidR="006940E9">
        <w:rPr>
          <w:szCs w:val="21"/>
        </w:rPr>
        <w:t>障害のある人</w:t>
      </w:r>
      <w:r w:rsidRPr="003926E7">
        <w:rPr>
          <w:szCs w:val="21"/>
        </w:rPr>
        <w:t>の</w:t>
      </w:r>
      <w:r w:rsidRPr="003926E7">
        <w:rPr>
          <w:b/>
          <w:bCs/>
          <w:szCs w:val="21"/>
        </w:rPr>
        <w:t>権利と</w:t>
      </w:r>
      <w:r w:rsidR="00FD0910" w:rsidRPr="003926E7">
        <w:rPr>
          <w:rFonts w:hint="eastAsia"/>
          <w:szCs w:val="21"/>
        </w:rPr>
        <w:t>ウエルビーイング</w:t>
      </w:r>
      <w:r w:rsidRPr="003926E7">
        <w:rPr>
          <w:szCs w:val="21"/>
        </w:rPr>
        <w:t>に及ぼす影響...」。</w:t>
      </w:r>
    </w:p>
    <w:p w14:paraId="029B8F50" w14:textId="77777777" w:rsidR="00B42A13" w:rsidRPr="003926E7" w:rsidRDefault="00B42A13" w:rsidP="002D0DD3">
      <w:pPr>
        <w:pStyle w:val="a3"/>
        <w:spacing w:before="5"/>
        <w:rPr>
          <w:sz w:val="21"/>
          <w:szCs w:val="21"/>
          <w:lang w:eastAsia="ja-JP"/>
        </w:rPr>
      </w:pPr>
    </w:p>
    <w:p w14:paraId="11469DCF" w14:textId="49CF5E3D" w:rsidR="001D0EC7" w:rsidRPr="003926E7" w:rsidRDefault="00FD0910" w:rsidP="002D0DD3">
      <w:pPr>
        <w:rPr>
          <w:b/>
          <w:bCs/>
          <w:szCs w:val="21"/>
        </w:rPr>
      </w:pPr>
      <w:r w:rsidRPr="003926E7">
        <w:rPr>
          <w:rFonts w:hint="eastAsia"/>
          <w:b/>
          <w:bCs/>
          <w:szCs w:val="21"/>
        </w:rPr>
        <w:t>パラグラフ</w:t>
      </w:r>
      <w:r w:rsidR="001D0EC7" w:rsidRPr="003926E7">
        <w:rPr>
          <w:b/>
          <w:bCs/>
          <w:szCs w:val="21"/>
        </w:rPr>
        <w:t>6</w:t>
      </w:r>
    </w:p>
    <w:p w14:paraId="5D20D528" w14:textId="3D978879" w:rsidR="001D0EC7" w:rsidRPr="003926E7" w:rsidRDefault="001D0EC7" w:rsidP="002D0DD3">
      <w:pPr>
        <w:rPr>
          <w:szCs w:val="21"/>
        </w:rPr>
      </w:pPr>
      <w:r w:rsidRPr="003926E7">
        <w:rPr>
          <w:szCs w:val="21"/>
        </w:rPr>
        <w:t>5.</w:t>
      </w:r>
      <w:r w:rsidRPr="003926E7">
        <w:rPr>
          <w:szCs w:val="21"/>
        </w:rPr>
        <w:tab/>
        <w:t>人権理事会は最近、「施設収容」を暴力の一形態とみなしており、このことは当初から本ガイドラインに反映されるべきである。そこでDAIは</w:t>
      </w:r>
      <w:r w:rsidR="00FD0910" w:rsidRPr="003926E7">
        <w:rPr>
          <w:szCs w:val="21"/>
        </w:rPr>
        <w:t>パラグラフ</w:t>
      </w:r>
      <w:r w:rsidRPr="003926E7">
        <w:rPr>
          <w:szCs w:val="21"/>
        </w:rPr>
        <w:t>6に</w:t>
      </w:r>
      <w:r w:rsidR="00FD0910" w:rsidRPr="003926E7">
        <w:rPr>
          <w:rFonts w:hint="eastAsia"/>
          <w:szCs w:val="21"/>
        </w:rPr>
        <w:t>次</w:t>
      </w:r>
      <w:r w:rsidRPr="003926E7">
        <w:rPr>
          <w:szCs w:val="21"/>
        </w:rPr>
        <w:t>の文言を加えることを提案する。</w:t>
      </w:r>
    </w:p>
    <w:p w14:paraId="4F9E39E5" w14:textId="2C33FF8D" w:rsidR="001D0EC7" w:rsidRPr="003926E7" w:rsidRDefault="001D0EC7" w:rsidP="002D0DD3">
      <w:pPr>
        <w:rPr>
          <w:szCs w:val="21"/>
        </w:rPr>
      </w:pPr>
      <w:r w:rsidRPr="003926E7">
        <w:rPr>
          <w:rFonts w:hint="eastAsia"/>
          <w:szCs w:val="21"/>
        </w:rPr>
        <w:t>「</w:t>
      </w:r>
      <w:r w:rsidRPr="003926E7">
        <w:rPr>
          <w:szCs w:val="21"/>
        </w:rPr>
        <w:t xml:space="preserve">6. [...] </w:t>
      </w:r>
      <w:r w:rsidRPr="003926E7">
        <w:rPr>
          <w:b/>
          <w:bCs/>
          <w:szCs w:val="21"/>
        </w:rPr>
        <w:t>人権理事会は最近、</w:t>
      </w:r>
      <w:r w:rsidR="007F4A45" w:rsidRPr="003926E7">
        <w:rPr>
          <w:rFonts w:hint="eastAsia"/>
          <w:b/>
          <w:bCs/>
          <w:szCs w:val="21"/>
        </w:rPr>
        <w:t>『</w:t>
      </w:r>
      <w:r w:rsidRPr="003926E7">
        <w:rPr>
          <w:b/>
          <w:bCs/>
          <w:szCs w:val="21"/>
        </w:rPr>
        <w:t>強制的な施設収容は、障害を理由に女性や</w:t>
      </w:r>
      <w:r w:rsidR="00FD0910" w:rsidRPr="003926E7">
        <w:rPr>
          <w:rFonts w:hint="eastAsia"/>
          <w:b/>
          <w:bCs/>
          <w:szCs w:val="21"/>
        </w:rPr>
        <w:t>少女</w:t>
      </w:r>
      <w:r w:rsidRPr="003926E7">
        <w:rPr>
          <w:b/>
          <w:bCs/>
          <w:szCs w:val="21"/>
        </w:rPr>
        <w:t>の自由を奪う暴力の一形態である</w:t>
      </w:r>
      <w:r w:rsidR="007F4A45" w:rsidRPr="003926E7">
        <w:rPr>
          <w:rFonts w:hint="eastAsia"/>
          <w:b/>
          <w:bCs/>
          <w:szCs w:val="21"/>
        </w:rPr>
        <w:t>』</w:t>
      </w:r>
      <w:r w:rsidRPr="003926E7">
        <w:rPr>
          <w:b/>
          <w:bCs/>
          <w:szCs w:val="21"/>
        </w:rPr>
        <w:t>と表明している</w:t>
      </w:r>
      <w:r w:rsidRPr="003926E7">
        <w:rPr>
          <w:szCs w:val="21"/>
        </w:rPr>
        <w:t>。</w:t>
      </w:r>
      <w:r w:rsidR="007F4A45" w:rsidRPr="003926E7">
        <w:rPr>
          <w:rFonts w:hint="eastAsia"/>
          <w:szCs w:val="21"/>
        </w:rPr>
        <w:t>」</w:t>
      </w:r>
      <w:r w:rsidR="002E6D3E">
        <w:rPr>
          <w:rStyle w:val="ac"/>
          <w:szCs w:val="21"/>
        </w:rPr>
        <w:footnoteReference w:id="2"/>
      </w:r>
    </w:p>
    <w:p w14:paraId="58A8675B" w14:textId="77777777" w:rsidR="00B42A13" w:rsidRPr="003926E7" w:rsidRDefault="00B42A13" w:rsidP="002D0DD3">
      <w:pPr>
        <w:pStyle w:val="a3"/>
        <w:rPr>
          <w:sz w:val="21"/>
          <w:szCs w:val="21"/>
          <w:lang w:eastAsia="ja-JP"/>
        </w:rPr>
      </w:pPr>
    </w:p>
    <w:p w14:paraId="0C64B1F2" w14:textId="77777777" w:rsidR="001D0EC7" w:rsidRPr="003926E7" w:rsidRDefault="001D0EC7" w:rsidP="002D0DD3">
      <w:pPr>
        <w:rPr>
          <w:rFonts w:asciiTheme="minorEastAsia" w:hAnsiTheme="minorEastAsia"/>
          <w:b/>
          <w:bCs/>
          <w:szCs w:val="21"/>
        </w:rPr>
      </w:pPr>
      <w:r w:rsidRPr="003926E7">
        <w:rPr>
          <w:rFonts w:asciiTheme="minorEastAsia" w:hAnsiTheme="minorEastAsia" w:cs="Meiryo UI" w:hint="eastAsia"/>
          <w:b/>
          <w:bCs/>
          <w:szCs w:val="21"/>
        </w:rPr>
        <w:t>パラグラフ</w:t>
      </w:r>
      <w:r w:rsidRPr="003926E7">
        <w:rPr>
          <w:rFonts w:asciiTheme="minorEastAsia" w:hAnsiTheme="minorEastAsia"/>
          <w:b/>
          <w:bCs/>
          <w:szCs w:val="21"/>
        </w:rPr>
        <w:t xml:space="preserve"> 12</w:t>
      </w:r>
      <w:r w:rsidRPr="003926E7">
        <w:rPr>
          <w:rFonts w:asciiTheme="minorEastAsia" w:hAnsiTheme="minorEastAsia" w:cs="Meiryo UI" w:hint="eastAsia"/>
          <w:b/>
          <w:bCs/>
          <w:szCs w:val="21"/>
        </w:rPr>
        <w:t>：</w:t>
      </w:r>
    </w:p>
    <w:p w14:paraId="0E0B4657" w14:textId="34B27998" w:rsidR="001D0EC7" w:rsidRPr="003926E7" w:rsidRDefault="001D0EC7" w:rsidP="002D0DD3">
      <w:pPr>
        <w:rPr>
          <w:rFonts w:asciiTheme="minorEastAsia" w:hAnsiTheme="minorEastAsia"/>
          <w:szCs w:val="21"/>
        </w:rPr>
      </w:pPr>
      <w:r w:rsidRPr="003926E7">
        <w:rPr>
          <w:rFonts w:asciiTheme="minorEastAsia" w:hAnsiTheme="minorEastAsia"/>
          <w:szCs w:val="21"/>
        </w:rPr>
        <w:t>6.</w:t>
      </w:r>
      <w:r w:rsidRPr="003926E7">
        <w:rPr>
          <w:rFonts w:asciiTheme="minorEastAsia" w:hAnsiTheme="minorEastAsia"/>
          <w:szCs w:val="21"/>
        </w:rPr>
        <w:tab/>
      </w:r>
      <w:r w:rsidRPr="003926E7">
        <w:rPr>
          <w:rFonts w:asciiTheme="minorEastAsia" w:hAnsiTheme="minorEastAsia" w:cs="Meiryo UI" w:hint="eastAsia"/>
          <w:szCs w:val="21"/>
        </w:rPr>
        <w:t>障害のある子どもに言及している現行のパラグラフ</w:t>
      </w:r>
      <w:r w:rsidRPr="003926E7">
        <w:rPr>
          <w:rFonts w:asciiTheme="minorEastAsia" w:hAnsiTheme="minorEastAsia"/>
          <w:szCs w:val="21"/>
        </w:rPr>
        <w:t>12</w:t>
      </w:r>
      <w:r w:rsidRPr="003926E7">
        <w:rPr>
          <w:rFonts w:asciiTheme="minorEastAsia" w:hAnsiTheme="minorEastAsia" w:cs="Meiryo UI" w:hint="eastAsia"/>
          <w:szCs w:val="21"/>
        </w:rPr>
        <w:t>は、パラグラフ</w:t>
      </w:r>
      <w:r w:rsidRPr="003926E7">
        <w:rPr>
          <w:rFonts w:asciiTheme="minorEastAsia" w:hAnsiTheme="minorEastAsia"/>
          <w:szCs w:val="21"/>
        </w:rPr>
        <w:t>8</w:t>
      </w:r>
      <w:r w:rsidRPr="003926E7">
        <w:rPr>
          <w:rFonts w:asciiTheme="minorEastAsia" w:hAnsiTheme="minorEastAsia" w:cs="Meiryo UI" w:hint="eastAsia"/>
          <w:szCs w:val="21"/>
        </w:rPr>
        <w:t>の後に置かれるべきである。</w:t>
      </w:r>
    </w:p>
    <w:p w14:paraId="5E97AB13" w14:textId="77777777" w:rsidR="00B42A13" w:rsidRPr="003926E7" w:rsidRDefault="00B42A13" w:rsidP="002D0DD3">
      <w:pPr>
        <w:pStyle w:val="a3"/>
        <w:spacing w:before="7"/>
        <w:rPr>
          <w:sz w:val="21"/>
          <w:szCs w:val="21"/>
          <w:lang w:eastAsia="ja-JP"/>
        </w:rPr>
      </w:pPr>
    </w:p>
    <w:p w14:paraId="7FBC6437" w14:textId="77777777" w:rsidR="001D0EC7" w:rsidRPr="003926E7" w:rsidRDefault="001D0EC7" w:rsidP="002D0DD3">
      <w:pPr>
        <w:rPr>
          <w:rFonts w:asciiTheme="minorEastAsia" w:hAnsiTheme="minorEastAsia"/>
          <w:b/>
          <w:bCs/>
          <w:szCs w:val="21"/>
        </w:rPr>
      </w:pPr>
      <w:r w:rsidRPr="003926E7">
        <w:rPr>
          <w:rFonts w:asciiTheme="minorEastAsia" w:hAnsiTheme="minorEastAsia" w:cs="Meiryo UI" w:hint="eastAsia"/>
          <w:b/>
          <w:bCs/>
          <w:szCs w:val="21"/>
        </w:rPr>
        <w:t>新しいパラグラフ</w:t>
      </w:r>
      <w:r w:rsidRPr="003926E7">
        <w:rPr>
          <w:rFonts w:asciiTheme="minorEastAsia" w:hAnsiTheme="minorEastAsia"/>
          <w:b/>
          <w:bCs/>
          <w:szCs w:val="21"/>
        </w:rPr>
        <w:t>10</w:t>
      </w:r>
      <w:r w:rsidRPr="003926E7">
        <w:rPr>
          <w:rFonts w:asciiTheme="minorEastAsia" w:hAnsiTheme="minorEastAsia" w:cs="Meiryo UI" w:hint="eastAsia"/>
          <w:b/>
          <w:bCs/>
          <w:szCs w:val="21"/>
        </w:rPr>
        <w:t>の提案</w:t>
      </w:r>
    </w:p>
    <w:p w14:paraId="795D8FDB" w14:textId="2913155F" w:rsidR="001D0EC7" w:rsidRPr="003926E7" w:rsidRDefault="001D0EC7" w:rsidP="002D0DD3">
      <w:pPr>
        <w:rPr>
          <w:rFonts w:asciiTheme="minorEastAsia" w:hAnsiTheme="minorEastAsia"/>
          <w:szCs w:val="21"/>
        </w:rPr>
      </w:pPr>
      <w:r w:rsidRPr="003926E7">
        <w:rPr>
          <w:rFonts w:asciiTheme="minorEastAsia" w:hAnsiTheme="minorEastAsia"/>
          <w:szCs w:val="21"/>
        </w:rPr>
        <w:t>7.</w:t>
      </w:r>
      <w:r w:rsidRPr="003926E7">
        <w:rPr>
          <w:rFonts w:asciiTheme="minorEastAsia" w:hAnsiTheme="minorEastAsia"/>
          <w:szCs w:val="21"/>
        </w:rPr>
        <w:tab/>
        <w:t>DAI</w:t>
      </w:r>
      <w:r w:rsidRPr="003926E7">
        <w:rPr>
          <w:rFonts w:asciiTheme="minorEastAsia" w:hAnsiTheme="minorEastAsia" w:cs="Meiryo UI" w:hint="eastAsia"/>
          <w:szCs w:val="21"/>
        </w:rPr>
        <w:t>は、現行のパラグラフ</w:t>
      </w:r>
      <w:r w:rsidRPr="003926E7">
        <w:rPr>
          <w:rFonts w:asciiTheme="minorEastAsia" w:hAnsiTheme="minorEastAsia"/>
          <w:szCs w:val="21"/>
        </w:rPr>
        <w:t>12</w:t>
      </w:r>
      <w:r w:rsidRPr="003926E7">
        <w:rPr>
          <w:rFonts w:asciiTheme="minorEastAsia" w:hAnsiTheme="minorEastAsia" w:cs="Meiryo UI" w:hint="eastAsia"/>
          <w:szCs w:val="21"/>
        </w:rPr>
        <w:t>の後に、以下の</w:t>
      </w:r>
      <w:r w:rsidRPr="003926E7">
        <w:rPr>
          <w:rFonts w:asciiTheme="minorEastAsia" w:hAnsiTheme="minorEastAsia"/>
          <w:szCs w:val="21"/>
        </w:rPr>
        <w:t>4</w:t>
      </w:r>
      <w:r w:rsidR="000C4406" w:rsidRPr="003926E7">
        <w:rPr>
          <w:rFonts w:asciiTheme="minorEastAsia" w:hAnsiTheme="minorEastAsia" w:hint="eastAsia"/>
          <w:szCs w:val="21"/>
        </w:rPr>
        <w:t>パラグラフ</w:t>
      </w:r>
      <w:r w:rsidRPr="003926E7">
        <w:rPr>
          <w:rFonts w:asciiTheme="minorEastAsia" w:hAnsiTheme="minorEastAsia" w:cs="Meiryo UI" w:hint="eastAsia"/>
          <w:szCs w:val="21"/>
        </w:rPr>
        <w:t>を追加することを提案する。</w:t>
      </w:r>
      <w:r w:rsidR="000C4406" w:rsidRPr="003926E7">
        <w:rPr>
          <w:rFonts w:asciiTheme="minorEastAsia" w:hAnsiTheme="minorEastAsia" w:cs="Meiryo UI" w:hint="eastAsia"/>
          <w:szCs w:val="21"/>
        </w:rPr>
        <w:t>パラグラフ</w:t>
      </w:r>
      <w:r w:rsidRPr="003926E7">
        <w:rPr>
          <w:rFonts w:asciiTheme="minorEastAsia" w:hAnsiTheme="minorEastAsia"/>
          <w:szCs w:val="21"/>
        </w:rPr>
        <w:t>12</w:t>
      </w:r>
      <w:r w:rsidR="000C4406" w:rsidRPr="003926E7">
        <w:rPr>
          <w:rFonts w:asciiTheme="minorEastAsia" w:hAnsiTheme="minorEastAsia" w:hint="eastAsia"/>
          <w:szCs w:val="21"/>
        </w:rPr>
        <w:t>（パラグラフ８の後に移動した後の）</w:t>
      </w:r>
      <w:r w:rsidRPr="003926E7">
        <w:rPr>
          <w:rFonts w:asciiTheme="minorEastAsia" w:hAnsiTheme="minorEastAsia" w:cs="Meiryo UI" w:hint="eastAsia"/>
          <w:szCs w:val="21"/>
        </w:rPr>
        <w:t>に続く新しいパラグラフとして、以下の</w:t>
      </w:r>
      <w:r w:rsidRPr="003926E7">
        <w:rPr>
          <w:rFonts w:asciiTheme="minorEastAsia" w:hAnsiTheme="minorEastAsia"/>
          <w:szCs w:val="21"/>
        </w:rPr>
        <w:t>4</w:t>
      </w:r>
      <w:r w:rsidR="000C4406" w:rsidRPr="003926E7">
        <w:rPr>
          <w:rFonts w:asciiTheme="minorEastAsia" w:hAnsiTheme="minorEastAsia" w:hint="eastAsia"/>
          <w:szCs w:val="21"/>
        </w:rPr>
        <w:t>つ</w:t>
      </w:r>
      <w:r w:rsidRPr="003926E7">
        <w:rPr>
          <w:rFonts w:asciiTheme="minorEastAsia" w:hAnsiTheme="minorEastAsia" w:cs="Meiryo UI" w:hint="eastAsia"/>
          <w:szCs w:val="21"/>
        </w:rPr>
        <w:t>を提案する。</w:t>
      </w:r>
    </w:p>
    <w:p w14:paraId="4A8708EB" w14:textId="77777777" w:rsidR="00B42A13" w:rsidRPr="003926E7" w:rsidRDefault="00B42A13" w:rsidP="002D0DD3">
      <w:pPr>
        <w:pStyle w:val="a3"/>
        <w:spacing w:before="2"/>
        <w:rPr>
          <w:sz w:val="21"/>
          <w:szCs w:val="21"/>
          <w:lang w:eastAsia="ja-JP"/>
        </w:rPr>
      </w:pPr>
    </w:p>
    <w:p w14:paraId="2E2E606E" w14:textId="0BEE54BD" w:rsidR="001D0EC7" w:rsidRPr="003926E7" w:rsidRDefault="001D0EC7" w:rsidP="002D0DD3">
      <w:pPr>
        <w:pStyle w:val="a7"/>
        <w:ind w:left="545"/>
        <w:rPr>
          <w:rFonts w:asciiTheme="minorEastAsia" w:eastAsiaTheme="minorEastAsia" w:hAnsiTheme="minorEastAsia" w:cs="Meiryo UI"/>
          <w:b/>
          <w:bCs/>
          <w:sz w:val="21"/>
          <w:szCs w:val="21"/>
          <w:lang w:eastAsia="ja-JP"/>
        </w:rPr>
      </w:pPr>
      <w:r w:rsidRPr="003926E7">
        <w:rPr>
          <w:rFonts w:asciiTheme="minorEastAsia" w:eastAsiaTheme="minorEastAsia" w:hAnsiTheme="minorEastAsia"/>
          <w:sz w:val="21"/>
          <w:szCs w:val="21"/>
          <w:lang w:eastAsia="ja-JP"/>
        </w:rPr>
        <w:t>(1)</w:t>
      </w:r>
      <w:r w:rsidRPr="003926E7">
        <w:rPr>
          <w:rFonts w:asciiTheme="minorEastAsia" w:eastAsiaTheme="minorEastAsia" w:hAnsiTheme="minorEastAsia" w:cs="Meiryo UI" w:hint="eastAsia"/>
          <w:b/>
          <w:bCs/>
          <w:sz w:val="21"/>
          <w:szCs w:val="21"/>
          <w:lang w:eastAsia="ja-JP"/>
        </w:rPr>
        <w:t>「認知症による後天</w:t>
      </w:r>
      <w:r w:rsidR="007F4A45" w:rsidRPr="003926E7">
        <w:rPr>
          <w:rFonts w:asciiTheme="minorEastAsia" w:eastAsiaTheme="minorEastAsia" w:hAnsiTheme="minorEastAsia" w:cs="Meiryo UI" w:hint="eastAsia"/>
          <w:b/>
          <w:bCs/>
          <w:sz w:val="21"/>
          <w:szCs w:val="21"/>
          <w:lang w:eastAsia="ja-JP"/>
        </w:rPr>
        <w:t>的</w:t>
      </w:r>
      <w:r w:rsidRPr="003926E7">
        <w:rPr>
          <w:rFonts w:asciiTheme="minorEastAsia" w:eastAsiaTheme="minorEastAsia" w:hAnsiTheme="minorEastAsia" w:cs="Meiryo UI" w:hint="eastAsia"/>
          <w:b/>
          <w:bCs/>
          <w:sz w:val="21"/>
          <w:szCs w:val="21"/>
          <w:lang w:eastAsia="ja-JP"/>
        </w:rPr>
        <w:t>進行性障害を含む高齢障害者は、障害者用施設または高齢者</w:t>
      </w:r>
      <w:r w:rsidR="000C4406" w:rsidRPr="003926E7">
        <w:rPr>
          <w:rFonts w:asciiTheme="minorEastAsia" w:eastAsiaTheme="minorEastAsia" w:hAnsiTheme="minorEastAsia" w:cs="Meiryo UI" w:hint="eastAsia"/>
          <w:b/>
          <w:bCs/>
          <w:sz w:val="21"/>
          <w:szCs w:val="21"/>
          <w:lang w:eastAsia="ja-JP"/>
        </w:rPr>
        <w:t>用</w:t>
      </w:r>
      <w:r w:rsidRPr="003926E7">
        <w:rPr>
          <w:rFonts w:asciiTheme="minorEastAsia" w:eastAsiaTheme="minorEastAsia" w:hAnsiTheme="minorEastAsia" w:cs="Meiryo UI" w:hint="eastAsia"/>
          <w:b/>
          <w:bCs/>
          <w:sz w:val="21"/>
          <w:szCs w:val="21"/>
          <w:lang w:eastAsia="ja-JP"/>
        </w:rPr>
        <w:t>施設のいずれにおいても、施設に収容されているか、または</w:t>
      </w:r>
      <w:r w:rsidR="000C4406" w:rsidRPr="003926E7">
        <w:rPr>
          <w:rFonts w:asciiTheme="minorEastAsia" w:eastAsiaTheme="minorEastAsia" w:hAnsiTheme="minorEastAsia" w:cs="Meiryo UI" w:hint="eastAsia"/>
          <w:b/>
          <w:bCs/>
          <w:sz w:val="21"/>
          <w:szCs w:val="21"/>
          <w:lang w:eastAsia="ja-JP"/>
        </w:rPr>
        <w:t>そ</w:t>
      </w:r>
      <w:r w:rsidRPr="003926E7">
        <w:rPr>
          <w:rFonts w:asciiTheme="minorEastAsia" w:eastAsiaTheme="minorEastAsia" w:hAnsiTheme="minorEastAsia" w:cs="Meiryo UI" w:hint="eastAsia"/>
          <w:b/>
          <w:bCs/>
          <w:sz w:val="21"/>
          <w:szCs w:val="21"/>
          <w:lang w:eastAsia="ja-JP"/>
        </w:rPr>
        <w:t>の危険にさらされている。施設に収容され</w:t>
      </w:r>
      <w:r w:rsidR="00B730B4" w:rsidRPr="003926E7">
        <w:rPr>
          <w:rFonts w:asciiTheme="minorEastAsia" w:eastAsiaTheme="minorEastAsia" w:hAnsiTheme="minorEastAsia" w:cs="Meiryo UI" w:hint="eastAsia"/>
          <w:b/>
          <w:bCs/>
          <w:sz w:val="21"/>
          <w:szCs w:val="21"/>
          <w:lang w:eastAsia="ja-JP"/>
        </w:rPr>
        <w:t>ている場合には</w:t>
      </w:r>
      <w:r w:rsidRPr="003926E7">
        <w:rPr>
          <w:rFonts w:asciiTheme="minorEastAsia" w:eastAsiaTheme="minorEastAsia" w:hAnsiTheme="minorEastAsia" w:cs="Meiryo UI" w:hint="eastAsia"/>
          <w:b/>
          <w:bCs/>
          <w:sz w:val="21"/>
          <w:szCs w:val="21"/>
          <w:lang w:eastAsia="ja-JP"/>
        </w:rPr>
        <w:t>、</w:t>
      </w:r>
      <w:r w:rsidR="00B730B4" w:rsidRPr="003926E7">
        <w:rPr>
          <w:rFonts w:asciiTheme="minorEastAsia" w:eastAsiaTheme="minorEastAsia" w:hAnsiTheme="minorEastAsia" w:cs="Meiryo UI" w:hint="eastAsia"/>
          <w:b/>
          <w:bCs/>
          <w:sz w:val="21"/>
          <w:szCs w:val="21"/>
          <w:lang w:eastAsia="ja-JP"/>
        </w:rPr>
        <w:t>また</w:t>
      </w:r>
      <w:r w:rsidRPr="003926E7">
        <w:rPr>
          <w:rFonts w:asciiTheme="minorEastAsia" w:eastAsiaTheme="minorEastAsia" w:hAnsiTheme="minorEastAsia" w:cs="Meiryo UI" w:hint="eastAsia"/>
          <w:b/>
          <w:bCs/>
          <w:sz w:val="21"/>
          <w:szCs w:val="21"/>
          <w:lang w:eastAsia="ja-JP"/>
        </w:rPr>
        <w:t>どのような介護・支援政策や制度が彼らの状況に取り組むにせよ、このガイドラインは彼らを含むものであり、脱施設化の取り組みは最初から彼らを考慮すべきである。</w:t>
      </w:r>
      <w:r w:rsidR="000C4406" w:rsidRPr="003926E7">
        <w:rPr>
          <w:rFonts w:asciiTheme="minorEastAsia" w:eastAsiaTheme="minorEastAsia" w:hAnsiTheme="minorEastAsia" w:cs="Meiryo UI" w:hint="eastAsia"/>
          <w:b/>
          <w:bCs/>
          <w:sz w:val="21"/>
          <w:szCs w:val="21"/>
          <w:lang w:eastAsia="ja-JP"/>
        </w:rPr>
        <w:t>」</w:t>
      </w:r>
    </w:p>
    <w:p w14:paraId="2757C405" w14:textId="77777777" w:rsidR="00B730B4" w:rsidRPr="003926E7" w:rsidRDefault="00B730B4" w:rsidP="002D0DD3">
      <w:pPr>
        <w:pStyle w:val="a7"/>
        <w:ind w:left="545"/>
        <w:rPr>
          <w:rFonts w:asciiTheme="minorEastAsia" w:eastAsiaTheme="minorEastAsia" w:hAnsiTheme="minorEastAsia"/>
          <w:sz w:val="21"/>
          <w:szCs w:val="21"/>
          <w:lang w:eastAsia="ja-JP"/>
        </w:rPr>
      </w:pPr>
    </w:p>
    <w:p w14:paraId="32920D59" w14:textId="54C14BCF" w:rsidR="001A4A01" w:rsidRPr="003926E7" w:rsidRDefault="001D0EC7" w:rsidP="000609C2">
      <w:pPr>
        <w:ind w:leftChars="270" w:left="567"/>
        <w:rPr>
          <w:rFonts w:asciiTheme="minorEastAsia" w:hAnsiTheme="minorEastAsia"/>
          <w:b/>
          <w:bCs/>
          <w:szCs w:val="21"/>
        </w:rPr>
      </w:pPr>
      <w:r w:rsidRPr="003926E7">
        <w:rPr>
          <w:rFonts w:asciiTheme="minorEastAsia" w:hAnsiTheme="minorEastAsia"/>
          <w:b/>
          <w:bCs/>
          <w:szCs w:val="21"/>
        </w:rPr>
        <w:t>(2)</w:t>
      </w:r>
      <w:r w:rsidRPr="003926E7">
        <w:rPr>
          <w:rFonts w:asciiTheme="minorEastAsia" w:hAnsiTheme="minorEastAsia" w:cs="Meiryo UI" w:hint="eastAsia"/>
          <w:b/>
          <w:bCs/>
          <w:szCs w:val="21"/>
        </w:rPr>
        <w:t>「認知症者は</w:t>
      </w:r>
      <w:r w:rsidR="006940E9">
        <w:rPr>
          <w:rFonts w:asciiTheme="minorEastAsia" w:hAnsiTheme="minorEastAsia" w:cs="Meiryo UI" w:hint="eastAsia"/>
          <w:b/>
          <w:bCs/>
          <w:szCs w:val="21"/>
        </w:rPr>
        <w:t>障害のある人</w:t>
      </w:r>
      <w:r w:rsidRPr="003926E7">
        <w:rPr>
          <w:rFonts w:asciiTheme="minorEastAsia" w:hAnsiTheme="minorEastAsia" w:cs="Meiryo UI" w:hint="eastAsia"/>
          <w:b/>
          <w:bCs/>
          <w:szCs w:val="21"/>
        </w:rPr>
        <w:t>であるという認識</w:t>
      </w:r>
      <w:r w:rsidR="00835E62" w:rsidRPr="003926E7">
        <w:rPr>
          <w:rStyle w:val="ac"/>
          <w:b/>
          <w:w w:val="90"/>
          <w:szCs w:val="21"/>
        </w:rPr>
        <w:footnoteReference w:id="3"/>
      </w:r>
      <w:r w:rsidRPr="003926E7">
        <w:rPr>
          <w:rFonts w:asciiTheme="minorEastAsia" w:hAnsiTheme="minorEastAsia" w:cs="Meiryo UI" w:hint="eastAsia"/>
          <w:b/>
          <w:bCs/>
          <w:szCs w:val="21"/>
        </w:rPr>
        <w:t>が世界的に高まっていることから、この</w:t>
      </w:r>
      <w:r w:rsidR="00B730B4" w:rsidRPr="003926E7">
        <w:rPr>
          <w:rFonts w:asciiTheme="minorEastAsia" w:hAnsiTheme="minorEastAsia" w:cs="Meiryo UI" w:hint="eastAsia"/>
          <w:b/>
          <w:bCs/>
          <w:szCs w:val="21"/>
        </w:rPr>
        <w:t>人口集団を</w:t>
      </w:r>
      <w:r w:rsidRPr="003926E7">
        <w:rPr>
          <w:rFonts w:asciiTheme="minorEastAsia" w:hAnsiTheme="minorEastAsia" w:cs="Meiryo UI" w:hint="eastAsia"/>
          <w:b/>
          <w:bCs/>
          <w:szCs w:val="21"/>
        </w:rPr>
        <w:t>含めることは極めて重要である。</w:t>
      </w:r>
      <w:r w:rsidRPr="003926E7">
        <w:rPr>
          <w:rFonts w:asciiTheme="minorEastAsia" w:hAnsiTheme="minorEastAsia"/>
          <w:b/>
          <w:bCs/>
          <w:szCs w:val="21"/>
        </w:rPr>
        <w:t>2010</w:t>
      </w:r>
      <w:r w:rsidRPr="003926E7">
        <w:rPr>
          <w:rFonts w:asciiTheme="minorEastAsia" w:hAnsiTheme="minorEastAsia" w:cs="Meiryo UI" w:hint="eastAsia"/>
          <w:b/>
          <w:bCs/>
          <w:szCs w:val="21"/>
        </w:rPr>
        <w:t>年、</w:t>
      </w:r>
      <w:r w:rsidRPr="003926E7">
        <w:rPr>
          <w:rFonts w:asciiTheme="minorEastAsia" w:hAnsiTheme="minorEastAsia"/>
          <w:b/>
          <w:bCs/>
          <w:szCs w:val="21"/>
        </w:rPr>
        <w:t>WHO</w:t>
      </w:r>
      <w:r w:rsidRPr="003926E7">
        <w:rPr>
          <w:rFonts w:asciiTheme="minorEastAsia" w:hAnsiTheme="minorEastAsia" w:cs="Meiryo UI" w:hint="eastAsia"/>
          <w:b/>
          <w:bCs/>
          <w:szCs w:val="21"/>
        </w:rPr>
        <w:t>は、</w:t>
      </w:r>
      <w:r w:rsidR="00441605" w:rsidRPr="003926E7">
        <w:rPr>
          <w:rFonts w:asciiTheme="minorEastAsia" w:hAnsiTheme="minorEastAsia" w:cs="Meiryo UI" w:hint="eastAsia"/>
          <w:b/>
          <w:bCs/>
          <w:szCs w:val="21"/>
        </w:rPr>
        <w:t>生活機能</w:t>
      </w:r>
      <w:r w:rsidR="00441605" w:rsidRPr="003926E7">
        <w:rPr>
          <w:rFonts w:asciiTheme="minorEastAsia" w:hAnsiTheme="minorEastAsia" w:hint="eastAsia"/>
          <w:b/>
          <w:bCs/>
          <w:szCs w:val="21"/>
        </w:rPr>
        <w:t>、障害、健康の国際分類（訳注　ICF）の内部分類である</w:t>
      </w:r>
      <w:r w:rsidR="00441605" w:rsidRPr="003926E7">
        <w:rPr>
          <w:rFonts w:asciiTheme="minorEastAsia" w:hAnsiTheme="minorEastAsia"/>
          <w:b/>
          <w:bCs/>
          <w:szCs w:val="21"/>
        </w:rPr>
        <w:t>WHO障害評価スケジュール（WHODAS 2.0）</w:t>
      </w:r>
      <w:r w:rsidRPr="003926E7">
        <w:rPr>
          <w:rFonts w:asciiTheme="minorEastAsia" w:hAnsiTheme="minorEastAsia" w:cs="Meiryo UI" w:hint="eastAsia"/>
          <w:b/>
          <w:bCs/>
          <w:szCs w:val="21"/>
        </w:rPr>
        <w:t>の最新版を発表した</w:t>
      </w:r>
      <w:r w:rsidR="00835E62" w:rsidRPr="003926E7">
        <w:rPr>
          <w:rStyle w:val="ac"/>
          <w:b/>
          <w:w w:val="90"/>
          <w:szCs w:val="21"/>
        </w:rPr>
        <w:footnoteReference w:id="4"/>
      </w:r>
      <w:r w:rsidRPr="003926E7">
        <w:rPr>
          <w:rFonts w:asciiTheme="minorEastAsia" w:hAnsiTheme="minorEastAsia" w:cs="Meiryo UI" w:hint="eastAsia"/>
          <w:b/>
          <w:bCs/>
          <w:szCs w:val="21"/>
        </w:rPr>
        <w:t>。</w:t>
      </w:r>
      <w:r w:rsidR="00441605" w:rsidRPr="003926E7">
        <w:rPr>
          <w:rFonts w:asciiTheme="minorEastAsia" w:hAnsiTheme="minorEastAsia" w:hint="eastAsia"/>
          <w:b/>
          <w:bCs/>
          <w:szCs w:val="21"/>
        </w:rPr>
        <w:t>この時</w:t>
      </w:r>
      <w:r w:rsidR="001A4A01" w:rsidRPr="003926E7">
        <w:rPr>
          <w:rFonts w:asciiTheme="minorEastAsia" w:hAnsiTheme="minorEastAsia"/>
          <w:b/>
          <w:bCs/>
          <w:szCs w:val="21"/>
        </w:rPr>
        <w:t>WHOは、「認知症は、世界的に高齢者の障害と依存の主要な</w:t>
      </w:r>
      <w:r w:rsidR="006979A4" w:rsidRPr="003926E7">
        <w:rPr>
          <w:rFonts w:asciiTheme="minorEastAsia" w:hAnsiTheme="minorEastAsia" w:hint="eastAsia"/>
          <w:b/>
          <w:bCs/>
          <w:szCs w:val="21"/>
        </w:rPr>
        <w:t>（l</w:t>
      </w:r>
      <w:r w:rsidR="006979A4" w:rsidRPr="003926E7">
        <w:rPr>
          <w:rFonts w:asciiTheme="minorEastAsia" w:hAnsiTheme="minorEastAsia"/>
          <w:b/>
          <w:bCs/>
          <w:szCs w:val="21"/>
        </w:rPr>
        <w:t>eading</w:t>
      </w:r>
      <w:r w:rsidR="006979A4" w:rsidRPr="003926E7">
        <w:rPr>
          <w:rFonts w:asciiTheme="minorEastAsia" w:hAnsiTheme="minorEastAsia" w:hint="eastAsia"/>
          <w:b/>
          <w:bCs/>
          <w:szCs w:val="21"/>
        </w:rPr>
        <w:t>）</w:t>
      </w:r>
      <w:r w:rsidR="001A4A01" w:rsidRPr="003926E7">
        <w:rPr>
          <w:rFonts w:asciiTheme="minorEastAsia" w:hAnsiTheme="minorEastAsia"/>
          <w:b/>
          <w:bCs/>
          <w:szCs w:val="21"/>
        </w:rPr>
        <w:t>原因である」と述べて</w:t>
      </w:r>
      <w:r w:rsidR="00441605" w:rsidRPr="003926E7">
        <w:rPr>
          <w:rFonts w:asciiTheme="minorEastAsia" w:hAnsiTheme="minorEastAsia" w:hint="eastAsia"/>
          <w:b/>
          <w:bCs/>
          <w:szCs w:val="21"/>
        </w:rPr>
        <w:t>いる</w:t>
      </w:r>
      <w:r w:rsidR="001A4A01" w:rsidRPr="003926E7">
        <w:rPr>
          <w:rFonts w:asciiTheme="minorEastAsia" w:hAnsiTheme="minorEastAsia"/>
          <w:b/>
          <w:bCs/>
          <w:szCs w:val="21"/>
        </w:rPr>
        <w:t>。</w:t>
      </w:r>
      <w:r w:rsidR="00441605" w:rsidRPr="003926E7">
        <w:rPr>
          <w:rFonts w:asciiTheme="minorEastAsia" w:hAnsiTheme="minorEastAsia" w:hint="eastAsia"/>
          <w:b/>
          <w:bCs/>
          <w:szCs w:val="21"/>
        </w:rPr>
        <w:t>今</w:t>
      </w:r>
      <w:r w:rsidR="006979A4" w:rsidRPr="003926E7">
        <w:rPr>
          <w:rFonts w:asciiTheme="minorEastAsia" w:hAnsiTheme="minorEastAsia" w:hint="eastAsia"/>
          <w:b/>
          <w:bCs/>
          <w:szCs w:val="21"/>
        </w:rPr>
        <w:t>は障害と依存の大きな(</w:t>
      </w:r>
      <w:r w:rsidR="006979A4" w:rsidRPr="003926E7">
        <w:rPr>
          <w:rFonts w:asciiTheme="minorEastAsia" w:hAnsiTheme="minorEastAsia"/>
          <w:b/>
          <w:bCs/>
          <w:szCs w:val="21"/>
        </w:rPr>
        <w:t>major)</w:t>
      </w:r>
      <w:r w:rsidR="006979A4" w:rsidRPr="003926E7">
        <w:rPr>
          <w:rFonts w:asciiTheme="minorEastAsia" w:hAnsiTheme="minorEastAsia" w:hint="eastAsia"/>
          <w:b/>
          <w:bCs/>
          <w:szCs w:val="21"/>
        </w:rPr>
        <w:t>原因であるとしている</w:t>
      </w:r>
      <w:r w:rsidR="00835E62" w:rsidRPr="003926E7">
        <w:rPr>
          <w:rStyle w:val="ac"/>
          <w:b/>
          <w:w w:val="85"/>
          <w:szCs w:val="21"/>
        </w:rPr>
        <w:footnoteReference w:id="5"/>
      </w:r>
      <w:r w:rsidR="006979A4" w:rsidRPr="003926E7">
        <w:rPr>
          <w:rFonts w:asciiTheme="minorEastAsia" w:hAnsiTheme="minorEastAsia" w:hint="eastAsia"/>
          <w:b/>
          <w:bCs/>
          <w:szCs w:val="21"/>
        </w:rPr>
        <w:t>。</w:t>
      </w:r>
      <w:r w:rsidR="001A4A01" w:rsidRPr="003926E7">
        <w:rPr>
          <w:rFonts w:asciiTheme="minorEastAsia" w:hAnsiTheme="minorEastAsia"/>
          <w:b/>
          <w:bCs/>
          <w:szCs w:val="21"/>
        </w:rPr>
        <w:t>2017年の</w:t>
      </w:r>
      <w:r w:rsidR="006979A4" w:rsidRPr="003926E7">
        <w:rPr>
          <w:rFonts w:asciiTheme="minorEastAsia" w:hAnsiTheme="minorEastAsia" w:hint="eastAsia"/>
          <w:b/>
          <w:bCs/>
          <w:szCs w:val="21"/>
        </w:rPr>
        <w:t>精神保健</w:t>
      </w:r>
      <w:r w:rsidR="001A4A01" w:rsidRPr="003926E7">
        <w:rPr>
          <w:rFonts w:asciiTheme="minorEastAsia" w:hAnsiTheme="minorEastAsia"/>
          <w:b/>
          <w:bCs/>
          <w:szCs w:val="21"/>
        </w:rPr>
        <w:t>GAP（</w:t>
      </w:r>
      <w:proofErr w:type="spellStart"/>
      <w:r w:rsidR="001A4A01" w:rsidRPr="003926E7">
        <w:rPr>
          <w:rFonts w:asciiTheme="minorEastAsia" w:hAnsiTheme="minorEastAsia"/>
          <w:b/>
          <w:bCs/>
          <w:szCs w:val="21"/>
        </w:rPr>
        <w:t>mhGAP</w:t>
      </w:r>
      <w:proofErr w:type="spellEnd"/>
      <w:r w:rsidR="001A4A01" w:rsidRPr="003926E7">
        <w:rPr>
          <w:rFonts w:asciiTheme="minorEastAsia" w:hAnsiTheme="minorEastAsia"/>
          <w:b/>
          <w:bCs/>
          <w:szCs w:val="21"/>
        </w:rPr>
        <w:t>）フォーラムで、WHOは認知症を認知障害を引き起こす疾患として再分類した。</w:t>
      </w:r>
      <w:r w:rsidR="006979A4" w:rsidRPr="003926E7">
        <w:rPr>
          <w:rFonts w:asciiTheme="minorEastAsia" w:hAnsiTheme="minorEastAsia" w:hint="eastAsia"/>
          <w:b/>
          <w:bCs/>
          <w:szCs w:val="21"/>
        </w:rPr>
        <w:t>以前は精神障害の下に区分されていた。</w:t>
      </w:r>
      <w:r w:rsidR="001A4A01" w:rsidRPr="003926E7">
        <w:rPr>
          <w:rFonts w:asciiTheme="minorEastAsia" w:hAnsiTheme="minorEastAsia"/>
          <w:b/>
          <w:bCs/>
          <w:szCs w:val="21"/>
        </w:rPr>
        <w:t>認知症は現在、CRPD委員会および障害者の権利に関する特別報告者によって、認知障害およびその他の障害を引き起こす状態として認識されており</w:t>
      </w:r>
      <w:r w:rsidR="00835E62" w:rsidRPr="003926E7">
        <w:rPr>
          <w:rStyle w:val="ac"/>
          <w:b/>
          <w:w w:val="95"/>
          <w:szCs w:val="21"/>
        </w:rPr>
        <w:footnoteReference w:id="6"/>
      </w:r>
      <w:r w:rsidR="001A4A01" w:rsidRPr="003926E7">
        <w:rPr>
          <w:rFonts w:asciiTheme="minorEastAsia" w:hAnsiTheme="minorEastAsia"/>
          <w:b/>
          <w:bCs/>
          <w:szCs w:val="21"/>
        </w:rPr>
        <w:t>、</w:t>
      </w:r>
      <w:r w:rsidR="006979A4" w:rsidRPr="003926E7">
        <w:rPr>
          <w:rFonts w:asciiTheme="minorEastAsia" w:hAnsiTheme="minorEastAsia"/>
          <w:b/>
          <w:bCs/>
          <w:szCs w:val="21"/>
        </w:rPr>
        <w:t>DAIをオブザーバー</w:t>
      </w:r>
      <w:r w:rsidR="006979A4" w:rsidRPr="003926E7">
        <w:rPr>
          <w:rFonts w:asciiTheme="minorEastAsia" w:hAnsiTheme="minorEastAsia" w:hint="eastAsia"/>
          <w:b/>
          <w:bCs/>
          <w:szCs w:val="21"/>
        </w:rPr>
        <w:t>会員としている</w:t>
      </w:r>
      <w:r w:rsidR="001A4A01" w:rsidRPr="003926E7">
        <w:rPr>
          <w:rFonts w:asciiTheme="minorEastAsia" w:hAnsiTheme="minorEastAsia"/>
          <w:b/>
          <w:bCs/>
          <w:szCs w:val="21"/>
        </w:rPr>
        <w:t>国際障害</w:t>
      </w:r>
      <w:r w:rsidR="006979A4" w:rsidRPr="003926E7">
        <w:rPr>
          <w:rFonts w:asciiTheme="minorEastAsia" w:hAnsiTheme="minorEastAsia" w:hint="eastAsia"/>
          <w:b/>
          <w:bCs/>
          <w:szCs w:val="21"/>
        </w:rPr>
        <w:t>同盟</w:t>
      </w:r>
      <w:r w:rsidR="00835E62" w:rsidRPr="003926E7">
        <w:rPr>
          <w:rStyle w:val="ac"/>
          <w:b/>
          <w:w w:val="90"/>
          <w:szCs w:val="21"/>
        </w:rPr>
        <w:footnoteReference w:id="7"/>
      </w:r>
      <w:r w:rsidR="001A4A01" w:rsidRPr="003926E7">
        <w:rPr>
          <w:rFonts w:asciiTheme="minorEastAsia" w:hAnsiTheme="minorEastAsia"/>
          <w:b/>
          <w:bCs/>
          <w:szCs w:val="21"/>
        </w:rPr>
        <w:t>は、認知症</w:t>
      </w:r>
      <w:r w:rsidR="00452BF7" w:rsidRPr="003926E7">
        <w:rPr>
          <w:rFonts w:asciiTheme="minorEastAsia" w:hAnsiTheme="minorEastAsia" w:hint="eastAsia"/>
          <w:b/>
          <w:bCs/>
          <w:szCs w:val="21"/>
        </w:rPr>
        <w:t>を</w:t>
      </w:r>
      <w:r w:rsidR="001A4A01" w:rsidRPr="003926E7">
        <w:rPr>
          <w:rFonts w:asciiTheme="minorEastAsia" w:hAnsiTheme="minorEastAsia"/>
          <w:b/>
          <w:bCs/>
          <w:szCs w:val="21"/>
        </w:rPr>
        <w:t>後天的認知（およびその他の）障害を引き起こす状態</w:t>
      </w:r>
      <w:r w:rsidR="00452BF7" w:rsidRPr="003926E7">
        <w:rPr>
          <w:rFonts w:asciiTheme="minorEastAsia" w:hAnsiTheme="minorEastAsia" w:hint="eastAsia"/>
          <w:b/>
          <w:bCs/>
          <w:szCs w:val="21"/>
        </w:rPr>
        <w:t>と</w:t>
      </w:r>
      <w:r w:rsidR="001A4A01" w:rsidRPr="003926E7">
        <w:rPr>
          <w:rFonts w:asciiTheme="minorEastAsia" w:hAnsiTheme="minorEastAsia" w:hint="eastAsia"/>
          <w:b/>
          <w:bCs/>
          <w:szCs w:val="21"/>
        </w:rPr>
        <w:t>認識し</w:t>
      </w:r>
      <w:r w:rsidR="001A4A01" w:rsidRPr="003926E7">
        <w:rPr>
          <w:rFonts w:asciiTheme="minorEastAsia" w:hAnsiTheme="minorEastAsia"/>
          <w:b/>
          <w:bCs/>
          <w:szCs w:val="21"/>
        </w:rPr>
        <w:t>ている。</w:t>
      </w:r>
      <w:r w:rsidR="00452BF7" w:rsidRPr="003926E7">
        <w:rPr>
          <w:rFonts w:asciiTheme="minorEastAsia" w:hAnsiTheme="minorEastAsia" w:hint="eastAsia"/>
          <w:b/>
          <w:bCs/>
          <w:szCs w:val="21"/>
        </w:rPr>
        <w:t>」</w:t>
      </w:r>
    </w:p>
    <w:p w14:paraId="6F3C5652" w14:textId="2816CAC1" w:rsidR="001D0EC7" w:rsidRPr="003926E7" w:rsidRDefault="001D0EC7" w:rsidP="002D0DD3">
      <w:pPr>
        <w:pStyle w:val="a7"/>
        <w:ind w:left="545"/>
        <w:rPr>
          <w:b/>
          <w:bCs/>
          <w:sz w:val="21"/>
          <w:szCs w:val="21"/>
        </w:rPr>
      </w:pPr>
    </w:p>
    <w:p w14:paraId="32850151" w14:textId="5E5B0A28" w:rsidR="001A4A01" w:rsidRPr="003926E7" w:rsidRDefault="001A4A01" w:rsidP="002D0DD3">
      <w:pPr>
        <w:pStyle w:val="a7"/>
        <w:ind w:left="545"/>
        <w:rPr>
          <w:rFonts w:asciiTheme="minorEastAsia" w:eastAsiaTheme="minorEastAsia" w:hAnsiTheme="minorEastAsia" w:cs="Meiryo UI"/>
          <w:b/>
          <w:bCs/>
          <w:sz w:val="21"/>
          <w:szCs w:val="21"/>
          <w:lang w:eastAsia="ja-JP"/>
        </w:rPr>
      </w:pPr>
      <w:r w:rsidRPr="002634A4">
        <w:rPr>
          <w:rFonts w:asciiTheme="minorEastAsia" w:eastAsiaTheme="minorEastAsia" w:hAnsiTheme="minorEastAsia"/>
          <w:b/>
          <w:bCs/>
          <w:sz w:val="21"/>
          <w:szCs w:val="21"/>
          <w:lang w:eastAsia="ja-JP"/>
        </w:rPr>
        <w:t>(3)</w:t>
      </w:r>
      <w:r w:rsidRPr="002634A4">
        <w:rPr>
          <w:rFonts w:asciiTheme="minorEastAsia" w:eastAsiaTheme="minorEastAsia" w:hAnsiTheme="minorEastAsia" w:cs="Meiryo UI" w:hint="eastAsia"/>
          <w:b/>
          <w:bCs/>
          <w:sz w:val="21"/>
          <w:szCs w:val="21"/>
          <w:lang w:eastAsia="ja-JP"/>
        </w:rPr>
        <w:t>「認知症者の人権を地域社会および長期入所施設において認めるための基本は、</w:t>
      </w:r>
      <w:r w:rsidRPr="002634A4">
        <w:rPr>
          <w:rFonts w:asciiTheme="minorEastAsia" w:eastAsiaTheme="minorEastAsia" w:hAnsiTheme="minorEastAsia"/>
          <w:b/>
          <w:bCs/>
          <w:sz w:val="21"/>
          <w:szCs w:val="21"/>
          <w:lang w:eastAsia="ja-JP"/>
        </w:rPr>
        <w:t>CRPD</w:t>
      </w:r>
      <w:r w:rsidRPr="003926E7">
        <w:rPr>
          <w:rFonts w:asciiTheme="minorEastAsia" w:eastAsiaTheme="minorEastAsia" w:hAnsiTheme="minorEastAsia" w:cs="Meiryo UI" w:hint="eastAsia"/>
          <w:b/>
          <w:bCs/>
          <w:sz w:val="21"/>
          <w:szCs w:val="21"/>
          <w:lang w:eastAsia="ja-JP"/>
        </w:rPr>
        <w:t>および</w:t>
      </w:r>
      <w:r w:rsidRPr="003926E7">
        <w:rPr>
          <w:rFonts w:asciiTheme="minorEastAsia" w:eastAsiaTheme="minorEastAsia" w:hAnsiTheme="minorEastAsia"/>
          <w:b/>
          <w:bCs/>
          <w:sz w:val="21"/>
          <w:szCs w:val="21"/>
          <w:lang w:eastAsia="ja-JP"/>
        </w:rPr>
        <w:t>OPCAT</w:t>
      </w:r>
      <w:r w:rsidR="00452BF7" w:rsidRPr="003926E7">
        <w:rPr>
          <w:rFonts w:asciiTheme="minorEastAsia" w:eastAsiaTheme="minorEastAsia" w:hAnsiTheme="minorEastAsia" w:hint="eastAsia"/>
          <w:b/>
          <w:bCs/>
          <w:sz w:val="21"/>
          <w:szCs w:val="21"/>
          <w:lang w:eastAsia="ja-JP"/>
        </w:rPr>
        <w:t>（拷問等禁止条約）</w:t>
      </w:r>
      <w:r w:rsidRPr="003926E7">
        <w:rPr>
          <w:rFonts w:asciiTheme="minorEastAsia" w:eastAsiaTheme="minorEastAsia" w:hAnsiTheme="minorEastAsia" w:cs="Meiryo UI" w:hint="eastAsia"/>
          <w:b/>
          <w:bCs/>
          <w:sz w:val="21"/>
          <w:szCs w:val="21"/>
          <w:lang w:eastAsia="ja-JP"/>
        </w:rPr>
        <w:t>を含む他の国際人権文書への平等なアクセスである。認知症者の人権の認識には、</w:t>
      </w:r>
      <w:r w:rsidR="00777ADF">
        <w:rPr>
          <w:rFonts w:asciiTheme="minorEastAsia" w:eastAsiaTheme="minorEastAsia" w:hAnsiTheme="minorEastAsia" w:cs="Meiryo UI" w:hint="eastAsia"/>
          <w:b/>
          <w:bCs/>
          <w:sz w:val="21"/>
          <w:szCs w:val="21"/>
          <w:lang w:eastAsia="ja-JP"/>
        </w:rPr>
        <w:t>『</w:t>
      </w:r>
      <w:r w:rsidRPr="003926E7">
        <w:rPr>
          <w:rFonts w:asciiTheme="minorEastAsia" w:eastAsiaTheme="minorEastAsia" w:hAnsiTheme="minorEastAsia" w:cs="Meiryo UI" w:hint="eastAsia"/>
          <w:b/>
          <w:bCs/>
          <w:sz w:val="21"/>
          <w:szCs w:val="21"/>
          <w:lang w:eastAsia="ja-JP"/>
        </w:rPr>
        <w:t>高齢者介護施設や安全な認知症棟を含む認知症者の住居や支援の脱施設化・脱</w:t>
      </w:r>
      <w:r w:rsidR="006622E8" w:rsidRPr="003926E7">
        <w:rPr>
          <w:rFonts w:asciiTheme="minorEastAsia" w:eastAsiaTheme="minorEastAsia" w:hAnsiTheme="minorEastAsia" w:cs="Meiryo UI" w:hint="eastAsia"/>
          <w:b/>
          <w:bCs/>
          <w:sz w:val="21"/>
          <w:szCs w:val="21"/>
          <w:lang w:eastAsia="ja-JP"/>
        </w:rPr>
        <w:t>分離</w:t>
      </w:r>
      <w:r w:rsidR="00777ADF">
        <w:rPr>
          <w:rFonts w:asciiTheme="minorEastAsia" w:eastAsiaTheme="minorEastAsia" w:hAnsiTheme="minorEastAsia" w:cs="Meiryo UI" w:hint="eastAsia"/>
          <w:b/>
          <w:bCs/>
          <w:sz w:val="21"/>
          <w:szCs w:val="21"/>
          <w:lang w:eastAsia="ja-JP"/>
        </w:rPr>
        <w:t>』</w:t>
      </w:r>
      <w:r w:rsidR="00777ADF" w:rsidRPr="003926E7">
        <w:rPr>
          <w:rStyle w:val="ac"/>
          <w:b/>
          <w:w w:val="85"/>
          <w:sz w:val="21"/>
          <w:szCs w:val="21"/>
        </w:rPr>
        <w:footnoteReference w:id="8"/>
      </w:r>
      <w:r w:rsidRPr="003926E7">
        <w:rPr>
          <w:rFonts w:asciiTheme="minorEastAsia" w:eastAsiaTheme="minorEastAsia" w:hAnsiTheme="minorEastAsia" w:cs="Meiryo UI" w:hint="eastAsia"/>
          <w:b/>
          <w:bCs/>
          <w:sz w:val="21"/>
          <w:szCs w:val="21"/>
          <w:lang w:eastAsia="ja-JP"/>
        </w:rPr>
        <w:t>が含まれる。</w:t>
      </w:r>
      <w:r w:rsidR="006622E8" w:rsidRPr="003926E7">
        <w:rPr>
          <w:rFonts w:asciiTheme="minorEastAsia" w:eastAsiaTheme="minorEastAsia" w:hAnsiTheme="minorEastAsia" w:cs="Meiryo UI" w:hint="eastAsia"/>
          <w:b/>
          <w:bCs/>
          <w:sz w:val="21"/>
          <w:szCs w:val="21"/>
          <w:lang w:eastAsia="ja-JP"/>
        </w:rPr>
        <w:t>」</w:t>
      </w:r>
    </w:p>
    <w:p w14:paraId="67E6C6F5" w14:textId="77777777" w:rsidR="002D0DD3" w:rsidRPr="003926E7" w:rsidRDefault="002D0DD3" w:rsidP="002D0DD3">
      <w:pPr>
        <w:pStyle w:val="a7"/>
        <w:ind w:left="545"/>
        <w:rPr>
          <w:rFonts w:asciiTheme="minorEastAsia" w:eastAsiaTheme="minorEastAsia" w:hAnsiTheme="minorEastAsia"/>
          <w:b/>
          <w:bCs/>
          <w:sz w:val="21"/>
          <w:szCs w:val="21"/>
          <w:lang w:eastAsia="ja-JP"/>
        </w:rPr>
      </w:pPr>
    </w:p>
    <w:p w14:paraId="220F8CE8" w14:textId="63696429" w:rsidR="001A4A01" w:rsidRPr="000609C2" w:rsidRDefault="001A4A01" w:rsidP="002D0DD3">
      <w:pPr>
        <w:pStyle w:val="a7"/>
        <w:ind w:left="545"/>
        <w:rPr>
          <w:rFonts w:asciiTheme="minorEastAsia" w:eastAsiaTheme="minorEastAsia" w:hAnsiTheme="minorEastAsia"/>
          <w:b/>
          <w:bCs/>
          <w:sz w:val="21"/>
          <w:szCs w:val="21"/>
          <w:lang w:eastAsia="ja-JP"/>
        </w:rPr>
      </w:pPr>
      <w:r w:rsidRPr="003926E7">
        <w:rPr>
          <w:rFonts w:asciiTheme="minorEastAsia" w:eastAsiaTheme="minorEastAsia" w:hAnsiTheme="minorEastAsia"/>
          <w:sz w:val="21"/>
          <w:szCs w:val="21"/>
          <w:lang w:eastAsia="ja-JP"/>
        </w:rPr>
        <w:t>(4)</w:t>
      </w:r>
      <w:r w:rsidRPr="003926E7">
        <w:rPr>
          <w:rFonts w:asciiTheme="minorEastAsia" w:eastAsiaTheme="minorEastAsia" w:hAnsiTheme="minorEastAsia" w:cs="Meiryo UI" w:hint="eastAsia"/>
          <w:b/>
          <w:bCs/>
          <w:sz w:val="21"/>
          <w:szCs w:val="21"/>
          <w:lang w:eastAsia="ja-JP"/>
        </w:rPr>
        <w:t>「</w:t>
      </w:r>
      <w:r w:rsidRPr="003926E7">
        <w:rPr>
          <w:rFonts w:asciiTheme="minorEastAsia" w:eastAsiaTheme="minorEastAsia" w:hAnsiTheme="minorEastAsia"/>
          <w:b/>
          <w:bCs/>
          <w:sz w:val="21"/>
          <w:szCs w:val="21"/>
          <w:lang w:eastAsia="ja-JP"/>
        </w:rPr>
        <w:t>DAI</w:t>
      </w:r>
      <w:r w:rsidRPr="003926E7">
        <w:rPr>
          <w:rFonts w:asciiTheme="minorEastAsia" w:eastAsiaTheme="minorEastAsia" w:hAnsiTheme="minorEastAsia" w:cs="Meiryo UI" w:hint="eastAsia"/>
          <w:b/>
          <w:bCs/>
          <w:sz w:val="21"/>
          <w:szCs w:val="21"/>
          <w:lang w:eastAsia="ja-JP"/>
        </w:rPr>
        <w:t>は、『入所型</w:t>
      </w:r>
      <w:r w:rsidR="006622E8" w:rsidRPr="003926E7">
        <w:rPr>
          <w:rFonts w:asciiTheme="minorEastAsia" w:eastAsiaTheme="minorEastAsia" w:hAnsiTheme="minorEastAsia" w:cs="Meiryo UI" w:hint="eastAsia"/>
          <w:b/>
          <w:bCs/>
          <w:sz w:val="21"/>
          <w:szCs w:val="21"/>
          <w:lang w:eastAsia="ja-JP"/>
        </w:rPr>
        <w:t>高齢者ケア</w:t>
      </w:r>
      <w:r w:rsidRPr="003926E7">
        <w:rPr>
          <w:rFonts w:asciiTheme="minorEastAsia" w:eastAsiaTheme="minorEastAsia" w:hAnsiTheme="minorEastAsia" w:cs="Meiryo UI" w:hint="eastAsia"/>
          <w:b/>
          <w:bCs/>
          <w:sz w:val="21"/>
          <w:szCs w:val="21"/>
          <w:lang w:eastAsia="ja-JP"/>
        </w:rPr>
        <w:t>において</w:t>
      </w:r>
      <w:r w:rsidR="006622E8" w:rsidRPr="003926E7">
        <w:rPr>
          <w:rFonts w:asciiTheme="minorEastAsia" w:eastAsiaTheme="minorEastAsia" w:hAnsiTheme="minorEastAsia" w:cs="Meiryo UI" w:hint="eastAsia"/>
          <w:b/>
          <w:bCs/>
          <w:sz w:val="21"/>
          <w:szCs w:val="21"/>
          <w:lang w:eastAsia="ja-JP"/>
        </w:rPr>
        <w:t>、</w:t>
      </w:r>
      <w:r w:rsidRPr="003926E7">
        <w:rPr>
          <w:rFonts w:asciiTheme="minorEastAsia" w:eastAsiaTheme="minorEastAsia" w:hAnsiTheme="minorEastAsia" w:cs="Meiryo UI" w:hint="eastAsia"/>
          <w:b/>
          <w:bCs/>
          <w:sz w:val="21"/>
          <w:szCs w:val="21"/>
          <w:lang w:eastAsia="ja-JP"/>
        </w:rPr>
        <w:t>認知症とともに生きる人々（「認知症</w:t>
      </w:r>
      <w:r w:rsidR="006622E8" w:rsidRPr="003926E7">
        <w:rPr>
          <w:rFonts w:asciiTheme="minorEastAsia" w:eastAsiaTheme="minorEastAsia" w:hAnsiTheme="minorEastAsia" w:cs="Meiryo UI" w:hint="eastAsia"/>
          <w:b/>
          <w:bCs/>
          <w:sz w:val="21"/>
          <w:szCs w:val="21"/>
          <w:lang w:eastAsia="ja-JP"/>
        </w:rPr>
        <w:t>者</w:t>
      </w:r>
      <w:r w:rsidRPr="003926E7">
        <w:rPr>
          <w:rFonts w:asciiTheme="minorEastAsia" w:eastAsiaTheme="minorEastAsia" w:hAnsiTheme="minorEastAsia" w:cs="Meiryo UI" w:hint="eastAsia"/>
          <w:b/>
          <w:bCs/>
          <w:sz w:val="21"/>
          <w:szCs w:val="21"/>
          <w:lang w:eastAsia="ja-JP"/>
        </w:rPr>
        <w:t>」）が経験した過去および将来の制度的・構造的な被害に対する救済を通じて人権を認識する</w:t>
      </w:r>
      <w:r w:rsidRPr="003926E7">
        <w:rPr>
          <w:rFonts w:asciiTheme="minorEastAsia" w:eastAsiaTheme="minorEastAsia" w:hAnsiTheme="minorEastAsia" w:cs="Meiryo UI" w:hint="eastAsia"/>
          <w:b/>
          <w:bCs/>
          <w:sz w:val="21"/>
          <w:szCs w:val="21"/>
          <w:lang w:eastAsia="ja-JP"/>
        </w:rPr>
        <w:lastRenderedPageBreak/>
        <w:t>ことを求め、暴力、虐待、ネグレクトを止めるために、国家および国家当局者、営利団体、宗教団体、慈善団体を含む認知症ケアサービス提供者、そしてより広範な地域社会が、施設ケアにおいて認知症</w:t>
      </w:r>
      <w:r w:rsidR="00AB3549" w:rsidRPr="003926E7">
        <w:rPr>
          <w:rFonts w:asciiTheme="minorEastAsia" w:eastAsiaTheme="minorEastAsia" w:hAnsiTheme="minorEastAsia" w:cs="Meiryo UI" w:hint="eastAsia"/>
          <w:b/>
          <w:bCs/>
          <w:sz w:val="21"/>
          <w:szCs w:val="21"/>
          <w:lang w:eastAsia="ja-JP"/>
        </w:rPr>
        <w:t>者</w:t>
      </w:r>
      <w:r w:rsidRPr="003926E7">
        <w:rPr>
          <w:rFonts w:asciiTheme="minorEastAsia" w:eastAsiaTheme="minorEastAsia" w:hAnsiTheme="minorEastAsia" w:cs="Meiryo UI" w:hint="eastAsia"/>
          <w:b/>
          <w:bCs/>
          <w:sz w:val="21"/>
          <w:szCs w:val="21"/>
          <w:lang w:eastAsia="ja-JP"/>
        </w:rPr>
        <w:t>が経験した過去の不正義を認め、それに対する賠償を求めなければならないという主張』を支持する」</w:t>
      </w:r>
      <w:r w:rsidR="000609C2" w:rsidRPr="003926E7">
        <w:rPr>
          <w:rStyle w:val="ac"/>
          <w:b/>
          <w:w w:val="90"/>
          <w:sz w:val="21"/>
          <w:szCs w:val="21"/>
        </w:rPr>
        <w:footnoteReference w:id="9"/>
      </w:r>
      <w:r w:rsidR="000609C2" w:rsidRPr="003926E7">
        <w:rPr>
          <w:rStyle w:val="ac"/>
          <w:b/>
          <w:w w:val="90"/>
          <w:sz w:val="21"/>
          <w:szCs w:val="21"/>
        </w:rPr>
        <w:footnoteReference w:id="10"/>
      </w:r>
    </w:p>
    <w:p w14:paraId="10F512D5" w14:textId="77777777" w:rsidR="00D6191F" w:rsidRPr="003926E7" w:rsidRDefault="00D6191F" w:rsidP="002D0DD3">
      <w:pPr>
        <w:rPr>
          <w:b/>
          <w:bCs/>
          <w:szCs w:val="21"/>
        </w:rPr>
      </w:pPr>
    </w:p>
    <w:p w14:paraId="7C57C98D" w14:textId="625278E7" w:rsidR="001A4A01" w:rsidRPr="003926E7" w:rsidRDefault="00FD0910" w:rsidP="002D0DD3">
      <w:pPr>
        <w:rPr>
          <w:b/>
          <w:bCs/>
          <w:szCs w:val="21"/>
        </w:rPr>
      </w:pPr>
      <w:r w:rsidRPr="003926E7">
        <w:rPr>
          <w:rFonts w:hint="eastAsia"/>
          <w:b/>
          <w:bCs/>
          <w:szCs w:val="21"/>
        </w:rPr>
        <w:t>パラグラフ</w:t>
      </w:r>
      <w:r w:rsidR="001A4A01" w:rsidRPr="003926E7">
        <w:rPr>
          <w:b/>
          <w:bCs/>
          <w:szCs w:val="21"/>
        </w:rPr>
        <w:t>14</w:t>
      </w:r>
      <w:r w:rsidR="00AB3549" w:rsidRPr="003926E7">
        <w:rPr>
          <w:rFonts w:hint="eastAsia"/>
          <w:b/>
          <w:bCs/>
          <w:szCs w:val="21"/>
        </w:rPr>
        <w:t xml:space="preserve">　「</w:t>
      </w:r>
      <w:r w:rsidRPr="003926E7">
        <w:rPr>
          <w:b/>
          <w:bCs/>
          <w:szCs w:val="21"/>
        </w:rPr>
        <w:t>施設収容</w:t>
      </w:r>
      <w:r w:rsidR="00AB3549" w:rsidRPr="003926E7">
        <w:rPr>
          <w:rFonts w:hint="eastAsia"/>
          <w:b/>
          <w:bCs/>
          <w:szCs w:val="21"/>
        </w:rPr>
        <w:t>」</w:t>
      </w:r>
      <w:r w:rsidR="001A4A01" w:rsidRPr="003926E7">
        <w:rPr>
          <w:b/>
          <w:bCs/>
          <w:szCs w:val="21"/>
        </w:rPr>
        <w:t>の概念の範囲</w:t>
      </w:r>
    </w:p>
    <w:p w14:paraId="4EDC1FC1" w14:textId="45FED942" w:rsidR="001A4A01" w:rsidRPr="003926E7" w:rsidRDefault="001A4A01" w:rsidP="002D0DD3">
      <w:pPr>
        <w:rPr>
          <w:szCs w:val="21"/>
        </w:rPr>
      </w:pPr>
      <w:r w:rsidRPr="003926E7">
        <w:rPr>
          <w:szCs w:val="21"/>
        </w:rPr>
        <w:t>8.</w:t>
      </w:r>
      <w:r w:rsidRPr="003926E7">
        <w:rPr>
          <w:szCs w:val="21"/>
        </w:rPr>
        <w:tab/>
      </w:r>
      <w:r w:rsidR="00FD0910" w:rsidRPr="003926E7">
        <w:rPr>
          <w:szCs w:val="21"/>
        </w:rPr>
        <w:t>パラグラフ</w:t>
      </w:r>
      <w:r w:rsidRPr="003926E7">
        <w:rPr>
          <w:szCs w:val="21"/>
        </w:rPr>
        <w:t>14は、「施設収容には、あらゆる形態の入所や拘禁が含まれる」という妥協のない文言で始まり、施設収容の形態の長いリストと、脱施設化の取り組みに</w:t>
      </w:r>
      <w:r w:rsidR="00AB3549" w:rsidRPr="003926E7">
        <w:rPr>
          <w:rFonts w:hint="eastAsia"/>
          <w:szCs w:val="21"/>
        </w:rPr>
        <w:t>「</w:t>
      </w:r>
      <w:r w:rsidRPr="003926E7">
        <w:rPr>
          <w:szCs w:val="21"/>
        </w:rPr>
        <w:t>刑務所</w:t>
      </w:r>
      <w:r w:rsidR="00AB3549" w:rsidRPr="003926E7">
        <w:rPr>
          <w:rFonts w:hint="eastAsia"/>
          <w:szCs w:val="21"/>
        </w:rPr>
        <w:t>」</w:t>
      </w:r>
      <w:r w:rsidRPr="003926E7">
        <w:rPr>
          <w:szCs w:val="21"/>
        </w:rPr>
        <w:t>を含む</w:t>
      </w:r>
      <w:r w:rsidR="00AB3549" w:rsidRPr="003926E7">
        <w:rPr>
          <w:rFonts w:hint="eastAsia"/>
          <w:szCs w:val="21"/>
        </w:rPr>
        <w:t>「</w:t>
      </w:r>
      <w:r w:rsidRPr="003926E7">
        <w:rPr>
          <w:szCs w:val="21"/>
        </w:rPr>
        <w:t>主流の施設環境</w:t>
      </w:r>
      <w:r w:rsidR="00AB3549" w:rsidRPr="003926E7">
        <w:rPr>
          <w:rFonts w:hint="eastAsia"/>
          <w:szCs w:val="21"/>
        </w:rPr>
        <w:t>」</w:t>
      </w:r>
      <w:r w:rsidRPr="003926E7">
        <w:rPr>
          <w:szCs w:val="21"/>
        </w:rPr>
        <w:t>を含めるよう求める一文が続く。DAIは次</w:t>
      </w:r>
      <w:r w:rsidR="00AB3549" w:rsidRPr="003926E7">
        <w:rPr>
          <w:rFonts w:hint="eastAsia"/>
          <w:szCs w:val="21"/>
        </w:rPr>
        <w:t>を含めること</w:t>
      </w:r>
      <w:r w:rsidRPr="003926E7">
        <w:rPr>
          <w:szCs w:val="21"/>
        </w:rPr>
        <w:t>を提案</w:t>
      </w:r>
      <w:r w:rsidR="00AB3549" w:rsidRPr="003926E7">
        <w:rPr>
          <w:rFonts w:hint="eastAsia"/>
          <w:szCs w:val="21"/>
        </w:rPr>
        <w:t>す</w:t>
      </w:r>
      <w:r w:rsidRPr="003926E7">
        <w:rPr>
          <w:szCs w:val="21"/>
        </w:rPr>
        <w:t>る</w:t>
      </w:r>
      <w:r w:rsidR="00AB3549" w:rsidRPr="003926E7">
        <w:rPr>
          <w:rFonts w:hint="eastAsia"/>
          <w:szCs w:val="21"/>
        </w:rPr>
        <w:t>。</w:t>
      </w:r>
    </w:p>
    <w:p w14:paraId="6DBB20ED" w14:textId="349C9BE3" w:rsidR="001A4A01" w:rsidRPr="003926E7" w:rsidRDefault="001A4A01" w:rsidP="000609C2">
      <w:pPr>
        <w:ind w:firstLineChars="100" w:firstLine="210"/>
        <w:rPr>
          <w:b/>
          <w:bCs/>
          <w:szCs w:val="21"/>
        </w:rPr>
      </w:pPr>
      <w:r w:rsidRPr="003926E7">
        <w:rPr>
          <w:rFonts w:hint="eastAsia"/>
          <w:b/>
          <w:bCs/>
          <w:szCs w:val="21"/>
        </w:rPr>
        <w:t>「安全な認知症棟や施錠された高齢者介護施設は、</w:t>
      </w:r>
      <w:r w:rsidRPr="003926E7">
        <w:rPr>
          <w:b/>
          <w:bCs/>
          <w:szCs w:val="21"/>
        </w:rPr>
        <w:t>OPCATの監視下に置かれ、</w:t>
      </w:r>
      <w:r w:rsidR="006940E9">
        <w:rPr>
          <w:b/>
          <w:bCs/>
          <w:szCs w:val="21"/>
        </w:rPr>
        <w:t>障害のある人</w:t>
      </w:r>
      <w:r w:rsidRPr="003926E7">
        <w:rPr>
          <w:b/>
          <w:bCs/>
          <w:szCs w:val="21"/>
        </w:rPr>
        <w:t>としてのCPRDや他のすべての人権</w:t>
      </w:r>
      <w:r w:rsidR="00502941" w:rsidRPr="003926E7">
        <w:rPr>
          <w:rFonts w:hint="eastAsia"/>
          <w:b/>
          <w:bCs/>
          <w:szCs w:val="21"/>
        </w:rPr>
        <w:t>の仕組みへの</w:t>
      </w:r>
      <w:r w:rsidRPr="003926E7">
        <w:rPr>
          <w:b/>
          <w:bCs/>
          <w:szCs w:val="21"/>
        </w:rPr>
        <w:t>正当なアクセスを確保するために、刑務所とみなされなければならない。</w:t>
      </w:r>
      <w:r w:rsidR="00AB3549" w:rsidRPr="003926E7">
        <w:rPr>
          <w:rFonts w:hint="eastAsia"/>
          <w:b/>
          <w:bCs/>
          <w:szCs w:val="21"/>
        </w:rPr>
        <w:t>」</w:t>
      </w:r>
    </w:p>
    <w:p w14:paraId="525F1229" w14:textId="77777777" w:rsidR="00B42A13" w:rsidRPr="003926E7" w:rsidRDefault="00B42A13" w:rsidP="002D0DD3">
      <w:pPr>
        <w:pStyle w:val="a3"/>
        <w:spacing w:before="3"/>
        <w:rPr>
          <w:b/>
          <w:sz w:val="21"/>
          <w:szCs w:val="21"/>
          <w:lang w:eastAsia="ja-JP"/>
        </w:rPr>
      </w:pPr>
    </w:p>
    <w:p w14:paraId="237EAF15" w14:textId="77777777" w:rsidR="001A4A01" w:rsidRPr="003926E7" w:rsidRDefault="001A4A01" w:rsidP="002D0DD3">
      <w:pPr>
        <w:rPr>
          <w:b/>
          <w:bCs/>
          <w:szCs w:val="21"/>
        </w:rPr>
      </w:pPr>
      <w:r w:rsidRPr="003926E7">
        <w:rPr>
          <w:rFonts w:hint="eastAsia"/>
          <w:b/>
          <w:bCs/>
          <w:szCs w:val="21"/>
        </w:rPr>
        <w:t>パラグラフ</w:t>
      </w:r>
      <w:r w:rsidRPr="003926E7">
        <w:rPr>
          <w:b/>
          <w:bCs/>
          <w:szCs w:val="21"/>
        </w:rPr>
        <w:t>18</w:t>
      </w:r>
    </w:p>
    <w:p w14:paraId="4E0F8E92" w14:textId="4A47144C" w:rsidR="001A4A01" w:rsidRPr="003926E7" w:rsidRDefault="001A4A01" w:rsidP="002D0DD3">
      <w:pPr>
        <w:rPr>
          <w:szCs w:val="21"/>
        </w:rPr>
      </w:pPr>
      <w:r w:rsidRPr="003926E7">
        <w:rPr>
          <w:szCs w:val="21"/>
        </w:rPr>
        <w:t>9.</w:t>
      </w:r>
      <w:r w:rsidRPr="003926E7">
        <w:rPr>
          <w:szCs w:val="21"/>
        </w:rPr>
        <w:tab/>
        <w:t>DAI は明確化のために以下を提案する</w:t>
      </w:r>
      <w:r w:rsidR="00502941" w:rsidRPr="003926E7">
        <w:rPr>
          <w:rFonts w:hint="eastAsia"/>
          <w:szCs w:val="21"/>
        </w:rPr>
        <w:t>。</w:t>
      </w:r>
    </w:p>
    <w:p w14:paraId="45DD5DFE" w14:textId="251FF3BC" w:rsidR="001A4A01" w:rsidRPr="003926E7" w:rsidRDefault="001A4A01" w:rsidP="000609C2">
      <w:pPr>
        <w:ind w:firstLineChars="100" w:firstLine="210"/>
        <w:rPr>
          <w:b/>
          <w:bCs/>
          <w:szCs w:val="21"/>
        </w:rPr>
      </w:pPr>
      <w:r w:rsidRPr="003926E7">
        <w:rPr>
          <w:rFonts w:hint="eastAsia"/>
          <w:b/>
          <w:bCs/>
          <w:szCs w:val="21"/>
        </w:rPr>
        <w:t>「</w:t>
      </w:r>
      <w:r w:rsidR="00502941" w:rsidRPr="003926E7">
        <w:rPr>
          <w:rFonts w:hint="eastAsia"/>
          <w:b/>
          <w:bCs/>
          <w:szCs w:val="21"/>
        </w:rPr>
        <w:t>利益相反の可能性を考慮して、</w:t>
      </w:r>
      <w:r w:rsidR="00172AAD" w:rsidRPr="003926E7">
        <w:rPr>
          <w:rFonts w:hint="eastAsia"/>
          <w:b/>
          <w:bCs/>
          <w:szCs w:val="21"/>
        </w:rPr>
        <w:t>また、高齢者・認知症ケア施設の営利的性格を考慮して、</w:t>
      </w:r>
      <w:r w:rsidRPr="003926E7">
        <w:rPr>
          <w:rFonts w:hint="eastAsia"/>
          <w:b/>
          <w:bCs/>
          <w:szCs w:val="21"/>
        </w:rPr>
        <w:t>脱施設化のプロセスは、</w:t>
      </w:r>
      <w:r w:rsidR="00502941" w:rsidRPr="003926E7">
        <w:rPr>
          <w:rFonts w:hint="eastAsia"/>
          <w:b/>
          <w:bCs/>
          <w:szCs w:val="21"/>
        </w:rPr>
        <w:t>高齢者・認知症ケア提供者を含め、直接的・間接的に施設の管理・機能</w:t>
      </w:r>
      <w:r w:rsidR="00172AAD" w:rsidRPr="003926E7">
        <w:rPr>
          <w:rFonts w:hint="eastAsia"/>
          <w:b/>
          <w:bCs/>
          <w:szCs w:val="21"/>
        </w:rPr>
        <w:t>に</w:t>
      </w:r>
      <w:r w:rsidR="00502941" w:rsidRPr="003926E7">
        <w:rPr>
          <w:rFonts w:hint="eastAsia"/>
          <w:b/>
          <w:bCs/>
          <w:szCs w:val="21"/>
        </w:rPr>
        <w:t>何らかの形で</w:t>
      </w:r>
      <w:r w:rsidR="00172AAD" w:rsidRPr="003926E7">
        <w:rPr>
          <w:rFonts w:hint="eastAsia"/>
          <w:b/>
          <w:bCs/>
          <w:szCs w:val="21"/>
        </w:rPr>
        <w:t>意思決定権を持って</w:t>
      </w:r>
      <w:r w:rsidR="00502941" w:rsidRPr="003926E7">
        <w:rPr>
          <w:rFonts w:hint="eastAsia"/>
          <w:b/>
          <w:bCs/>
          <w:szCs w:val="21"/>
        </w:rPr>
        <w:t xml:space="preserve">関与している公務員や第三者によって主導されるべきではない。」　</w:t>
      </w:r>
    </w:p>
    <w:p w14:paraId="78CF26D3" w14:textId="77777777" w:rsidR="00B42A13" w:rsidRPr="003926E7" w:rsidRDefault="00B42A13" w:rsidP="002D0DD3">
      <w:pPr>
        <w:pStyle w:val="a3"/>
        <w:spacing w:before="4"/>
        <w:rPr>
          <w:b/>
          <w:sz w:val="21"/>
          <w:szCs w:val="21"/>
          <w:lang w:eastAsia="ja-JP"/>
        </w:rPr>
      </w:pPr>
    </w:p>
    <w:p w14:paraId="45A1A89A" w14:textId="161185C9" w:rsidR="001A4A01" w:rsidRPr="003926E7" w:rsidRDefault="00FD0910" w:rsidP="002D0DD3">
      <w:pPr>
        <w:rPr>
          <w:b/>
          <w:bCs/>
          <w:szCs w:val="21"/>
        </w:rPr>
      </w:pPr>
      <w:r w:rsidRPr="003926E7">
        <w:rPr>
          <w:rFonts w:hint="eastAsia"/>
          <w:b/>
          <w:bCs/>
          <w:szCs w:val="21"/>
        </w:rPr>
        <w:t>パラグラフ</w:t>
      </w:r>
      <w:r w:rsidR="001A4A01" w:rsidRPr="003926E7">
        <w:rPr>
          <w:b/>
          <w:bCs/>
          <w:szCs w:val="21"/>
        </w:rPr>
        <w:t xml:space="preserve"> 22</w:t>
      </w:r>
      <w:r w:rsidR="00172AAD" w:rsidRPr="003926E7">
        <w:rPr>
          <w:rFonts w:hint="eastAsia"/>
          <w:b/>
          <w:bCs/>
          <w:szCs w:val="21"/>
        </w:rPr>
        <w:t xml:space="preserve">　</w:t>
      </w:r>
      <w:r w:rsidR="001A4A01" w:rsidRPr="003926E7">
        <w:rPr>
          <w:b/>
          <w:bCs/>
          <w:szCs w:val="21"/>
        </w:rPr>
        <w:t>CRPD 第 12 条および第 19 条(b)に基づく支援の区別</w:t>
      </w:r>
    </w:p>
    <w:p w14:paraId="65CE042B" w14:textId="63ED66AC" w:rsidR="001A4A01" w:rsidRPr="003926E7" w:rsidRDefault="001A4A01" w:rsidP="002D0DD3">
      <w:pPr>
        <w:rPr>
          <w:szCs w:val="21"/>
        </w:rPr>
      </w:pPr>
      <w:r w:rsidRPr="003926E7">
        <w:rPr>
          <w:szCs w:val="21"/>
        </w:rPr>
        <w:t>10.</w:t>
      </w:r>
      <w:r w:rsidRPr="003926E7">
        <w:rPr>
          <w:szCs w:val="21"/>
        </w:rPr>
        <w:tab/>
      </w:r>
      <w:r w:rsidR="00172AAD" w:rsidRPr="003926E7">
        <w:rPr>
          <w:szCs w:val="21"/>
        </w:rPr>
        <w:t>DAIは、</w:t>
      </w:r>
      <w:r w:rsidRPr="003926E7">
        <w:rPr>
          <w:szCs w:val="21"/>
        </w:rPr>
        <w:t>第12条の意思決定における支援と第19条(b)の支援制度やサービスを混同しないようにする必要性を強調</w:t>
      </w:r>
      <w:r w:rsidR="00172AAD" w:rsidRPr="003926E7">
        <w:rPr>
          <w:rFonts w:hint="eastAsia"/>
          <w:szCs w:val="21"/>
        </w:rPr>
        <w:t>す</w:t>
      </w:r>
      <w:r w:rsidRPr="003926E7">
        <w:rPr>
          <w:szCs w:val="21"/>
        </w:rPr>
        <w:t>る。</w:t>
      </w:r>
      <w:r w:rsidR="00172AAD" w:rsidRPr="003926E7">
        <w:rPr>
          <w:szCs w:val="21"/>
        </w:rPr>
        <w:t>CRPD委員会の法理論</w:t>
      </w:r>
      <w:r w:rsidR="000609C2" w:rsidRPr="003926E7">
        <w:rPr>
          <w:rStyle w:val="ac"/>
          <w:szCs w:val="21"/>
        </w:rPr>
        <w:footnoteReference w:id="11"/>
      </w:r>
      <w:r w:rsidR="00172AAD" w:rsidRPr="003926E7">
        <w:rPr>
          <w:szCs w:val="21"/>
        </w:rPr>
        <w:t>によれば</w:t>
      </w:r>
      <w:r w:rsidR="00172AAD" w:rsidRPr="003926E7">
        <w:rPr>
          <w:rFonts w:hint="eastAsia"/>
          <w:szCs w:val="21"/>
        </w:rPr>
        <w:t>これらは異なった義務によるものであるので。</w:t>
      </w:r>
      <w:r w:rsidRPr="003926E7">
        <w:rPr>
          <w:szCs w:val="21"/>
        </w:rPr>
        <w:t>従って、パラグラフ22（および新たなパラグラフ23）については、以下</w:t>
      </w:r>
      <w:r w:rsidR="00172AAD" w:rsidRPr="003926E7">
        <w:rPr>
          <w:rFonts w:hint="eastAsia"/>
          <w:szCs w:val="21"/>
        </w:rPr>
        <w:t>を</w:t>
      </w:r>
      <w:r w:rsidRPr="003926E7">
        <w:rPr>
          <w:szCs w:val="21"/>
        </w:rPr>
        <w:t>提案</w:t>
      </w:r>
      <w:r w:rsidR="00172AAD" w:rsidRPr="003926E7">
        <w:rPr>
          <w:rFonts w:hint="eastAsia"/>
          <w:szCs w:val="21"/>
        </w:rPr>
        <w:t>す</w:t>
      </w:r>
      <w:r w:rsidRPr="003926E7">
        <w:rPr>
          <w:szCs w:val="21"/>
        </w:rPr>
        <w:t>る。</w:t>
      </w:r>
    </w:p>
    <w:p w14:paraId="6D76C578" w14:textId="5EBCB2B1" w:rsidR="00073D73" w:rsidRPr="003926E7" w:rsidRDefault="00172AAD" w:rsidP="000609C2">
      <w:pPr>
        <w:ind w:firstLineChars="100" w:firstLine="210"/>
        <w:rPr>
          <w:szCs w:val="21"/>
        </w:rPr>
      </w:pPr>
      <w:r w:rsidRPr="003926E7">
        <w:rPr>
          <w:rFonts w:hint="eastAsia"/>
          <w:szCs w:val="21"/>
        </w:rPr>
        <w:t>「</w:t>
      </w:r>
      <w:r w:rsidR="001A4A01" w:rsidRPr="003926E7">
        <w:rPr>
          <w:szCs w:val="21"/>
        </w:rPr>
        <w:t>22. [</w:t>
      </w:r>
      <w:r w:rsidRPr="003926E7">
        <w:rPr>
          <w:szCs w:val="21"/>
        </w:rPr>
        <w:t>…</w:t>
      </w:r>
      <w:r w:rsidRPr="003926E7">
        <w:rPr>
          <w:rFonts w:hint="eastAsia"/>
          <w:szCs w:val="21"/>
        </w:rPr>
        <w:t>]</w:t>
      </w:r>
      <w:r w:rsidR="000609C2" w:rsidRPr="000609C2">
        <w:rPr>
          <w:rStyle w:val="ac"/>
          <w:w w:val="95"/>
          <w:szCs w:val="21"/>
        </w:rPr>
        <w:t xml:space="preserve"> </w:t>
      </w:r>
      <w:r w:rsidR="000609C2" w:rsidRPr="003926E7">
        <w:rPr>
          <w:rStyle w:val="ac"/>
          <w:w w:val="95"/>
          <w:szCs w:val="21"/>
        </w:rPr>
        <w:footnoteReference w:id="12"/>
      </w:r>
      <w:r w:rsidRPr="003926E7">
        <w:rPr>
          <w:rFonts w:hint="eastAsia"/>
          <w:szCs w:val="21"/>
        </w:rPr>
        <w:t xml:space="preserve">　</w:t>
      </w:r>
      <w:r w:rsidR="001A4A01" w:rsidRPr="003926E7">
        <w:rPr>
          <w:b/>
          <w:bCs/>
          <w:szCs w:val="21"/>
        </w:rPr>
        <w:t>条約に沿うためには、自立した生活を送るための支援サービスは、利用可能で、</w:t>
      </w:r>
      <w:r w:rsidR="001A4A01" w:rsidRPr="003926E7">
        <w:rPr>
          <w:b/>
          <w:bCs/>
          <w:szCs w:val="21"/>
        </w:rPr>
        <w:lastRenderedPageBreak/>
        <w:t>アクセ</w:t>
      </w:r>
      <w:r w:rsidR="0035335A" w:rsidRPr="003926E7">
        <w:rPr>
          <w:rFonts w:hint="eastAsia"/>
          <w:b/>
          <w:bCs/>
          <w:szCs w:val="21"/>
        </w:rPr>
        <w:t>シブル</w:t>
      </w:r>
      <w:r w:rsidR="001A4A01" w:rsidRPr="003926E7">
        <w:rPr>
          <w:b/>
          <w:bCs/>
          <w:szCs w:val="21"/>
        </w:rPr>
        <w:t>で、</w:t>
      </w:r>
      <w:r w:rsidR="0035335A" w:rsidRPr="003926E7">
        <w:rPr>
          <w:rFonts w:hint="eastAsia"/>
          <w:b/>
          <w:bCs/>
          <w:szCs w:val="21"/>
        </w:rPr>
        <w:t>受け入れられ、手ごろ</w:t>
      </w:r>
      <w:r w:rsidR="001A4A01" w:rsidRPr="003926E7">
        <w:rPr>
          <w:b/>
          <w:bCs/>
          <w:szCs w:val="21"/>
        </w:rPr>
        <w:t>な価格で、適応可能でなければならない</w:t>
      </w:r>
      <w:r w:rsidR="000609C2" w:rsidRPr="003926E7">
        <w:rPr>
          <w:rStyle w:val="ac"/>
          <w:w w:val="90"/>
          <w:szCs w:val="21"/>
        </w:rPr>
        <w:footnoteReference w:id="13"/>
      </w:r>
      <w:r w:rsidR="001A4A01" w:rsidRPr="003926E7">
        <w:rPr>
          <w:b/>
          <w:bCs/>
          <w:szCs w:val="21"/>
        </w:rPr>
        <w:t>。</w:t>
      </w:r>
      <w:r w:rsidR="00073D73" w:rsidRPr="003926E7">
        <w:rPr>
          <w:rFonts w:hint="eastAsia"/>
          <w:b/>
          <w:bCs/>
          <w:szCs w:val="21"/>
        </w:rPr>
        <w:t>締約国は、様々な個別</w:t>
      </w:r>
      <w:r w:rsidR="0035335A" w:rsidRPr="003926E7">
        <w:rPr>
          <w:rFonts w:hint="eastAsia"/>
          <w:b/>
          <w:bCs/>
          <w:szCs w:val="21"/>
        </w:rPr>
        <w:t>的</w:t>
      </w:r>
      <w:r w:rsidR="00073D73" w:rsidRPr="003926E7">
        <w:rPr>
          <w:rFonts w:hint="eastAsia"/>
          <w:b/>
          <w:bCs/>
          <w:szCs w:val="21"/>
        </w:rPr>
        <w:t>支援の開発を優先する一方、地域社会における主流サービスを</w:t>
      </w:r>
      <w:r w:rsidRPr="003926E7">
        <w:rPr>
          <w:rFonts w:hint="eastAsia"/>
          <w:b/>
          <w:bCs/>
          <w:szCs w:val="21"/>
        </w:rPr>
        <w:t>遅滞</w:t>
      </w:r>
      <w:r w:rsidR="00073D73" w:rsidRPr="003926E7">
        <w:rPr>
          <w:rFonts w:hint="eastAsia"/>
          <w:b/>
          <w:bCs/>
          <w:szCs w:val="21"/>
        </w:rPr>
        <w:t>なく利用可能かつ</w:t>
      </w:r>
      <w:r w:rsidR="00823CB6" w:rsidRPr="000609C2">
        <w:rPr>
          <w:rFonts w:hint="eastAsia"/>
          <w:b/>
          <w:bCs/>
          <w:szCs w:val="21"/>
        </w:rPr>
        <w:t>インクルーシブ</w:t>
      </w:r>
      <w:r w:rsidR="00073D73" w:rsidRPr="000609C2">
        <w:rPr>
          <w:rFonts w:hint="eastAsia"/>
          <w:b/>
          <w:bCs/>
          <w:szCs w:val="21"/>
        </w:rPr>
        <w:t>な</w:t>
      </w:r>
      <w:r w:rsidR="00073D73" w:rsidRPr="003926E7">
        <w:rPr>
          <w:rFonts w:hint="eastAsia"/>
          <w:b/>
          <w:bCs/>
          <w:szCs w:val="21"/>
        </w:rPr>
        <w:t>ものにすることを進めるべきである。</w:t>
      </w:r>
      <w:r w:rsidRPr="003926E7">
        <w:rPr>
          <w:rFonts w:hint="eastAsia"/>
          <w:b/>
          <w:bCs/>
          <w:szCs w:val="21"/>
        </w:rPr>
        <w:t>」</w:t>
      </w:r>
    </w:p>
    <w:p w14:paraId="7A3E8CF5" w14:textId="03B40CC9" w:rsidR="001A4A01" w:rsidRPr="003926E7" w:rsidRDefault="001A4A01" w:rsidP="002D0DD3">
      <w:pPr>
        <w:rPr>
          <w:szCs w:val="21"/>
        </w:rPr>
      </w:pPr>
      <w:r w:rsidRPr="003926E7">
        <w:rPr>
          <w:szCs w:val="21"/>
        </w:rPr>
        <w:t xml:space="preserve">23. </w:t>
      </w:r>
      <w:r w:rsidR="006940E9">
        <w:rPr>
          <w:szCs w:val="21"/>
        </w:rPr>
        <w:t>障害のある人</w:t>
      </w:r>
      <w:r w:rsidRPr="003926E7">
        <w:rPr>
          <w:szCs w:val="21"/>
        </w:rPr>
        <w:t>またはそのケアパートナーは、</w:t>
      </w:r>
      <w:r w:rsidRPr="003926E7">
        <w:rPr>
          <w:b/>
          <w:bCs/>
          <w:szCs w:val="21"/>
        </w:rPr>
        <w:t>CRPD 第 12 条に関する一般的意見 No.1 に従い、</w:t>
      </w:r>
      <w:r w:rsidR="00C24C02" w:rsidRPr="003926E7">
        <w:rPr>
          <w:rFonts w:hint="eastAsia"/>
          <w:b/>
          <w:bCs/>
          <w:szCs w:val="21"/>
        </w:rPr>
        <w:t>即時的適用の事項</w:t>
      </w:r>
      <w:r w:rsidR="000609C2" w:rsidRPr="003926E7">
        <w:rPr>
          <w:rStyle w:val="ac"/>
          <w:b/>
          <w:w w:val="90"/>
          <w:szCs w:val="21"/>
        </w:rPr>
        <w:footnoteReference w:id="14"/>
      </w:r>
      <w:r w:rsidR="00C24C02" w:rsidRPr="003926E7">
        <w:rPr>
          <w:rFonts w:hint="eastAsia"/>
          <w:b/>
          <w:bCs/>
          <w:szCs w:val="21"/>
        </w:rPr>
        <w:t>として、</w:t>
      </w:r>
      <w:r w:rsidRPr="003926E7">
        <w:rPr>
          <w:szCs w:val="21"/>
        </w:rPr>
        <w:t>地域</w:t>
      </w:r>
      <w:r w:rsidR="00C24C02" w:rsidRPr="003926E7">
        <w:rPr>
          <w:rFonts w:hint="eastAsia"/>
          <w:szCs w:val="21"/>
        </w:rPr>
        <w:t>に根ざした</w:t>
      </w:r>
      <w:r w:rsidRPr="003926E7">
        <w:rPr>
          <w:szCs w:val="21"/>
        </w:rPr>
        <w:t>支援の選択、管理、終了において、法的能力を行使できるようにすべきである。法的能力の行使における支援は、国が資金を提供するサービスとして提供される</w:t>
      </w:r>
      <w:r w:rsidR="000609C2" w:rsidRPr="003926E7">
        <w:rPr>
          <w:rStyle w:val="ac"/>
          <w:szCs w:val="21"/>
        </w:rPr>
        <w:footnoteReference w:id="15"/>
      </w:r>
      <w:r w:rsidRPr="003926E7">
        <w:rPr>
          <w:szCs w:val="21"/>
        </w:rPr>
        <w:t>こともあれば、本人のインフォーマルなネットワークによって提供されることもある。</w:t>
      </w:r>
    </w:p>
    <w:p w14:paraId="7987B9B1" w14:textId="77777777" w:rsidR="00B42A13" w:rsidRPr="003926E7" w:rsidRDefault="00B42A13" w:rsidP="002D0DD3">
      <w:pPr>
        <w:pStyle w:val="a3"/>
        <w:spacing w:before="9"/>
        <w:rPr>
          <w:sz w:val="21"/>
          <w:szCs w:val="21"/>
          <w:lang w:eastAsia="ja-JP"/>
        </w:rPr>
      </w:pPr>
    </w:p>
    <w:p w14:paraId="5D3525E9" w14:textId="77777777" w:rsidR="001A4A01" w:rsidRPr="003926E7" w:rsidRDefault="001A4A01" w:rsidP="002D0DD3">
      <w:pPr>
        <w:rPr>
          <w:b/>
          <w:bCs/>
          <w:szCs w:val="21"/>
        </w:rPr>
      </w:pPr>
      <w:r w:rsidRPr="003926E7">
        <w:rPr>
          <w:rFonts w:hint="eastAsia"/>
          <w:b/>
          <w:bCs/>
          <w:szCs w:val="21"/>
        </w:rPr>
        <w:t>パラグラフ</w:t>
      </w:r>
      <w:r w:rsidRPr="003926E7">
        <w:rPr>
          <w:b/>
          <w:bCs/>
          <w:szCs w:val="21"/>
        </w:rPr>
        <w:t>33：障害者団体の意見の優先</w:t>
      </w:r>
    </w:p>
    <w:p w14:paraId="5AFC3A94" w14:textId="680A3387" w:rsidR="001A4A01" w:rsidRPr="003926E7" w:rsidRDefault="001A4A01" w:rsidP="002D0DD3">
      <w:pPr>
        <w:rPr>
          <w:szCs w:val="21"/>
        </w:rPr>
      </w:pPr>
      <w:r w:rsidRPr="003926E7">
        <w:rPr>
          <w:szCs w:val="21"/>
        </w:rPr>
        <w:t>11.</w:t>
      </w:r>
      <w:r w:rsidRPr="003926E7">
        <w:rPr>
          <w:szCs w:val="21"/>
        </w:rPr>
        <w:tab/>
        <w:t>第 4 条(3)および第 33 条(3)に関する CRPD 委員会の一般的意見第 7 号の文言を</w:t>
      </w:r>
      <w:r w:rsidR="00340104" w:rsidRPr="003926E7">
        <w:rPr>
          <w:rFonts w:hint="eastAsia"/>
          <w:szCs w:val="21"/>
        </w:rPr>
        <w:t>、</w:t>
      </w:r>
      <w:r w:rsidRPr="003926E7">
        <w:rPr>
          <w:szCs w:val="21"/>
        </w:rPr>
        <w:t>参照し、活用する必要性を DAI は強調する。そこで、以下の提案を行う</w:t>
      </w:r>
      <w:r w:rsidR="00C24C02" w:rsidRPr="003926E7">
        <w:rPr>
          <w:rFonts w:hint="eastAsia"/>
          <w:szCs w:val="21"/>
        </w:rPr>
        <w:t>。</w:t>
      </w:r>
    </w:p>
    <w:p w14:paraId="19601EED" w14:textId="1F10846E" w:rsidR="001A4A01" w:rsidRPr="003926E7" w:rsidRDefault="00C24C02" w:rsidP="002D0DD3">
      <w:pPr>
        <w:ind w:firstLineChars="100" w:firstLine="210"/>
        <w:rPr>
          <w:szCs w:val="21"/>
        </w:rPr>
      </w:pPr>
      <w:r w:rsidRPr="003926E7">
        <w:rPr>
          <w:rFonts w:hint="eastAsia"/>
          <w:szCs w:val="21"/>
        </w:rPr>
        <w:t>「</w:t>
      </w:r>
      <w:r w:rsidR="001A4A01" w:rsidRPr="003926E7">
        <w:rPr>
          <w:szCs w:val="21"/>
        </w:rPr>
        <w:t>33. ...第 4 条(3)項および第 33 条ならびに一般的意見第 7 号に沿って</w:t>
      </w:r>
      <w:r w:rsidR="000609C2" w:rsidRPr="003926E7">
        <w:rPr>
          <w:rStyle w:val="ac"/>
          <w:szCs w:val="21"/>
        </w:rPr>
        <w:footnoteReference w:id="16"/>
      </w:r>
      <w:r w:rsidRPr="003926E7">
        <w:rPr>
          <w:rFonts w:hint="eastAsia"/>
          <w:szCs w:val="21"/>
        </w:rPr>
        <w:t>、</w:t>
      </w:r>
      <w:r w:rsidR="001A4A01" w:rsidRPr="003926E7">
        <w:rPr>
          <w:b/>
          <w:bCs/>
          <w:szCs w:val="21"/>
        </w:rPr>
        <w:t>締約国は、</w:t>
      </w:r>
      <w:r w:rsidR="006940E9">
        <w:rPr>
          <w:rFonts w:hint="eastAsia"/>
          <w:b/>
          <w:bCs/>
          <w:szCs w:val="21"/>
        </w:rPr>
        <w:t>障害のある人</w:t>
      </w:r>
      <w:r w:rsidRPr="003926E7">
        <w:rPr>
          <w:rFonts w:hint="eastAsia"/>
          <w:b/>
          <w:bCs/>
          <w:szCs w:val="21"/>
        </w:rPr>
        <w:t>に関連する課題に取り組む際には、</w:t>
      </w:r>
      <w:r w:rsidR="001A4A01" w:rsidRPr="003926E7">
        <w:rPr>
          <w:b/>
          <w:bCs/>
          <w:szCs w:val="21"/>
        </w:rPr>
        <w:t>障害者団体の意見を優先すべきである</w:t>
      </w:r>
      <w:r w:rsidR="000609C2" w:rsidRPr="003926E7">
        <w:rPr>
          <w:rStyle w:val="ac"/>
          <w:b/>
          <w:w w:val="95"/>
          <w:szCs w:val="21"/>
        </w:rPr>
        <w:footnoteReference w:id="17"/>
      </w:r>
      <w:r w:rsidR="001A4A01" w:rsidRPr="003926E7">
        <w:rPr>
          <w:b/>
          <w:bCs/>
          <w:szCs w:val="21"/>
        </w:rPr>
        <w:t>。</w:t>
      </w:r>
      <w:r w:rsidRPr="003926E7">
        <w:rPr>
          <w:rFonts w:hint="eastAsia"/>
          <w:b/>
          <w:bCs/>
          <w:szCs w:val="21"/>
        </w:rPr>
        <w:t>」</w:t>
      </w:r>
    </w:p>
    <w:p w14:paraId="5310B481" w14:textId="77777777" w:rsidR="00B42A13" w:rsidRPr="003926E7" w:rsidRDefault="00B42A13" w:rsidP="002D0DD3">
      <w:pPr>
        <w:pStyle w:val="a3"/>
        <w:spacing w:before="3"/>
        <w:rPr>
          <w:sz w:val="21"/>
          <w:szCs w:val="21"/>
          <w:lang w:eastAsia="ja-JP"/>
        </w:rPr>
      </w:pPr>
    </w:p>
    <w:p w14:paraId="400200CB" w14:textId="77777777" w:rsidR="001A4A01" w:rsidRPr="003926E7" w:rsidRDefault="001A4A01" w:rsidP="002D0DD3">
      <w:pPr>
        <w:rPr>
          <w:b/>
          <w:bCs/>
          <w:szCs w:val="21"/>
        </w:rPr>
      </w:pPr>
      <w:r w:rsidRPr="003926E7">
        <w:rPr>
          <w:rFonts w:hint="eastAsia"/>
          <w:b/>
          <w:bCs/>
          <w:szCs w:val="21"/>
        </w:rPr>
        <w:t>パラグラフ</w:t>
      </w:r>
      <w:r w:rsidRPr="003926E7">
        <w:rPr>
          <w:b/>
          <w:bCs/>
          <w:szCs w:val="21"/>
        </w:rPr>
        <w:t xml:space="preserve"> 36</w:t>
      </w:r>
    </w:p>
    <w:p w14:paraId="27E532F8" w14:textId="5E30EDEC" w:rsidR="001A4A01" w:rsidRPr="003926E7" w:rsidRDefault="001A4A01" w:rsidP="002D0DD3">
      <w:pPr>
        <w:rPr>
          <w:szCs w:val="21"/>
        </w:rPr>
      </w:pPr>
      <w:r w:rsidRPr="003926E7">
        <w:rPr>
          <w:szCs w:val="21"/>
        </w:rPr>
        <w:t>12.</w:t>
      </w:r>
      <w:r w:rsidRPr="003926E7">
        <w:rPr>
          <w:szCs w:val="21"/>
        </w:rPr>
        <w:tab/>
        <w:t>CRPD 委員会の意図を理解しつつも、施設に入所している</w:t>
      </w:r>
      <w:r w:rsidR="006940E9">
        <w:rPr>
          <w:szCs w:val="21"/>
        </w:rPr>
        <w:t>障害のある人</w:t>
      </w:r>
      <w:r w:rsidRPr="003926E7">
        <w:rPr>
          <w:szCs w:val="21"/>
        </w:rPr>
        <w:t>に対する</w:t>
      </w:r>
      <w:r w:rsidR="00230A70" w:rsidRPr="003926E7">
        <w:rPr>
          <w:rFonts w:hint="eastAsia"/>
          <w:szCs w:val="21"/>
        </w:rPr>
        <w:t>父権主義的な</w:t>
      </w:r>
      <w:r w:rsidRPr="003926E7">
        <w:rPr>
          <w:szCs w:val="21"/>
        </w:rPr>
        <w:t>表現を避けるため、DAI は以下のように提案する</w:t>
      </w:r>
      <w:r w:rsidR="00230A70" w:rsidRPr="003926E7">
        <w:rPr>
          <w:rFonts w:hint="eastAsia"/>
          <w:szCs w:val="21"/>
        </w:rPr>
        <w:t>。</w:t>
      </w:r>
    </w:p>
    <w:p w14:paraId="3609C0F5" w14:textId="29EBE4EF" w:rsidR="00B42A13" w:rsidRDefault="00230A70" w:rsidP="002D0DD3">
      <w:pPr>
        <w:pStyle w:val="a3"/>
        <w:spacing w:before="6"/>
        <w:ind w:firstLineChars="100" w:firstLine="210"/>
        <w:rPr>
          <w:rFonts w:asciiTheme="minorEastAsia" w:eastAsiaTheme="minorEastAsia" w:hAnsiTheme="minorEastAsia"/>
          <w:b/>
          <w:bCs/>
          <w:sz w:val="21"/>
          <w:szCs w:val="21"/>
          <w:lang w:eastAsia="ja-JP"/>
        </w:rPr>
      </w:pPr>
      <w:r w:rsidRPr="003926E7">
        <w:rPr>
          <w:rFonts w:asciiTheme="minorEastAsia" w:eastAsiaTheme="minorEastAsia" w:hAnsiTheme="minorEastAsia" w:cs="Meiryo UI" w:hint="eastAsia"/>
          <w:sz w:val="21"/>
          <w:szCs w:val="21"/>
          <w:lang w:eastAsia="ja-JP"/>
        </w:rPr>
        <w:t>「</w:t>
      </w:r>
      <w:r w:rsidR="001A4A01" w:rsidRPr="003926E7">
        <w:rPr>
          <w:rFonts w:asciiTheme="minorEastAsia" w:eastAsiaTheme="minorEastAsia" w:hAnsiTheme="minorEastAsia"/>
          <w:sz w:val="21"/>
          <w:szCs w:val="21"/>
          <w:lang w:eastAsia="ja-JP"/>
        </w:rPr>
        <w:t>36. [...</w:t>
      </w:r>
      <w:r w:rsidRPr="003926E7">
        <w:rPr>
          <w:rFonts w:asciiTheme="minorEastAsia" w:eastAsiaTheme="minorEastAsia" w:hAnsiTheme="minorEastAsia" w:hint="eastAsia"/>
          <w:sz w:val="21"/>
          <w:szCs w:val="21"/>
          <w:lang w:eastAsia="ja-JP"/>
        </w:rPr>
        <w:t>]</w:t>
      </w:r>
      <w:r w:rsidR="001A4A01" w:rsidRPr="003926E7">
        <w:rPr>
          <w:rFonts w:asciiTheme="minorEastAsia" w:eastAsiaTheme="minorEastAsia" w:hAnsiTheme="minorEastAsia"/>
          <w:sz w:val="21"/>
          <w:szCs w:val="21"/>
          <w:lang w:eastAsia="ja-JP"/>
        </w:rPr>
        <w:t>意思決定の権利を否定され</w:t>
      </w:r>
      <w:r w:rsidRPr="003926E7">
        <w:rPr>
          <w:rFonts w:asciiTheme="minorEastAsia" w:eastAsiaTheme="minorEastAsia" w:hAnsiTheme="minorEastAsia" w:cs="Meiryo UI" w:hint="eastAsia"/>
          <w:sz w:val="21"/>
          <w:szCs w:val="21"/>
          <w:lang w:eastAsia="ja-JP"/>
        </w:rPr>
        <w:t>てき</w:t>
      </w:r>
      <w:r w:rsidR="001A4A01" w:rsidRPr="003926E7">
        <w:rPr>
          <w:rFonts w:asciiTheme="minorEastAsia" w:eastAsiaTheme="minorEastAsia" w:hAnsiTheme="minorEastAsia"/>
          <w:sz w:val="21"/>
          <w:szCs w:val="21"/>
          <w:lang w:eastAsia="ja-JP"/>
        </w:rPr>
        <w:t>た本人やその家族、ケアパートナーは、たとえ支援が提供されたとしても、</w:t>
      </w:r>
      <w:r w:rsidRPr="003926E7">
        <w:rPr>
          <w:rFonts w:asciiTheme="minorEastAsia" w:eastAsiaTheme="minorEastAsia" w:hAnsiTheme="minorEastAsia" w:hint="eastAsia"/>
          <w:strike/>
          <w:sz w:val="21"/>
          <w:szCs w:val="21"/>
          <w:lang w:eastAsia="ja-JP"/>
        </w:rPr>
        <w:t>自立と地域生活の価値をすぐには理解しない</w:t>
      </w:r>
      <w:r w:rsidR="001A4A01" w:rsidRPr="003926E7">
        <w:rPr>
          <w:rFonts w:asciiTheme="minorEastAsia" w:eastAsiaTheme="minorEastAsia" w:hAnsiTheme="minorEastAsia"/>
          <w:b/>
          <w:bCs/>
          <w:sz w:val="21"/>
          <w:szCs w:val="21"/>
          <w:lang w:eastAsia="ja-JP"/>
        </w:rPr>
        <w:t>自立して生活し、地域社会に参加すること</w:t>
      </w:r>
      <w:r w:rsidRPr="003926E7">
        <w:rPr>
          <w:rFonts w:asciiTheme="minorEastAsia" w:eastAsiaTheme="minorEastAsia" w:hAnsiTheme="minorEastAsia" w:hint="eastAsia"/>
          <w:b/>
          <w:bCs/>
          <w:sz w:val="21"/>
          <w:szCs w:val="21"/>
          <w:lang w:eastAsia="ja-JP"/>
        </w:rPr>
        <w:t>を最初は快適に感じない</w:t>
      </w:r>
      <w:r w:rsidR="001A4A01" w:rsidRPr="003926E7">
        <w:rPr>
          <w:rFonts w:asciiTheme="minorEastAsia" w:eastAsiaTheme="minorEastAsia" w:hAnsiTheme="minorEastAsia"/>
          <w:sz w:val="21"/>
          <w:szCs w:val="21"/>
          <w:lang w:eastAsia="ja-JP"/>
        </w:rPr>
        <w:t>かもしれない</w:t>
      </w:r>
      <w:r w:rsidR="001A4A01" w:rsidRPr="003926E7">
        <w:rPr>
          <w:rFonts w:asciiTheme="minorEastAsia" w:eastAsiaTheme="minorEastAsia" w:hAnsiTheme="minorEastAsia"/>
          <w:b/>
          <w:bCs/>
          <w:sz w:val="21"/>
          <w:szCs w:val="21"/>
          <w:lang w:eastAsia="ja-JP"/>
        </w:rPr>
        <w:t>。</w:t>
      </w:r>
    </w:p>
    <w:p w14:paraId="11CB19F2" w14:textId="77777777" w:rsidR="000609C2" w:rsidRPr="003926E7" w:rsidRDefault="000609C2" w:rsidP="002D0DD3">
      <w:pPr>
        <w:pStyle w:val="a3"/>
        <w:spacing w:before="6"/>
        <w:ind w:firstLineChars="100" w:firstLine="210"/>
        <w:rPr>
          <w:rFonts w:asciiTheme="minorEastAsia" w:eastAsiaTheme="minorEastAsia" w:hAnsiTheme="minorEastAsia"/>
          <w:sz w:val="21"/>
          <w:szCs w:val="21"/>
          <w:lang w:eastAsia="ja-JP"/>
        </w:rPr>
      </w:pPr>
    </w:p>
    <w:p w14:paraId="25E49F9C" w14:textId="2CA32A17" w:rsidR="00FE44B7" w:rsidRPr="003926E7" w:rsidRDefault="00FE44B7" w:rsidP="002D0DD3">
      <w:pPr>
        <w:ind w:firstLineChars="100" w:firstLine="210"/>
        <w:rPr>
          <w:szCs w:val="21"/>
        </w:rPr>
      </w:pPr>
      <w:r w:rsidRPr="003926E7">
        <w:rPr>
          <w:szCs w:val="21"/>
        </w:rPr>
        <w:t>37 について、DAI は次のように提案</w:t>
      </w:r>
      <w:r w:rsidR="00675B3A" w:rsidRPr="003926E7">
        <w:rPr>
          <w:rFonts w:hint="eastAsia"/>
          <w:szCs w:val="21"/>
        </w:rPr>
        <w:t>す</w:t>
      </w:r>
      <w:r w:rsidRPr="003926E7">
        <w:rPr>
          <w:szCs w:val="21"/>
        </w:rPr>
        <w:t>る</w:t>
      </w:r>
      <w:r w:rsidR="00675B3A" w:rsidRPr="003926E7">
        <w:rPr>
          <w:rFonts w:hint="eastAsia"/>
          <w:szCs w:val="21"/>
        </w:rPr>
        <w:t>。</w:t>
      </w:r>
    </w:p>
    <w:p w14:paraId="57D861C5" w14:textId="47D61ED5" w:rsidR="001A4A01" w:rsidRPr="003926E7" w:rsidRDefault="00FD0910" w:rsidP="002D0DD3">
      <w:pPr>
        <w:rPr>
          <w:b/>
          <w:bCs/>
          <w:szCs w:val="21"/>
        </w:rPr>
      </w:pPr>
      <w:r w:rsidRPr="003926E7">
        <w:rPr>
          <w:rFonts w:hint="eastAsia"/>
          <w:b/>
          <w:bCs/>
          <w:szCs w:val="21"/>
        </w:rPr>
        <w:t>パラグラフ</w:t>
      </w:r>
      <w:r w:rsidR="001A4A01" w:rsidRPr="003926E7">
        <w:rPr>
          <w:b/>
          <w:bCs/>
          <w:szCs w:val="21"/>
        </w:rPr>
        <w:t>37</w:t>
      </w:r>
    </w:p>
    <w:p w14:paraId="232B9A3D" w14:textId="21A7E2A9" w:rsidR="001A4A01" w:rsidRPr="003926E7" w:rsidRDefault="001A4A01" w:rsidP="002D0DD3">
      <w:pPr>
        <w:rPr>
          <w:szCs w:val="21"/>
        </w:rPr>
      </w:pPr>
      <w:r w:rsidRPr="003926E7">
        <w:rPr>
          <w:szCs w:val="21"/>
        </w:rPr>
        <w:t>13.</w:t>
      </w:r>
      <w:r w:rsidRPr="003926E7">
        <w:rPr>
          <w:szCs w:val="21"/>
        </w:rPr>
        <w:tab/>
        <w:t>DAI は、認知症患者の家族、ケアパートナー、その他の非公式な支援者が、代替手段がないために通常担っている事実上の支援の役割を認め、保護する必要性を強調し、あらゆる支援を提供する社会保護制度の設計や要件において、ケアパートナーの権利</w:t>
      </w:r>
      <w:r w:rsidR="00120F54" w:rsidRPr="003926E7">
        <w:rPr>
          <w:rFonts w:hint="eastAsia"/>
          <w:szCs w:val="21"/>
        </w:rPr>
        <w:t>への</w:t>
      </w:r>
      <w:r w:rsidRPr="003926E7">
        <w:rPr>
          <w:szCs w:val="21"/>
        </w:rPr>
        <w:t>制限を回避する必要性を強調</w:t>
      </w:r>
      <w:r w:rsidR="00340104" w:rsidRPr="003926E7">
        <w:rPr>
          <w:rFonts w:hint="eastAsia"/>
          <w:szCs w:val="21"/>
        </w:rPr>
        <w:t>す</w:t>
      </w:r>
      <w:r w:rsidRPr="003926E7">
        <w:rPr>
          <w:szCs w:val="21"/>
        </w:rPr>
        <w:t>る</w:t>
      </w:r>
      <w:r w:rsidR="00120F54" w:rsidRPr="003926E7">
        <w:rPr>
          <w:rFonts w:hint="eastAsia"/>
          <w:szCs w:val="21"/>
        </w:rPr>
        <w:t>。例えば、経済的支援制度は、ケアパートナーがその支援役割に適合した雇用に従事することを妨げるべきではない。同様の懸念はパラグラフ</w:t>
      </w:r>
      <w:r w:rsidR="00120F54" w:rsidRPr="003926E7">
        <w:rPr>
          <w:szCs w:val="21"/>
        </w:rPr>
        <w:t>87</w:t>
      </w:r>
      <w:r w:rsidR="00120F54" w:rsidRPr="003926E7">
        <w:rPr>
          <w:rFonts w:hint="eastAsia"/>
          <w:szCs w:val="21"/>
        </w:rPr>
        <w:t>にも示されている</w:t>
      </w:r>
      <w:r w:rsidR="000609C2" w:rsidRPr="003926E7">
        <w:rPr>
          <w:rStyle w:val="ac"/>
          <w:szCs w:val="21"/>
        </w:rPr>
        <w:footnoteReference w:id="18"/>
      </w:r>
      <w:r w:rsidR="00120F54" w:rsidRPr="003926E7">
        <w:rPr>
          <w:rFonts w:hint="eastAsia"/>
          <w:szCs w:val="21"/>
        </w:rPr>
        <w:t>。</w:t>
      </w:r>
    </w:p>
    <w:p w14:paraId="4BE8C7F6" w14:textId="2E6C6C62" w:rsidR="00FE44B7" w:rsidRPr="003926E7" w:rsidRDefault="00675B3A" w:rsidP="002D0DD3">
      <w:pPr>
        <w:ind w:firstLineChars="100" w:firstLine="210"/>
        <w:rPr>
          <w:szCs w:val="21"/>
        </w:rPr>
      </w:pPr>
      <w:r w:rsidRPr="003926E7">
        <w:rPr>
          <w:rFonts w:hint="eastAsia"/>
          <w:szCs w:val="21"/>
        </w:rPr>
        <w:t>「</w:t>
      </w:r>
      <w:r w:rsidR="00FE44B7" w:rsidRPr="003926E7">
        <w:rPr>
          <w:szCs w:val="21"/>
        </w:rPr>
        <w:t>37. ... 締約国は、家族が支援の役割を果たすために適切な財政的、社会的、その他の支援を</w:t>
      </w:r>
      <w:r w:rsidR="00FE44B7" w:rsidRPr="003926E7">
        <w:rPr>
          <w:szCs w:val="21"/>
        </w:rPr>
        <w:lastRenderedPageBreak/>
        <w:t>利用できるようにし</w:t>
      </w:r>
      <w:r w:rsidR="00FE44B7" w:rsidRPr="003926E7">
        <w:rPr>
          <w:b/>
          <w:bCs/>
          <w:szCs w:val="21"/>
        </w:rPr>
        <w:t>、支援制度がケア・パートナーの権利を自動的かつ不必要に制限しないようにすべきで</w:t>
      </w:r>
      <w:r w:rsidRPr="003926E7">
        <w:rPr>
          <w:rFonts w:hint="eastAsia"/>
          <w:b/>
          <w:bCs/>
          <w:szCs w:val="21"/>
        </w:rPr>
        <w:t>ある。たとえば、支援手当制度は、ケアパートナーの役割と並行して求職活動することを制限すべきではない。</w:t>
      </w:r>
      <w:r w:rsidRPr="003926E7">
        <w:rPr>
          <w:rFonts w:hint="eastAsia"/>
          <w:szCs w:val="21"/>
        </w:rPr>
        <w:t>国の支援は…」。</w:t>
      </w:r>
    </w:p>
    <w:p w14:paraId="463CEB5C" w14:textId="26B01369" w:rsidR="00B42A13" w:rsidRPr="003926E7" w:rsidRDefault="006010B0" w:rsidP="006010B0">
      <w:pPr>
        <w:pStyle w:val="a3"/>
        <w:tabs>
          <w:tab w:val="left" w:pos="598"/>
        </w:tabs>
        <w:spacing w:before="6"/>
        <w:rPr>
          <w:sz w:val="21"/>
          <w:szCs w:val="21"/>
          <w:lang w:eastAsia="ja-JP"/>
        </w:rPr>
      </w:pPr>
      <w:r w:rsidRPr="003926E7">
        <w:rPr>
          <w:sz w:val="21"/>
          <w:szCs w:val="21"/>
          <w:lang w:eastAsia="ja-JP"/>
        </w:rPr>
        <w:tab/>
      </w:r>
    </w:p>
    <w:p w14:paraId="52399C14" w14:textId="77777777" w:rsidR="00FE44B7" w:rsidRPr="003926E7" w:rsidRDefault="00FE44B7" w:rsidP="002D0DD3">
      <w:pPr>
        <w:pStyle w:val="a7"/>
        <w:rPr>
          <w:rFonts w:asciiTheme="minorEastAsia" w:eastAsiaTheme="minorEastAsia" w:hAnsiTheme="minorEastAsia"/>
          <w:b/>
          <w:bCs/>
          <w:sz w:val="21"/>
          <w:szCs w:val="21"/>
          <w:lang w:eastAsia="ja-JP"/>
        </w:rPr>
      </w:pPr>
      <w:r w:rsidRPr="003926E7">
        <w:rPr>
          <w:rFonts w:asciiTheme="minorEastAsia" w:eastAsiaTheme="minorEastAsia" w:hAnsiTheme="minorEastAsia" w:cs="Meiryo UI" w:hint="eastAsia"/>
          <w:b/>
          <w:bCs/>
          <w:sz w:val="21"/>
          <w:szCs w:val="21"/>
          <w:lang w:eastAsia="ja-JP"/>
        </w:rPr>
        <w:t>パラグラフ</w:t>
      </w:r>
      <w:r w:rsidRPr="003926E7">
        <w:rPr>
          <w:rFonts w:asciiTheme="minorEastAsia" w:eastAsiaTheme="minorEastAsia" w:hAnsiTheme="minorEastAsia"/>
          <w:b/>
          <w:bCs/>
          <w:sz w:val="21"/>
          <w:szCs w:val="21"/>
          <w:lang w:eastAsia="ja-JP"/>
        </w:rPr>
        <w:t>41</w:t>
      </w:r>
    </w:p>
    <w:p w14:paraId="072595F8" w14:textId="6F1C5D83" w:rsidR="00FE44B7" w:rsidRPr="003926E7" w:rsidRDefault="00FE44B7" w:rsidP="002D0DD3">
      <w:pPr>
        <w:pStyle w:val="a7"/>
        <w:rPr>
          <w:rFonts w:asciiTheme="minorEastAsia" w:eastAsiaTheme="minorEastAsia" w:hAnsiTheme="minorEastAsia"/>
          <w:sz w:val="21"/>
          <w:szCs w:val="21"/>
          <w:lang w:eastAsia="ja-JP"/>
        </w:rPr>
      </w:pPr>
      <w:r w:rsidRPr="003926E7">
        <w:rPr>
          <w:rFonts w:asciiTheme="minorEastAsia" w:eastAsiaTheme="minorEastAsia" w:hAnsiTheme="minorEastAsia"/>
          <w:sz w:val="21"/>
          <w:szCs w:val="21"/>
          <w:lang w:eastAsia="ja-JP"/>
        </w:rPr>
        <w:t>14.</w:t>
      </w:r>
      <w:r w:rsidRPr="003926E7">
        <w:rPr>
          <w:rFonts w:asciiTheme="minorEastAsia" w:eastAsiaTheme="minorEastAsia" w:hAnsiTheme="minorEastAsia"/>
          <w:sz w:val="21"/>
          <w:szCs w:val="21"/>
          <w:lang w:eastAsia="ja-JP"/>
        </w:rPr>
        <w:tab/>
        <w:t xml:space="preserve">DAI </w:t>
      </w:r>
      <w:r w:rsidRPr="003926E7">
        <w:rPr>
          <w:rFonts w:asciiTheme="minorEastAsia" w:eastAsiaTheme="minorEastAsia" w:hAnsiTheme="minorEastAsia" w:cs="Meiryo UI" w:hint="eastAsia"/>
          <w:sz w:val="21"/>
          <w:szCs w:val="21"/>
          <w:lang w:eastAsia="ja-JP"/>
        </w:rPr>
        <w:t>は、障害</w:t>
      </w:r>
      <w:r w:rsidR="00862A62" w:rsidRPr="003926E7">
        <w:rPr>
          <w:rFonts w:asciiTheme="minorEastAsia" w:eastAsiaTheme="minorEastAsia" w:hAnsiTheme="minorEastAsia" w:cs="Meiryo UI" w:hint="eastAsia"/>
          <w:sz w:val="21"/>
          <w:szCs w:val="21"/>
          <w:lang w:eastAsia="ja-JP"/>
        </w:rPr>
        <w:t>のある</w:t>
      </w:r>
      <w:r w:rsidRPr="003926E7">
        <w:rPr>
          <w:rFonts w:asciiTheme="minorEastAsia" w:eastAsiaTheme="minorEastAsia" w:hAnsiTheme="minorEastAsia" w:cs="Meiryo UI" w:hint="eastAsia"/>
          <w:sz w:val="21"/>
          <w:szCs w:val="21"/>
          <w:lang w:eastAsia="ja-JP"/>
        </w:rPr>
        <w:t>女性と</w:t>
      </w:r>
      <w:r w:rsidR="00862A62" w:rsidRPr="003926E7">
        <w:rPr>
          <w:rFonts w:asciiTheme="minorEastAsia" w:eastAsiaTheme="minorEastAsia" w:hAnsiTheme="minorEastAsia" w:cs="Meiryo UI" w:hint="eastAsia"/>
          <w:sz w:val="21"/>
          <w:szCs w:val="21"/>
          <w:lang w:eastAsia="ja-JP"/>
        </w:rPr>
        <w:t>少女</w:t>
      </w:r>
      <w:r w:rsidRPr="003926E7">
        <w:rPr>
          <w:rFonts w:asciiTheme="minorEastAsia" w:eastAsiaTheme="minorEastAsia" w:hAnsiTheme="minorEastAsia" w:cs="Meiryo UI" w:hint="eastAsia"/>
          <w:sz w:val="21"/>
          <w:szCs w:val="21"/>
          <w:lang w:eastAsia="ja-JP"/>
        </w:rPr>
        <w:t>に関する小節に続いて、障害</w:t>
      </w:r>
      <w:r w:rsidR="00862A62" w:rsidRPr="003926E7">
        <w:rPr>
          <w:rFonts w:asciiTheme="minorEastAsia" w:eastAsiaTheme="minorEastAsia" w:hAnsiTheme="minorEastAsia" w:cs="Meiryo UI" w:hint="eastAsia"/>
          <w:sz w:val="21"/>
          <w:szCs w:val="21"/>
          <w:lang w:eastAsia="ja-JP"/>
        </w:rPr>
        <w:t>のある</w:t>
      </w:r>
      <w:r w:rsidRPr="003926E7">
        <w:rPr>
          <w:rFonts w:asciiTheme="minorEastAsia" w:eastAsiaTheme="minorEastAsia" w:hAnsiTheme="minorEastAsia" w:cs="Meiryo UI" w:hint="eastAsia"/>
          <w:sz w:val="21"/>
          <w:szCs w:val="21"/>
          <w:lang w:eastAsia="ja-JP"/>
        </w:rPr>
        <w:t>高齢者に関する小節を含めることの妥当性を強調</w:t>
      </w:r>
      <w:r w:rsidR="00340104" w:rsidRPr="003926E7">
        <w:rPr>
          <w:rFonts w:asciiTheme="minorEastAsia" w:eastAsiaTheme="minorEastAsia" w:hAnsiTheme="minorEastAsia" w:cs="Meiryo UI" w:hint="eastAsia"/>
          <w:sz w:val="21"/>
          <w:szCs w:val="21"/>
          <w:lang w:eastAsia="ja-JP"/>
        </w:rPr>
        <w:t>す</w:t>
      </w:r>
      <w:r w:rsidRPr="003926E7">
        <w:rPr>
          <w:rFonts w:asciiTheme="minorEastAsia" w:eastAsiaTheme="minorEastAsia" w:hAnsiTheme="minorEastAsia" w:cs="Meiryo UI" w:hint="eastAsia"/>
          <w:sz w:val="21"/>
          <w:szCs w:val="21"/>
          <w:lang w:eastAsia="ja-JP"/>
        </w:rPr>
        <w:t>る。なぜなら、</w:t>
      </w:r>
      <w:r w:rsidR="00862A62" w:rsidRPr="003926E7">
        <w:rPr>
          <w:rFonts w:asciiTheme="minorEastAsia" w:eastAsiaTheme="minorEastAsia" w:hAnsiTheme="minorEastAsia" w:cs="Meiryo UI" w:hint="eastAsia"/>
          <w:sz w:val="21"/>
          <w:szCs w:val="21"/>
          <w:lang w:eastAsia="ja-JP"/>
        </w:rPr>
        <w:t>彼女たちは、</w:t>
      </w:r>
      <w:r w:rsidRPr="003926E7">
        <w:rPr>
          <w:rFonts w:asciiTheme="minorEastAsia" w:eastAsiaTheme="minorEastAsia" w:hAnsiTheme="minorEastAsia" w:cs="Meiryo UI" w:hint="eastAsia"/>
          <w:sz w:val="21"/>
          <w:szCs w:val="21"/>
          <w:lang w:eastAsia="ja-JP"/>
        </w:rPr>
        <w:t>認知症</w:t>
      </w:r>
      <w:r w:rsidR="00862A62" w:rsidRPr="003926E7">
        <w:rPr>
          <w:rFonts w:asciiTheme="minorEastAsia" w:eastAsiaTheme="minorEastAsia" w:hAnsiTheme="minorEastAsia" w:cs="Meiryo UI" w:hint="eastAsia"/>
          <w:sz w:val="21"/>
          <w:szCs w:val="21"/>
          <w:lang w:eastAsia="ja-JP"/>
        </w:rPr>
        <w:t>の診断を受ける点で、あるいは</w:t>
      </w:r>
      <w:r w:rsidRPr="003926E7">
        <w:rPr>
          <w:rFonts w:asciiTheme="minorEastAsia" w:eastAsiaTheme="minorEastAsia" w:hAnsiTheme="minorEastAsia" w:cs="Meiryo UI" w:hint="eastAsia"/>
          <w:sz w:val="21"/>
          <w:szCs w:val="21"/>
          <w:lang w:eastAsia="ja-JP"/>
        </w:rPr>
        <w:t>無償のケアパートナーとして</w:t>
      </w:r>
      <w:r w:rsidR="00862A62" w:rsidRPr="003926E7">
        <w:rPr>
          <w:rFonts w:asciiTheme="minorEastAsia" w:eastAsiaTheme="minorEastAsia" w:hAnsiTheme="minorEastAsia" w:cs="Meiryo UI" w:hint="eastAsia"/>
          <w:sz w:val="21"/>
          <w:szCs w:val="21"/>
          <w:lang w:eastAsia="ja-JP"/>
        </w:rPr>
        <w:t>、</w:t>
      </w:r>
      <w:r w:rsidRPr="003926E7">
        <w:rPr>
          <w:rFonts w:asciiTheme="minorEastAsia" w:eastAsiaTheme="minorEastAsia" w:hAnsiTheme="minorEastAsia" w:cs="Meiryo UI" w:hint="eastAsia"/>
          <w:sz w:val="21"/>
          <w:szCs w:val="21"/>
          <w:lang w:eastAsia="ja-JP"/>
        </w:rPr>
        <w:t>不釣り合いに影響を受けており、特に低・中所得国の女性と</w:t>
      </w:r>
      <w:r w:rsidR="00862A62" w:rsidRPr="003926E7">
        <w:rPr>
          <w:rFonts w:asciiTheme="minorEastAsia" w:eastAsiaTheme="minorEastAsia" w:hAnsiTheme="minorEastAsia" w:cs="Meiryo UI" w:hint="eastAsia"/>
          <w:sz w:val="21"/>
          <w:szCs w:val="21"/>
          <w:lang w:eastAsia="ja-JP"/>
        </w:rPr>
        <w:t>少女</w:t>
      </w:r>
      <w:r w:rsidRPr="003926E7">
        <w:rPr>
          <w:rFonts w:asciiTheme="minorEastAsia" w:eastAsiaTheme="minorEastAsia" w:hAnsiTheme="minorEastAsia" w:cs="Meiryo UI" w:hint="eastAsia"/>
          <w:sz w:val="21"/>
          <w:szCs w:val="21"/>
          <w:lang w:eastAsia="ja-JP"/>
        </w:rPr>
        <w:t>はこの格差のために教育や雇用を否定されているからである。</w:t>
      </w:r>
    </w:p>
    <w:p w14:paraId="15F36F14" w14:textId="77777777" w:rsidR="00B42A13" w:rsidRPr="003926E7" w:rsidRDefault="00B42A13" w:rsidP="002D0DD3">
      <w:pPr>
        <w:pStyle w:val="a3"/>
        <w:spacing w:before="8"/>
        <w:rPr>
          <w:sz w:val="21"/>
          <w:szCs w:val="21"/>
          <w:lang w:eastAsia="ja-JP"/>
        </w:rPr>
      </w:pPr>
    </w:p>
    <w:p w14:paraId="766CE760" w14:textId="61386B98" w:rsidR="00FE44B7" w:rsidRPr="003926E7" w:rsidRDefault="00FE44B7" w:rsidP="002D0DD3">
      <w:pPr>
        <w:rPr>
          <w:b/>
          <w:bCs/>
          <w:szCs w:val="21"/>
        </w:rPr>
      </w:pPr>
      <w:r w:rsidRPr="003926E7">
        <w:rPr>
          <w:rFonts w:hint="eastAsia"/>
          <w:b/>
          <w:bCs/>
          <w:szCs w:val="21"/>
        </w:rPr>
        <w:t>パラグラフ</w:t>
      </w:r>
      <w:r w:rsidRPr="003926E7">
        <w:rPr>
          <w:b/>
          <w:bCs/>
          <w:szCs w:val="21"/>
        </w:rPr>
        <w:t xml:space="preserve"> 54：手続き</w:t>
      </w:r>
      <w:r w:rsidR="00B16DBC" w:rsidRPr="003926E7">
        <w:rPr>
          <w:rFonts w:hint="eastAsia"/>
          <w:b/>
          <w:bCs/>
          <w:szCs w:val="21"/>
        </w:rPr>
        <w:t>的</w:t>
      </w:r>
      <w:r w:rsidR="00862A62" w:rsidRPr="003926E7">
        <w:rPr>
          <w:rFonts w:hint="eastAsia"/>
          <w:b/>
          <w:bCs/>
          <w:szCs w:val="21"/>
        </w:rPr>
        <w:t>配慮</w:t>
      </w:r>
      <w:r w:rsidRPr="003926E7">
        <w:rPr>
          <w:b/>
          <w:bCs/>
          <w:szCs w:val="21"/>
        </w:rPr>
        <w:t>の広</w:t>
      </w:r>
      <w:r w:rsidR="00862A62" w:rsidRPr="003926E7">
        <w:rPr>
          <w:rFonts w:hint="eastAsia"/>
          <w:b/>
          <w:bCs/>
          <w:szCs w:val="21"/>
        </w:rPr>
        <w:t>い</w:t>
      </w:r>
      <w:r w:rsidRPr="003926E7">
        <w:rPr>
          <w:b/>
          <w:bCs/>
          <w:szCs w:val="21"/>
        </w:rPr>
        <w:t>範囲</w:t>
      </w:r>
    </w:p>
    <w:p w14:paraId="4AF53E91" w14:textId="5ABD8832" w:rsidR="00FE44B7" w:rsidRPr="003926E7" w:rsidRDefault="00FE44B7" w:rsidP="002D0DD3">
      <w:pPr>
        <w:rPr>
          <w:szCs w:val="21"/>
        </w:rPr>
      </w:pPr>
      <w:r w:rsidRPr="003926E7">
        <w:rPr>
          <w:szCs w:val="21"/>
        </w:rPr>
        <w:t>15.</w:t>
      </w:r>
      <w:r w:rsidRPr="003926E7">
        <w:rPr>
          <w:szCs w:val="21"/>
        </w:rPr>
        <w:tab/>
        <w:t>DAIは、情報通信のアクセシビリティの問題</w:t>
      </w:r>
      <w:r w:rsidR="00AD5B55" w:rsidRPr="003926E7">
        <w:rPr>
          <w:rFonts w:hint="eastAsia"/>
          <w:szCs w:val="21"/>
        </w:rPr>
        <w:t>の例に</w:t>
      </w:r>
      <w:r w:rsidRPr="003926E7">
        <w:rPr>
          <w:szCs w:val="21"/>
        </w:rPr>
        <w:t>限定され</w:t>
      </w:r>
      <w:r w:rsidR="00AD5B55" w:rsidRPr="003926E7">
        <w:rPr>
          <w:rFonts w:hint="eastAsia"/>
          <w:szCs w:val="21"/>
        </w:rPr>
        <w:t>ず</w:t>
      </w:r>
      <w:r w:rsidRPr="003926E7">
        <w:rPr>
          <w:szCs w:val="21"/>
        </w:rPr>
        <w:t>、手続き</w:t>
      </w:r>
      <w:r w:rsidR="00B16DBC" w:rsidRPr="003926E7">
        <w:rPr>
          <w:rFonts w:hint="eastAsia"/>
          <w:szCs w:val="21"/>
        </w:rPr>
        <w:t>的配慮</w:t>
      </w:r>
      <w:r w:rsidRPr="003926E7">
        <w:rPr>
          <w:szCs w:val="21"/>
        </w:rPr>
        <w:t>の広</w:t>
      </w:r>
      <w:r w:rsidR="00B16DBC" w:rsidRPr="003926E7">
        <w:rPr>
          <w:rFonts w:hint="eastAsia"/>
          <w:szCs w:val="21"/>
        </w:rPr>
        <w:t>い</w:t>
      </w:r>
      <w:r w:rsidRPr="003926E7">
        <w:rPr>
          <w:szCs w:val="21"/>
        </w:rPr>
        <w:t>範囲を描くことが重要と考える</w:t>
      </w:r>
      <w:r w:rsidR="002E6D3E">
        <w:rPr>
          <w:rStyle w:val="ac"/>
          <w:szCs w:val="21"/>
        </w:rPr>
        <w:footnoteReference w:id="19"/>
      </w:r>
      <w:r w:rsidR="000609C2" w:rsidRPr="003926E7">
        <w:rPr>
          <w:spacing w:val="-48"/>
          <w:position w:val="8"/>
          <w:szCs w:val="21"/>
        </w:rPr>
        <w:t xml:space="preserve"> </w:t>
      </w:r>
      <w:r w:rsidR="00B16DBC" w:rsidRPr="003926E7">
        <w:rPr>
          <w:rFonts w:hint="eastAsia"/>
          <w:szCs w:val="21"/>
        </w:rPr>
        <w:t>。</w:t>
      </w:r>
      <w:r w:rsidR="00AD5B55" w:rsidRPr="003926E7">
        <w:rPr>
          <w:rFonts w:hint="eastAsia"/>
          <w:szCs w:val="21"/>
        </w:rPr>
        <w:t>そこで提案する。</w:t>
      </w:r>
    </w:p>
    <w:p w14:paraId="3D6E21B5" w14:textId="6919DA0E" w:rsidR="00FE44B7" w:rsidRPr="003926E7" w:rsidRDefault="00AD5B55" w:rsidP="002D0DD3">
      <w:pPr>
        <w:ind w:firstLineChars="100" w:firstLine="210"/>
        <w:rPr>
          <w:szCs w:val="21"/>
        </w:rPr>
      </w:pPr>
      <w:r w:rsidRPr="003926E7">
        <w:rPr>
          <w:rFonts w:hint="eastAsia"/>
          <w:szCs w:val="21"/>
        </w:rPr>
        <w:t>「</w:t>
      </w:r>
      <w:r w:rsidR="00FE44B7" w:rsidRPr="003926E7">
        <w:rPr>
          <w:szCs w:val="21"/>
        </w:rPr>
        <w:t xml:space="preserve">54. </w:t>
      </w:r>
      <w:r w:rsidRPr="003926E7">
        <w:rPr>
          <w:rFonts w:hint="eastAsia"/>
          <w:szCs w:val="21"/>
        </w:rPr>
        <w:t>分かりやすい版の</w:t>
      </w:r>
      <w:r w:rsidR="00FE44B7" w:rsidRPr="003926E7">
        <w:rPr>
          <w:szCs w:val="21"/>
        </w:rPr>
        <w:t>資料、平易な言語、</w:t>
      </w:r>
      <w:r w:rsidR="00FE44B7" w:rsidRPr="003926E7">
        <w:rPr>
          <w:b/>
          <w:bCs/>
          <w:szCs w:val="21"/>
        </w:rPr>
        <w:t>コミュニケーション・アクセシビリティのような認知的なスロープ</w:t>
      </w:r>
      <w:r w:rsidRPr="003926E7">
        <w:rPr>
          <w:rFonts w:hint="eastAsia"/>
          <w:b/>
          <w:bCs/>
          <w:szCs w:val="21"/>
        </w:rPr>
        <w:t>（</w:t>
      </w:r>
      <w:r w:rsidRPr="003926E7">
        <w:rPr>
          <w:b/>
          <w:bCs/>
          <w:szCs w:val="21"/>
        </w:rPr>
        <w:t>cognitive ramps</w:t>
      </w:r>
      <w:r w:rsidRPr="003926E7">
        <w:rPr>
          <w:rFonts w:hint="eastAsia"/>
          <w:b/>
          <w:bCs/>
          <w:szCs w:val="21"/>
        </w:rPr>
        <w:t>）</w:t>
      </w:r>
      <w:r w:rsidR="00FE44B7" w:rsidRPr="003926E7">
        <w:rPr>
          <w:b/>
          <w:bCs/>
          <w:szCs w:val="21"/>
        </w:rPr>
        <w:t>、期限の延長や調整、手続き上の形式的な調整</w:t>
      </w:r>
      <w:r w:rsidR="00E80DC1" w:rsidRPr="003926E7">
        <w:rPr>
          <w:rFonts w:hint="eastAsia"/>
          <w:b/>
          <w:bCs/>
          <w:szCs w:val="21"/>
        </w:rPr>
        <w:t>などの</w:t>
      </w:r>
      <w:r w:rsidR="00E80DC1" w:rsidRPr="003926E7">
        <w:rPr>
          <w:b/>
          <w:bCs/>
          <w:szCs w:val="21"/>
        </w:rPr>
        <w:t>手続き上の柔軟性、</w:t>
      </w:r>
      <w:r w:rsidR="00FE44B7" w:rsidRPr="003926E7">
        <w:rPr>
          <w:szCs w:val="21"/>
        </w:rPr>
        <w:t>などの手続き</w:t>
      </w:r>
      <w:r w:rsidR="00E80DC1" w:rsidRPr="003926E7">
        <w:rPr>
          <w:rFonts w:hint="eastAsia"/>
          <w:szCs w:val="21"/>
        </w:rPr>
        <w:t>的配慮</w:t>
      </w:r>
      <w:r w:rsidR="00FE44B7" w:rsidRPr="003926E7">
        <w:rPr>
          <w:szCs w:val="21"/>
        </w:rPr>
        <w:t>を図るべきである</w:t>
      </w:r>
      <w:r w:rsidR="00511DDD">
        <w:rPr>
          <w:rStyle w:val="ac"/>
          <w:szCs w:val="21"/>
        </w:rPr>
        <w:footnoteReference w:id="20"/>
      </w:r>
      <w:r w:rsidR="00FE44B7" w:rsidRPr="003926E7">
        <w:rPr>
          <w:szCs w:val="21"/>
        </w:rPr>
        <w:t>。</w:t>
      </w:r>
      <w:r w:rsidR="00E80DC1" w:rsidRPr="003926E7">
        <w:rPr>
          <w:rFonts w:hint="eastAsia"/>
          <w:szCs w:val="21"/>
        </w:rPr>
        <w:t>」</w:t>
      </w:r>
    </w:p>
    <w:p w14:paraId="38C5A1AC" w14:textId="77777777" w:rsidR="00B42A13" w:rsidRPr="003926E7" w:rsidRDefault="00B42A13" w:rsidP="002D0DD3">
      <w:pPr>
        <w:pStyle w:val="a3"/>
        <w:spacing w:before="3"/>
        <w:rPr>
          <w:sz w:val="21"/>
          <w:szCs w:val="21"/>
        </w:rPr>
      </w:pPr>
    </w:p>
    <w:p w14:paraId="62C70CCF" w14:textId="77777777" w:rsidR="00E80DC1" w:rsidRPr="003926E7" w:rsidRDefault="00E80DC1" w:rsidP="002D0DD3">
      <w:pPr>
        <w:rPr>
          <w:b/>
          <w:bCs/>
          <w:szCs w:val="21"/>
        </w:rPr>
      </w:pPr>
      <w:r w:rsidRPr="003926E7">
        <w:rPr>
          <w:rFonts w:hint="eastAsia"/>
          <w:b/>
          <w:bCs/>
          <w:szCs w:val="21"/>
        </w:rPr>
        <w:t>パラグラフ</w:t>
      </w:r>
      <w:r w:rsidRPr="003926E7">
        <w:rPr>
          <w:b/>
          <w:bCs/>
          <w:szCs w:val="21"/>
        </w:rPr>
        <w:t xml:space="preserve"> 59</w:t>
      </w:r>
    </w:p>
    <w:p w14:paraId="0943562A" w14:textId="6E600F2E" w:rsidR="00E80DC1" w:rsidRPr="003926E7" w:rsidRDefault="00E80DC1" w:rsidP="002D0DD3">
      <w:pPr>
        <w:rPr>
          <w:szCs w:val="21"/>
        </w:rPr>
      </w:pPr>
      <w:r w:rsidRPr="003926E7">
        <w:rPr>
          <w:szCs w:val="21"/>
        </w:rPr>
        <w:t>16.</w:t>
      </w:r>
      <w:r w:rsidRPr="003926E7">
        <w:rPr>
          <w:szCs w:val="21"/>
        </w:rPr>
        <w:tab/>
        <w:t>DAIは、権利侵害とその原因との関連をよりよく反映するために、c)の部分をより明確にする必要があると提案</w:t>
      </w:r>
      <w:r w:rsidRPr="003926E7">
        <w:rPr>
          <w:rFonts w:hint="eastAsia"/>
          <w:szCs w:val="21"/>
        </w:rPr>
        <w:t>す</w:t>
      </w:r>
      <w:r w:rsidRPr="003926E7">
        <w:rPr>
          <w:szCs w:val="21"/>
        </w:rPr>
        <w:t>る</w:t>
      </w:r>
      <w:r w:rsidRPr="003926E7">
        <w:rPr>
          <w:rFonts w:hint="eastAsia"/>
          <w:szCs w:val="21"/>
        </w:rPr>
        <w:t>。</w:t>
      </w:r>
    </w:p>
    <w:p w14:paraId="711D95AB" w14:textId="669EF26D" w:rsidR="00FE44B7" w:rsidRPr="003926E7" w:rsidRDefault="00FE44B7" w:rsidP="002D0DD3">
      <w:pPr>
        <w:ind w:firstLineChars="50" w:firstLine="105"/>
        <w:rPr>
          <w:szCs w:val="21"/>
        </w:rPr>
      </w:pPr>
      <w:r w:rsidRPr="003926E7">
        <w:rPr>
          <w:rFonts w:hint="eastAsia"/>
          <w:szCs w:val="21"/>
        </w:rPr>
        <w:t>「</w:t>
      </w:r>
      <w:r w:rsidRPr="003926E7">
        <w:rPr>
          <w:szCs w:val="21"/>
        </w:rPr>
        <w:t>(c)［...］</w:t>
      </w:r>
      <w:r w:rsidRPr="003926E7">
        <w:rPr>
          <w:strike/>
          <w:szCs w:val="21"/>
        </w:rPr>
        <w:t>合理的</w:t>
      </w:r>
      <w:r w:rsidR="00E80DC1" w:rsidRPr="003926E7">
        <w:rPr>
          <w:rFonts w:hint="eastAsia"/>
          <w:strike/>
          <w:szCs w:val="21"/>
        </w:rPr>
        <w:t>配慮</w:t>
      </w:r>
      <w:r w:rsidRPr="003926E7">
        <w:rPr>
          <w:strike/>
          <w:szCs w:val="21"/>
        </w:rPr>
        <w:t>の不提供や地域社会での支援の不提供を含む、</w:t>
      </w:r>
      <w:r w:rsidRPr="003926E7">
        <w:rPr>
          <w:szCs w:val="21"/>
        </w:rPr>
        <w:t>障害を理由とする</w:t>
      </w:r>
      <w:r w:rsidR="00FD0910" w:rsidRPr="003926E7">
        <w:rPr>
          <w:szCs w:val="21"/>
        </w:rPr>
        <w:t>施設収容</w:t>
      </w:r>
      <w:r w:rsidRPr="003926E7">
        <w:rPr>
          <w:szCs w:val="21"/>
        </w:rPr>
        <w:t>や差別</w:t>
      </w:r>
      <w:r w:rsidR="00D23314" w:rsidRPr="003926E7">
        <w:rPr>
          <w:rFonts w:hint="eastAsia"/>
          <w:b/>
          <w:bCs/>
          <w:szCs w:val="21"/>
        </w:rPr>
        <w:t>（それぞれ、</w:t>
      </w:r>
      <w:r w:rsidR="00D23314" w:rsidRPr="003926E7">
        <w:rPr>
          <w:b/>
          <w:bCs/>
          <w:szCs w:val="21"/>
        </w:rPr>
        <w:t>地域社会での支援の不提供</w:t>
      </w:r>
      <w:r w:rsidR="00D23314" w:rsidRPr="003926E7">
        <w:rPr>
          <w:rFonts w:hint="eastAsia"/>
          <w:b/>
          <w:bCs/>
          <w:szCs w:val="21"/>
        </w:rPr>
        <w:t>、および</w:t>
      </w:r>
      <w:r w:rsidR="00D23314" w:rsidRPr="003926E7">
        <w:rPr>
          <w:b/>
          <w:bCs/>
          <w:szCs w:val="21"/>
        </w:rPr>
        <w:t>合理的</w:t>
      </w:r>
      <w:r w:rsidR="00D23314" w:rsidRPr="003926E7">
        <w:rPr>
          <w:rFonts w:hint="eastAsia"/>
          <w:b/>
          <w:bCs/>
          <w:szCs w:val="21"/>
        </w:rPr>
        <w:t>配慮</w:t>
      </w:r>
      <w:r w:rsidR="00D23314" w:rsidRPr="003926E7">
        <w:rPr>
          <w:b/>
          <w:bCs/>
          <w:szCs w:val="21"/>
        </w:rPr>
        <w:t>の不提供</w:t>
      </w:r>
      <w:r w:rsidR="00D23314" w:rsidRPr="003926E7">
        <w:rPr>
          <w:rFonts w:hint="eastAsia"/>
          <w:b/>
          <w:bCs/>
          <w:szCs w:val="21"/>
        </w:rPr>
        <w:t>）</w:t>
      </w:r>
      <w:r w:rsidRPr="003926E7">
        <w:rPr>
          <w:szCs w:val="21"/>
        </w:rPr>
        <w:t>に対して、</w:t>
      </w:r>
      <w:r w:rsidR="00D23314" w:rsidRPr="003926E7">
        <w:rPr>
          <w:rFonts w:hint="eastAsia"/>
          <w:szCs w:val="21"/>
        </w:rPr>
        <w:t>」</w:t>
      </w:r>
    </w:p>
    <w:p w14:paraId="211ECF6C" w14:textId="77777777" w:rsidR="00B42A13" w:rsidRPr="003926E7" w:rsidRDefault="00B42A13" w:rsidP="002D0DD3">
      <w:pPr>
        <w:pStyle w:val="a3"/>
        <w:spacing w:before="8"/>
        <w:rPr>
          <w:b/>
          <w:sz w:val="21"/>
          <w:szCs w:val="21"/>
          <w:lang w:eastAsia="ja-JP"/>
        </w:rPr>
      </w:pPr>
    </w:p>
    <w:p w14:paraId="59246E72" w14:textId="77777777" w:rsidR="00FE44B7" w:rsidRPr="003926E7" w:rsidRDefault="00FE44B7" w:rsidP="002D0DD3">
      <w:pPr>
        <w:rPr>
          <w:b/>
          <w:bCs/>
          <w:szCs w:val="21"/>
        </w:rPr>
      </w:pPr>
      <w:r w:rsidRPr="003926E7">
        <w:rPr>
          <w:rFonts w:hint="eastAsia"/>
          <w:b/>
          <w:bCs/>
          <w:szCs w:val="21"/>
        </w:rPr>
        <w:t>パラグラフ</w:t>
      </w:r>
      <w:r w:rsidRPr="003926E7">
        <w:rPr>
          <w:b/>
          <w:bCs/>
          <w:szCs w:val="21"/>
        </w:rPr>
        <w:t>73</w:t>
      </w:r>
    </w:p>
    <w:p w14:paraId="65ADF0CA" w14:textId="3D68A043" w:rsidR="00FE44B7" w:rsidRPr="003926E7" w:rsidRDefault="00FE44B7" w:rsidP="002D0DD3">
      <w:pPr>
        <w:rPr>
          <w:szCs w:val="21"/>
        </w:rPr>
      </w:pPr>
      <w:r w:rsidRPr="003926E7">
        <w:rPr>
          <w:szCs w:val="21"/>
        </w:rPr>
        <w:t>17.</w:t>
      </w:r>
      <w:r w:rsidRPr="003926E7">
        <w:rPr>
          <w:szCs w:val="21"/>
        </w:rPr>
        <w:tab/>
        <w:t>第2文節は過度に断定的であり、医学的専門知識の恩恵を受ける可能性を妨げている</w:t>
      </w:r>
      <w:r w:rsidR="00DB3A70" w:rsidRPr="003926E7">
        <w:rPr>
          <w:rFonts w:hint="eastAsia"/>
          <w:szCs w:val="21"/>
        </w:rPr>
        <w:t>。</w:t>
      </w:r>
    </w:p>
    <w:p w14:paraId="136CF56B" w14:textId="0D644459" w:rsidR="00340104" w:rsidRPr="003926E7" w:rsidRDefault="00DB3A70" w:rsidP="00340104">
      <w:pPr>
        <w:ind w:firstLineChars="100" w:firstLine="210"/>
        <w:rPr>
          <w:szCs w:val="21"/>
        </w:rPr>
      </w:pPr>
      <w:r w:rsidRPr="003926E7">
        <w:rPr>
          <w:rFonts w:hint="eastAsia"/>
          <w:szCs w:val="21"/>
        </w:rPr>
        <w:t>「</w:t>
      </w:r>
      <w:r w:rsidR="00FE44B7" w:rsidRPr="003926E7">
        <w:rPr>
          <w:szCs w:val="21"/>
        </w:rPr>
        <w:t>72. ... 締約国は、新たなニーズ評価ツールを開発する際に、医学的基準の使用</w:t>
      </w:r>
      <w:r w:rsidR="00FE44B7" w:rsidRPr="003926E7">
        <w:rPr>
          <w:b/>
          <w:bCs/>
          <w:szCs w:val="21"/>
        </w:rPr>
        <w:t>のみに依存すべきではなく、また、主に</w:t>
      </w:r>
      <w:r w:rsidR="00FE44B7" w:rsidRPr="003926E7">
        <w:rPr>
          <w:szCs w:val="21"/>
        </w:rPr>
        <w:t>依存すべきではない。また、医療専門</w:t>
      </w:r>
      <w:r w:rsidRPr="003926E7">
        <w:rPr>
          <w:rFonts w:hint="eastAsia"/>
          <w:szCs w:val="21"/>
        </w:rPr>
        <w:t>職</w:t>
      </w:r>
      <w:r w:rsidR="00FE44B7" w:rsidRPr="003926E7">
        <w:rPr>
          <w:szCs w:val="21"/>
        </w:rPr>
        <w:t>は、</w:t>
      </w:r>
      <w:r w:rsidR="00FE44B7" w:rsidRPr="003926E7">
        <w:rPr>
          <w:b/>
          <w:bCs/>
          <w:szCs w:val="21"/>
        </w:rPr>
        <w:t>評価に関与する他の専門</w:t>
      </w:r>
      <w:r w:rsidRPr="003926E7">
        <w:rPr>
          <w:rFonts w:hint="eastAsia"/>
          <w:b/>
          <w:bCs/>
          <w:szCs w:val="21"/>
        </w:rPr>
        <w:t>職</w:t>
      </w:r>
      <w:r w:rsidR="00FE44B7" w:rsidRPr="003926E7">
        <w:rPr>
          <w:b/>
          <w:bCs/>
          <w:szCs w:val="21"/>
        </w:rPr>
        <w:t>よりも優越的または上位の地位を付与されるべきではなく、</w:t>
      </w:r>
      <w:r w:rsidR="006940E9">
        <w:rPr>
          <w:b/>
          <w:bCs/>
          <w:szCs w:val="21"/>
        </w:rPr>
        <w:t>障害のある人</w:t>
      </w:r>
      <w:r w:rsidR="00FE44B7" w:rsidRPr="003926E7">
        <w:rPr>
          <w:b/>
          <w:bCs/>
          <w:szCs w:val="21"/>
        </w:rPr>
        <w:t>に対するいかなる決定権も</w:t>
      </w:r>
      <w:r w:rsidRPr="003926E7">
        <w:rPr>
          <w:rFonts w:hint="eastAsia"/>
          <w:b/>
          <w:bCs/>
          <w:szCs w:val="21"/>
        </w:rPr>
        <w:t>持つ</w:t>
      </w:r>
      <w:r w:rsidR="00FE44B7" w:rsidRPr="003926E7">
        <w:rPr>
          <w:b/>
          <w:bCs/>
          <w:szCs w:val="21"/>
        </w:rPr>
        <w:t>べきではない</w:t>
      </w:r>
      <w:r w:rsidR="00FE44B7" w:rsidRPr="003926E7">
        <w:rPr>
          <w:szCs w:val="21"/>
        </w:rPr>
        <w:t>。</w:t>
      </w:r>
      <w:r w:rsidR="00340104" w:rsidRPr="003926E7">
        <w:rPr>
          <w:rFonts w:hint="eastAsia"/>
          <w:szCs w:val="21"/>
        </w:rPr>
        <w:t>」</w:t>
      </w:r>
    </w:p>
    <w:p w14:paraId="4DD9D297" w14:textId="77777777" w:rsidR="00511DDD" w:rsidRDefault="00511DDD" w:rsidP="002D0DD3">
      <w:pPr>
        <w:rPr>
          <w:rFonts w:ascii="Tahoma" w:hAnsi="Tahoma" w:cs="Tahoma"/>
          <w:b/>
          <w:bCs/>
          <w:w w:val="85"/>
          <w:szCs w:val="21"/>
        </w:rPr>
      </w:pPr>
    </w:p>
    <w:p w14:paraId="49F9CFB4" w14:textId="65000C04" w:rsidR="00FE44B7" w:rsidRPr="003926E7" w:rsidRDefault="00FE44B7" w:rsidP="002D0DD3">
      <w:pPr>
        <w:rPr>
          <w:b/>
          <w:bCs/>
          <w:szCs w:val="21"/>
        </w:rPr>
      </w:pPr>
      <w:r w:rsidRPr="003926E7">
        <w:rPr>
          <w:rFonts w:hint="eastAsia"/>
          <w:b/>
          <w:bCs/>
          <w:szCs w:val="21"/>
        </w:rPr>
        <w:t>パラグラフ</w:t>
      </w:r>
      <w:r w:rsidRPr="003926E7">
        <w:rPr>
          <w:b/>
          <w:bCs/>
          <w:szCs w:val="21"/>
        </w:rPr>
        <w:t>75</w:t>
      </w:r>
    </w:p>
    <w:p w14:paraId="0FA20C9A" w14:textId="38D862DE" w:rsidR="00FE44B7" w:rsidRPr="003926E7" w:rsidRDefault="00FE44B7" w:rsidP="002D0DD3">
      <w:pPr>
        <w:rPr>
          <w:szCs w:val="21"/>
        </w:rPr>
      </w:pPr>
      <w:r w:rsidRPr="003926E7">
        <w:rPr>
          <w:szCs w:val="21"/>
        </w:rPr>
        <w:t>18.</w:t>
      </w:r>
      <w:r w:rsidRPr="003926E7">
        <w:rPr>
          <w:szCs w:val="21"/>
        </w:rPr>
        <w:tab/>
        <w:t>DAIはさらにこのように明確にすることを提案する</w:t>
      </w:r>
      <w:r w:rsidR="00DB3A70" w:rsidRPr="003926E7">
        <w:rPr>
          <w:rFonts w:hint="eastAsia"/>
          <w:szCs w:val="21"/>
        </w:rPr>
        <w:t>。</w:t>
      </w:r>
    </w:p>
    <w:p w14:paraId="56CA2C1D" w14:textId="19A7A00F" w:rsidR="00FE44B7" w:rsidRPr="003926E7" w:rsidRDefault="00DB3A70" w:rsidP="002D0DD3">
      <w:pPr>
        <w:ind w:firstLineChars="100" w:firstLine="210"/>
        <w:rPr>
          <w:szCs w:val="21"/>
        </w:rPr>
      </w:pPr>
      <w:r w:rsidRPr="003926E7">
        <w:rPr>
          <w:rFonts w:hint="eastAsia"/>
          <w:szCs w:val="21"/>
        </w:rPr>
        <w:lastRenderedPageBreak/>
        <w:t>「</w:t>
      </w:r>
      <w:r w:rsidR="00FE44B7" w:rsidRPr="003926E7">
        <w:rPr>
          <w:szCs w:val="21"/>
        </w:rPr>
        <w:t>75...</w:t>
      </w:r>
      <w:r w:rsidR="00FE44B7" w:rsidRPr="003926E7">
        <w:rPr>
          <w:b/>
          <w:bCs/>
          <w:szCs w:val="21"/>
        </w:rPr>
        <w:t>認知症者を含む</w:t>
      </w:r>
      <w:r w:rsidR="006940E9">
        <w:rPr>
          <w:b/>
          <w:bCs/>
          <w:szCs w:val="21"/>
        </w:rPr>
        <w:t>障害のある人</w:t>
      </w:r>
      <w:r w:rsidR="00FE44B7" w:rsidRPr="003926E7">
        <w:rPr>
          <w:b/>
          <w:bCs/>
          <w:szCs w:val="21"/>
        </w:rPr>
        <w:t>を</w:t>
      </w:r>
      <w:r w:rsidRPr="003926E7">
        <w:rPr>
          <w:rFonts w:hint="eastAsia"/>
          <w:b/>
          <w:bCs/>
          <w:szCs w:val="21"/>
        </w:rPr>
        <w:t>分離</w:t>
      </w:r>
      <w:r w:rsidR="00FE44B7" w:rsidRPr="003926E7">
        <w:rPr>
          <w:b/>
          <w:bCs/>
          <w:szCs w:val="21"/>
        </w:rPr>
        <w:t>する</w:t>
      </w:r>
      <w:r w:rsidR="00FE44B7" w:rsidRPr="003926E7">
        <w:rPr>
          <w:szCs w:val="21"/>
        </w:rPr>
        <w:t>デイケアセンターや、</w:t>
      </w:r>
      <w:r w:rsidR="00FE44B7" w:rsidRPr="003926E7">
        <w:rPr>
          <w:b/>
          <w:bCs/>
          <w:szCs w:val="21"/>
        </w:rPr>
        <w:t>地域社会へのアクセスや個別的な活動を通常侵害</w:t>
      </w:r>
      <w:r w:rsidRPr="003926E7">
        <w:rPr>
          <w:rFonts w:hint="eastAsia"/>
          <w:b/>
          <w:bCs/>
          <w:szCs w:val="21"/>
        </w:rPr>
        <w:t>し</w:t>
      </w:r>
      <w:r w:rsidR="00FE44B7" w:rsidRPr="003926E7">
        <w:rPr>
          <w:b/>
          <w:bCs/>
          <w:szCs w:val="21"/>
        </w:rPr>
        <w:t>、</w:t>
      </w:r>
      <w:r w:rsidRPr="003926E7">
        <w:rPr>
          <w:rFonts w:hint="eastAsia"/>
          <w:b/>
          <w:bCs/>
          <w:szCs w:val="21"/>
        </w:rPr>
        <w:t>日課</w:t>
      </w:r>
      <w:r w:rsidR="00FE44B7" w:rsidRPr="003926E7">
        <w:rPr>
          <w:b/>
          <w:bCs/>
          <w:szCs w:val="21"/>
        </w:rPr>
        <w:t>を強いる他のすべての施設環境</w:t>
      </w:r>
      <w:r w:rsidRPr="003926E7">
        <w:rPr>
          <w:szCs w:val="21"/>
        </w:rPr>
        <w:t>の利用</w:t>
      </w:r>
      <w:r w:rsidR="00FE44B7" w:rsidRPr="003926E7">
        <w:rPr>
          <w:szCs w:val="21"/>
        </w:rPr>
        <w:t>は、</w:t>
      </w:r>
      <w:r w:rsidRPr="003926E7">
        <w:rPr>
          <w:rFonts w:hint="eastAsia"/>
          <w:szCs w:val="21"/>
        </w:rPr>
        <w:t>父権主義的</w:t>
      </w:r>
      <w:r w:rsidR="00FE44B7" w:rsidRPr="003926E7">
        <w:rPr>
          <w:szCs w:val="21"/>
        </w:rPr>
        <w:t>であり、条約を遵守していない。</w:t>
      </w:r>
      <w:r w:rsidRPr="003926E7">
        <w:rPr>
          <w:rFonts w:hint="eastAsia"/>
          <w:szCs w:val="21"/>
        </w:rPr>
        <w:t>」</w:t>
      </w:r>
    </w:p>
    <w:p w14:paraId="6CB6D86F" w14:textId="77777777" w:rsidR="00B42A13" w:rsidRPr="003926E7" w:rsidRDefault="00B42A13" w:rsidP="002D0DD3">
      <w:pPr>
        <w:pStyle w:val="a3"/>
        <w:spacing w:before="6"/>
        <w:rPr>
          <w:sz w:val="21"/>
          <w:szCs w:val="21"/>
        </w:rPr>
      </w:pPr>
    </w:p>
    <w:p w14:paraId="636846A2" w14:textId="77777777" w:rsidR="00FE44B7" w:rsidRPr="003926E7" w:rsidRDefault="00FE44B7" w:rsidP="002D0DD3">
      <w:pPr>
        <w:rPr>
          <w:b/>
          <w:bCs/>
          <w:szCs w:val="21"/>
        </w:rPr>
      </w:pPr>
      <w:r w:rsidRPr="003926E7">
        <w:rPr>
          <w:rFonts w:hint="eastAsia"/>
          <w:b/>
          <w:bCs/>
          <w:szCs w:val="21"/>
        </w:rPr>
        <w:t>パラグラフ</w:t>
      </w:r>
      <w:r w:rsidRPr="003926E7">
        <w:rPr>
          <w:b/>
          <w:bCs/>
          <w:szCs w:val="21"/>
        </w:rPr>
        <w:t>83</w:t>
      </w:r>
    </w:p>
    <w:p w14:paraId="326A9A3B" w14:textId="4E224A94" w:rsidR="00FE44B7" w:rsidRPr="003926E7" w:rsidRDefault="00FE44B7" w:rsidP="002D0DD3">
      <w:pPr>
        <w:rPr>
          <w:szCs w:val="21"/>
        </w:rPr>
      </w:pPr>
      <w:r w:rsidRPr="003926E7">
        <w:rPr>
          <w:szCs w:val="21"/>
        </w:rPr>
        <w:t>19.</w:t>
      </w:r>
      <w:r w:rsidRPr="003926E7">
        <w:rPr>
          <w:szCs w:val="21"/>
        </w:rPr>
        <w:tab/>
        <w:t>DAI は「手頃な</w:t>
      </w:r>
      <w:r w:rsidR="00C43125" w:rsidRPr="003926E7">
        <w:rPr>
          <w:rFonts w:hint="eastAsia"/>
          <w:szCs w:val="21"/>
        </w:rPr>
        <w:t>値段</w:t>
      </w:r>
      <w:r w:rsidRPr="003926E7">
        <w:rPr>
          <w:szCs w:val="21"/>
        </w:rPr>
        <w:t>」</w:t>
      </w:r>
      <w:r w:rsidR="00C43125" w:rsidRPr="003926E7">
        <w:rPr>
          <w:rFonts w:hint="eastAsia"/>
          <w:szCs w:val="21"/>
        </w:rPr>
        <w:t>の</w:t>
      </w:r>
      <w:r w:rsidRPr="003926E7">
        <w:rPr>
          <w:szCs w:val="21"/>
        </w:rPr>
        <w:t>基準を追加することを提案する。</w:t>
      </w:r>
    </w:p>
    <w:p w14:paraId="3EAB9A0F" w14:textId="36620A00" w:rsidR="00FE44B7" w:rsidRPr="003926E7" w:rsidRDefault="00C43125" w:rsidP="002D0DD3">
      <w:pPr>
        <w:ind w:firstLineChars="100" w:firstLine="210"/>
        <w:rPr>
          <w:szCs w:val="21"/>
        </w:rPr>
      </w:pPr>
      <w:r w:rsidRPr="003926E7">
        <w:rPr>
          <w:rFonts w:hint="eastAsia"/>
          <w:szCs w:val="21"/>
        </w:rPr>
        <w:t>「</w:t>
      </w:r>
      <w:r w:rsidR="00FE44B7" w:rsidRPr="003926E7">
        <w:rPr>
          <w:szCs w:val="21"/>
        </w:rPr>
        <w:t>84. 締約国は、支援</w:t>
      </w:r>
      <w:r w:rsidRPr="003926E7">
        <w:rPr>
          <w:rFonts w:hint="eastAsia"/>
          <w:szCs w:val="21"/>
        </w:rPr>
        <w:t>機器</w:t>
      </w:r>
      <w:r w:rsidR="00FE44B7" w:rsidRPr="003926E7">
        <w:rPr>
          <w:szCs w:val="21"/>
        </w:rPr>
        <w:t>へのアクセス</w:t>
      </w:r>
      <w:r w:rsidR="00FE44B7" w:rsidRPr="003926E7">
        <w:rPr>
          <w:b/>
          <w:bCs/>
          <w:szCs w:val="21"/>
        </w:rPr>
        <w:t>および購入可能性</w:t>
      </w:r>
      <w:r w:rsidR="00FE44B7" w:rsidRPr="003926E7">
        <w:rPr>
          <w:szCs w:val="21"/>
        </w:rPr>
        <w:t>を高め、確保すべきである。</w:t>
      </w:r>
    </w:p>
    <w:p w14:paraId="6788A276" w14:textId="77777777" w:rsidR="00B42A13" w:rsidRPr="003926E7" w:rsidRDefault="00B42A13" w:rsidP="002D0DD3">
      <w:pPr>
        <w:pStyle w:val="a3"/>
        <w:spacing w:before="12"/>
        <w:rPr>
          <w:sz w:val="21"/>
          <w:szCs w:val="21"/>
          <w:lang w:eastAsia="ja-JP"/>
        </w:rPr>
      </w:pPr>
    </w:p>
    <w:p w14:paraId="13DC8374" w14:textId="7BDB8B19" w:rsidR="00FE44B7" w:rsidRPr="003926E7" w:rsidRDefault="00FE44B7" w:rsidP="002D0DD3">
      <w:pPr>
        <w:rPr>
          <w:b/>
          <w:bCs/>
          <w:szCs w:val="21"/>
        </w:rPr>
      </w:pPr>
      <w:r w:rsidRPr="003926E7">
        <w:rPr>
          <w:rFonts w:hint="eastAsia"/>
          <w:b/>
          <w:bCs/>
          <w:szCs w:val="21"/>
        </w:rPr>
        <w:t>パラグラフ</w:t>
      </w:r>
      <w:r w:rsidRPr="003926E7">
        <w:rPr>
          <w:b/>
          <w:bCs/>
          <w:szCs w:val="21"/>
        </w:rPr>
        <w:t xml:space="preserve"> 84</w:t>
      </w:r>
    </w:p>
    <w:p w14:paraId="0DABBFE0" w14:textId="7082BA85" w:rsidR="00FE44B7" w:rsidRPr="003926E7" w:rsidRDefault="00FE44B7" w:rsidP="002D0DD3">
      <w:pPr>
        <w:rPr>
          <w:szCs w:val="21"/>
        </w:rPr>
      </w:pPr>
      <w:r w:rsidRPr="003926E7">
        <w:rPr>
          <w:szCs w:val="21"/>
        </w:rPr>
        <w:t>20.</w:t>
      </w:r>
      <w:r w:rsidRPr="003926E7">
        <w:rPr>
          <w:szCs w:val="21"/>
        </w:rPr>
        <w:tab/>
      </w:r>
      <w:r w:rsidR="006940E9">
        <w:rPr>
          <w:szCs w:val="21"/>
        </w:rPr>
        <w:t>障害のある人</w:t>
      </w:r>
      <w:r w:rsidRPr="003926E7">
        <w:rPr>
          <w:szCs w:val="21"/>
        </w:rPr>
        <w:t>の社会</w:t>
      </w:r>
      <w:r w:rsidR="00C43125" w:rsidRPr="003926E7">
        <w:rPr>
          <w:rFonts w:hint="eastAsia"/>
          <w:szCs w:val="21"/>
        </w:rPr>
        <w:t>的</w:t>
      </w:r>
      <w:r w:rsidRPr="003926E7">
        <w:rPr>
          <w:szCs w:val="21"/>
        </w:rPr>
        <w:t>保護</w:t>
      </w:r>
      <w:r w:rsidR="00C43125" w:rsidRPr="003926E7">
        <w:rPr>
          <w:rFonts w:hint="eastAsia"/>
          <w:szCs w:val="21"/>
        </w:rPr>
        <w:t>（</w:t>
      </w:r>
      <w:r w:rsidR="00C43125" w:rsidRPr="003926E7">
        <w:rPr>
          <w:szCs w:val="21"/>
        </w:rPr>
        <w:t>social protection</w:t>
      </w:r>
      <w:r w:rsidR="00C43125" w:rsidRPr="003926E7">
        <w:rPr>
          <w:rFonts w:hint="eastAsia"/>
          <w:szCs w:val="21"/>
        </w:rPr>
        <w:t>）</w:t>
      </w:r>
      <w:r w:rsidRPr="003926E7">
        <w:rPr>
          <w:szCs w:val="21"/>
        </w:rPr>
        <w:t>の概念と目的をより明確に区別するために、DAI はパラグラフ 84 と 85 の文言の改訂を提案する。</w:t>
      </w:r>
    </w:p>
    <w:p w14:paraId="10ECB9D6" w14:textId="79ABFCB3" w:rsidR="00FE44B7" w:rsidRPr="003926E7" w:rsidRDefault="00C43125" w:rsidP="002D0DD3">
      <w:pPr>
        <w:ind w:firstLineChars="100" w:firstLine="210"/>
        <w:rPr>
          <w:szCs w:val="21"/>
        </w:rPr>
      </w:pPr>
      <w:r w:rsidRPr="003926E7">
        <w:rPr>
          <w:rFonts w:hint="eastAsia"/>
          <w:szCs w:val="21"/>
        </w:rPr>
        <w:t>「</w:t>
      </w:r>
      <w:r w:rsidR="00FE44B7" w:rsidRPr="003926E7">
        <w:rPr>
          <w:szCs w:val="21"/>
        </w:rPr>
        <w:t xml:space="preserve">84. </w:t>
      </w:r>
      <w:r w:rsidRPr="003926E7">
        <w:rPr>
          <w:rFonts w:hint="eastAsia"/>
          <w:b/>
          <w:bCs/>
          <w:szCs w:val="21"/>
        </w:rPr>
        <w:t>死亡した施設収容者の</w:t>
      </w:r>
      <w:r w:rsidRPr="003926E7">
        <w:rPr>
          <w:b/>
          <w:bCs/>
          <w:szCs w:val="21"/>
        </w:rPr>
        <w:t>家族またはケアパートナーを含む</w:t>
      </w:r>
      <w:r w:rsidRPr="003926E7">
        <w:rPr>
          <w:rFonts w:hint="eastAsia"/>
          <w:b/>
          <w:bCs/>
          <w:szCs w:val="21"/>
        </w:rPr>
        <w:t>、</w:t>
      </w:r>
      <w:r w:rsidR="00FE44B7" w:rsidRPr="003926E7">
        <w:rPr>
          <w:b/>
          <w:bCs/>
          <w:szCs w:val="21"/>
        </w:rPr>
        <w:t>施設収容</w:t>
      </w:r>
      <w:r w:rsidRPr="003926E7">
        <w:rPr>
          <w:rFonts w:hint="eastAsia"/>
          <w:b/>
          <w:bCs/>
          <w:szCs w:val="21"/>
        </w:rPr>
        <w:t>の生還者あるいは被害者</w:t>
      </w:r>
      <w:r w:rsidR="005F15CC" w:rsidRPr="003926E7">
        <w:rPr>
          <w:rFonts w:hint="eastAsia"/>
          <w:b/>
          <w:bCs/>
          <w:szCs w:val="21"/>
        </w:rPr>
        <w:t>である</w:t>
      </w:r>
      <w:r w:rsidR="006940E9">
        <w:rPr>
          <w:rFonts w:hint="eastAsia"/>
          <w:szCs w:val="21"/>
        </w:rPr>
        <w:t>障害のある人</w:t>
      </w:r>
      <w:r w:rsidR="00FE44B7" w:rsidRPr="003926E7">
        <w:rPr>
          <w:szCs w:val="21"/>
        </w:rPr>
        <w:t>は、</w:t>
      </w:r>
      <w:r w:rsidR="005F15CC" w:rsidRPr="003926E7">
        <w:rPr>
          <w:rFonts w:hint="eastAsia"/>
          <w:strike/>
          <w:szCs w:val="21"/>
        </w:rPr>
        <w:t>代替所得</w:t>
      </w:r>
      <w:r w:rsidR="005F15CC" w:rsidRPr="003926E7">
        <w:rPr>
          <w:rFonts w:hint="eastAsia"/>
          <w:b/>
          <w:bCs/>
          <w:szCs w:val="21"/>
        </w:rPr>
        <w:t>基礎的所得保障、医療費と</w:t>
      </w:r>
      <w:r w:rsidR="00FE44B7" w:rsidRPr="003926E7">
        <w:rPr>
          <w:szCs w:val="21"/>
        </w:rPr>
        <w:t>障害関連費用をカバーする、個別かつ直接的な資金提供を受けるべきである。</w:t>
      </w:r>
      <w:r w:rsidRPr="003926E7">
        <w:rPr>
          <w:rFonts w:hint="eastAsia"/>
          <w:szCs w:val="21"/>
        </w:rPr>
        <w:t>」</w:t>
      </w:r>
    </w:p>
    <w:p w14:paraId="75878C48" w14:textId="77777777" w:rsidR="00FE44B7" w:rsidRPr="003926E7" w:rsidRDefault="00FE44B7" w:rsidP="002D0DD3">
      <w:pPr>
        <w:spacing w:before="121"/>
        <w:ind w:left="119" w:right="119"/>
        <w:rPr>
          <w:szCs w:val="21"/>
        </w:rPr>
      </w:pPr>
    </w:p>
    <w:p w14:paraId="239C2562" w14:textId="77777777" w:rsidR="00B42A13" w:rsidRPr="003926E7" w:rsidRDefault="00B42A13" w:rsidP="002D0DD3">
      <w:pPr>
        <w:rPr>
          <w:b/>
          <w:bCs/>
          <w:szCs w:val="21"/>
        </w:rPr>
      </w:pPr>
      <w:r w:rsidRPr="003926E7">
        <w:rPr>
          <w:rFonts w:hint="eastAsia"/>
          <w:b/>
          <w:bCs/>
          <w:szCs w:val="21"/>
        </w:rPr>
        <w:t>詳細は下記まで：</w:t>
      </w:r>
    </w:p>
    <w:p w14:paraId="6172DD53" w14:textId="33CC9D64" w:rsidR="00B42A13" w:rsidRPr="003926E7" w:rsidRDefault="00B42A13" w:rsidP="002D0DD3">
      <w:pPr>
        <w:rPr>
          <w:szCs w:val="21"/>
        </w:rPr>
      </w:pPr>
      <w:r w:rsidRPr="003926E7">
        <w:rPr>
          <w:rFonts w:hint="eastAsia"/>
          <w:szCs w:val="21"/>
        </w:rPr>
        <w:t>ケイト・スワッファー（</w:t>
      </w:r>
      <w:r w:rsidRPr="003926E7">
        <w:rPr>
          <w:szCs w:val="21"/>
        </w:rPr>
        <w:t>kateswaffer@infodai.org 人権アドバイザー、</w:t>
      </w:r>
      <w:r w:rsidR="005F15CC" w:rsidRPr="003926E7">
        <w:rPr>
          <w:rFonts w:hint="eastAsia"/>
          <w:szCs w:val="21"/>
        </w:rPr>
        <w:t>国際認知症連盟</w:t>
      </w:r>
      <w:r w:rsidRPr="003926E7">
        <w:rPr>
          <w:szCs w:val="21"/>
        </w:rPr>
        <w:t>共同設立者</w:t>
      </w:r>
      <w:r w:rsidR="005F15CC" w:rsidRPr="003926E7">
        <w:rPr>
          <w:rFonts w:hint="eastAsia"/>
          <w:szCs w:val="21"/>
        </w:rPr>
        <w:t>）</w:t>
      </w:r>
    </w:p>
    <w:p w14:paraId="67E09548" w14:textId="0EA1B191" w:rsidR="00B42A13" w:rsidRPr="003926E7" w:rsidRDefault="00B42A13" w:rsidP="002D0DD3">
      <w:pPr>
        <w:rPr>
          <w:szCs w:val="21"/>
        </w:rPr>
      </w:pPr>
      <w:r w:rsidRPr="003926E7">
        <w:rPr>
          <w:rFonts w:hint="eastAsia"/>
          <w:szCs w:val="21"/>
        </w:rPr>
        <w:t>郵便番号</w:t>
      </w:r>
      <w:r w:rsidRPr="003926E7">
        <w:rPr>
          <w:szCs w:val="21"/>
        </w:rPr>
        <w:t xml:space="preserve"> C/- Patrick with Durio &amp; Korpal, P.C. 6575 West Loop S, Ste 400, Bellaire TX 77401-3512</w:t>
      </w:r>
    </w:p>
    <w:p w14:paraId="7E2312DD" w14:textId="77777777" w:rsidR="00B42A13" w:rsidRPr="003926E7" w:rsidRDefault="00B42A13" w:rsidP="002D0DD3">
      <w:pPr>
        <w:rPr>
          <w:szCs w:val="21"/>
        </w:rPr>
      </w:pPr>
    </w:p>
    <w:p w14:paraId="72763DF5" w14:textId="5484ECFE" w:rsidR="005F15CC" w:rsidRPr="003926E7" w:rsidRDefault="005F15CC" w:rsidP="002D0DD3">
      <w:pPr>
        <w:jc w:val="right"/>
        <w:rPr>
          <w:szCs w:val="21"/>
        </w:rPr>
      </w:pPr>
      <w:r w:rsidRPr="003926E7">
        <w:rPr>
          <w:rFonts w:hint="eastAsia"/>
          <w:szCs w:val="21"/>
        </w:rPr>
        <w:t>（翻訳：佐藤久夫、</w:t>
      </w:r>
      <w:r w:rsidR="00D6191F" w:rsidRPr="003926E7">
        <w:rPr>
          <w:rFonts w:hint="eastAsia"/>
          <w:szCs w:val="21"/>
        </w:rPr>
        <w:t>尾上裕亮</w:t>
      </w:r>
      <w:r w:rsidRPr="003926E7">
        <w:rPr>
          <w:rFonts w:hint="eastAsia"/>
          <w:szCs w:val="21"/>
        </w:rPr>
        <w:t>）</w:t>
      </w:r>
    </w:p>
    <w:sectPr w:rsidR="005F15CC" w:rsidRPr="003926E7" w:rsidSect="005F15CC">
      <w:footerReference w:type="default" r:id="rId9"/>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006A" w14:textId="77777777" w:rsidR="0060477D" w:rsidRDefault="0060477D" w:rsidP="00C25900">
      <w:r>
        <w:separator/>
      </w:r>
    </w:p>
  </w:endnote>
  <w:endnote w:type="continuationSeparator" w:id="0">
    <w:p w14:paraId="2EEC89CA" w14:textId="77777777" w:rsidR="0060477D" w:rsidRDefault="0060477D" w:rsidP="00C2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E712" w14:textId="77777777" w:rsidR="00542633" w:rsidRDefault="00A20061">
    <w:pPr>
      <w:pStyle w:val="a3"/>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1B22AC9E" wp14:editId="1C44ED5C">
              <wp:simplePos x="0" y="0"/>
              <wp:positionH relativeFrom="page">
                <wp:posOffset>7002780</wp:posOffset>
              </wp:positionH>
              <wp:positionV relativeFrom="page">
                <wp:posOffset>9427845</wp:posOffset>
              </wp:positionV>
              <wp:extent cx="14732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1A1DB" w14:textId="77777777" w:rsidR="00542633" w:rsidRDefault="00A20061">
                          <w:pPr>
                            <w:spacing w:before="20"/>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2AC9E" id="_x0000_t202" coordsize="21600,21600" o:spt="202" path="m,l,21600r21600,l21600,xe">
              <v:stroke joinstyle="miter"/>
              <v:path gradientshapeok="t" o:connecttype="rect"/>
            </v:shapetype>
            <v:shape id="Text Box 1" o:spid="_x0000_s1026" type="#_x0000_t202" style="position:absolute;margin-left:551.4pt;margin-top:742.35pt;width:11.6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" filled="f" stroked="f">
              <v:textbox inset="0,0,0,0">
                <w:txbxContent>
                  <w:p w14:paraId="0BC1A1DB" w14:textId="77777777" w:rsidR="00542633" w:rsidRDefault="00A20061">
                    <w:pPr>
                      <w:spacing w:before="20"/>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A0E4" w14:textId="77777777" w:rsidR="0060477D" w:rsidRDefault="0060477D" w:rsidP="00C25900">
      <w:r>
        <w:separator/>
      </w:r>
    </w:p>
  </w:footnote>
  <w:footnote w:type="continuationSeparator" w:id="0">
    <w:p w14:paraId="12F7224E" w14:textId="77777777" w:rsidR="0060477D" w:rsidRDefault="0060477D" w:rsidP="00C25900">
      <w:r>
        <w:continuationSeparator/>
      </w:r>
    </w:p>
  </w:footnote>
  <w:footnote w:id="1">
    <w:p w14:paraId="5C8D58FE" w14:textId="568EEE13" w:rsidR="003926E7" w:rsidRDefault="003926E7" w:rsidP="003926E7">
      <w:pPr>
        <w:spacing w:before="101" w:line="259" w:lineRule="auto"/>
        <w:ind w:left="119" w:right="278"/>
      </w:pPr>
      <w:r>
        <w:rPr>
          <w:rStyle w:val="ac"/>
        </w:rPr>
        <w:footnoteRef/>
      </w:r>
      <w:r>
        <w:t xml:space="preserve"> </w:t>
      </w:r>
      <w:r w:rsidRPr="00C25900">
        <w:rPr>
          <w:sz w:val="20"/>
          <w:szCs w:val="20"/>
        </w:rPr>
        <w:t>GBD</w:t>
      </w:r>
      <w:r>
        <w:rPr>
          <w:rFonts w:hint="eastAsia"/>
          <w:sz w:val="20"/>
          <w:szCs w:val="20"/>
        </w:rPr>
        <w:t>（</w:t>
      </w:r>
      <w:r w:rsidRPr="003926E7">
        <w:rPr>
          <w:sz w:val="20"/>
          <w:szCs w:val="20"/>
        </w:rPr>
        <w:t>Global Burden of Disease</w:t>
      </w:r>
      <w:r>
        <w:rPr>
          <w:rFonts w:hint="eastAsia"/>
          <w:sz w:val="20"/>
          <w:szCs w:val="20"/>
        </w:rPr>
        <w:t>）</w:t>
      </w:r>
      <w:r w:rsidRPr="00C25900">
        <w:rPr>
          <w:sz w:val="20"/>
          <w:szCs w:val="20"/>
        </w:rPr>
        <w:t>2019 認知症予測</w:t>
      </w:r>
      <w:r w:rsidRPr="00C25900">
        <w:rPr>
          <w:rFonts w:hint="eastAsia"/>
          <w:sz w:val="20"/>
          <w:szCs w:val="20"/>
        </w:rPr>
        <w:t>協力者</w:t>
      </w:r>
      <w:r w:rsidRPr="00C25900">
        <w:rPr>
          <w:sz w:val="20"/>
          <w:szCs w:val="20"/>
        </w:rPr>
        <w:t>。2019年の世界の認知症有病率の推定と2050年までの予測：世界疾病負担調査2019の分析。Lancet Public Health 2022; 7: e105-25.</w:t>
      </w:r>
    </w:p>
  </w:footnote>
  <w:footnote w:id="2">
    <w:p w14:paraId="61DF8602" w14:textId="32FB0384" w:rsidR="002E6D3E" w:rsidRDefault="002E6D3E">
      <w:pPr>
        <w:pStyle w:val="aa"/>
      </w:pPr>
      <w:r>
        <w:rPr>
          <w:rStyle w:val="ac"/>
        </w:rPr>
        <w:footnoteRef/>
      </w:r>
      <w:r>
        <w:t xml:space="preserve"> </w:t>
      </w:r>
      <w:r w:rsidRPr="002E6D3E">
        <w:t>Human Rights Council, Res. 47/15, PP20.</w:t>
      </w:r>
    </w:p>
  </w:footnote>
  <w:footnote w:id="3">
    <w:p w14:paraId="68D7DFF7" w14:textId="21784D81" w:rsidR="00835E62" w:rsidRPr="00835E62" w:rsidRDefault="00835E62" w:rsidP="00835E62">
      <w:pPr>
        <w:ind w:left="119"/>
        <w:rPr>
          <w:rFonts w:ascii="Calibri"/>
          <w:sz w:val="20"/>
        </w:rPr>
      </w:pPr>
      <w:r>
        <w:rPr>
          <w:rStyle w:val="ac"/>
        </w:rPr>
        <w:footnoteRef/>
      </w:r>
      <w:r>
        <w:t xml:space="preserve"> </w:t>
      </w:r>
      <w:r>
        <w:rPr>
          <w:rFonts w:ascii="Calibri"/>
          <w:sz w:val="20"/>
        </w:rPr>
        <w:t>Steele, L &amp; Swaffer, K (2022). Reparations for Harms Experience In Residential Aged Care, Health and Human Rights</w:t>
      </w:r>
      <w:r>
        <w:rPr>
          <w:rFonts w:ascii="Calibri"/>
          <w:spacing w:val="-43"/>
          <w:sz w:val="20"/>
        </w:rPr>
        <w:t xml:space="preserve"> </w:t>
      </w:r>
      <w:r>
        <w:rPr>
          <w:rFonts w:ascii="Calibri"/>
          <w:sz w:val="20"/>
        </w:rPr>
        <w:t>Journal,</w:t>
      </w:r>
      <w:r>
        <w:rPr>
          <w:rFonts w:ascii="Calibri"/>
          <w:spacing w:val="-3"/>
          <w:sz w:val="20"/>
        </w:rPr>
        <w:t xml:space="preserve"> </w:t>
      </w:r>
      <w:r>
        <w:rPr>
          <w:rFonts w:ascii="Calibri"/>
          <w:sz w:val="20"/>
        </w:rPr>
        <w:t>https://</w:t>
      </w:r>
      <w:hyperlink r:id="rId1">
        <w:r>
          <w:rPr>
            <w:rFonts w:ascii="Calibri"/>
            <w:sz w:val="20"/>
          </w:rPr>
          <w:t>www.hhrjournal.org/2022/06/reparations-for-harms-experienced-in-residential-aged-care/</w:t>
        </w:r>
      </w:hyperlink>
    </w:p>
  </w:footnote>
  <w:footnote w:id="4">
    <w:p w14:paraId="001F0F80" w14:textId="0A4E068B" w:rsidR="00835E62" w:rsidRPr="00835E62" w:rsidRDefault="00835E62" w:rsidP="00835E62">
      <w:pPr>
        <w:spacing w:before="79" w:line="256" w:lineRule="auto"/>
        <w:ind w:left="119" w:right="144"/>
        <w:jc w:val="left"/>
        <w:rPr>
          <w:rFonts w:ascii="Calibri"/>
          <w:sz w:val="20"/>
          <w:szCs w:val="20"/>
        </w:rPr>
      </w:pPr>
      <w:r>
        <w:rPr>
          <w:rStyle w:val="ac"/>
        </w:rPr>
        <w:footnoteRef/>
      </w:r>
      <w:r w:rsidRPr="00441605">
        <w:rPr>
          <w:rFonts w:ascii="Calibri"/>
          <w:sz w:val="20"/>
          <w:szCs w:val="20"/>
        </w:rPr>
        <w:t xml:space="preserve">World Health </w:t>
      </w:r>
      <w:proofErr w:type="spellStart"/>
      <w:r w:rsidRPr="00441605">
        <w:rPr>
          <w:rFonts w:ascii="Calibri"/>
          <w:sz w:val="20"/>
          <w:szCs w:val="20"/>
        </w:rPr>
        <w:t>Organisation</w:t>
      </w:r>
      <w:proofErr w:type="spellEnd"/>
      <w:r w:rsidRPr="00441605">
        <w:rPr>
          <w:rFonts w:ascii="Calibri"/>
          <w:sz w:val="20"/>
          <w:szCs w:val="20"/>
        </w:rPr>
        <w:t>, 2010, WHO Disability Assessment Schedule 2.0 (WHODAS 2.0),</w:t>
      </w:r>
      <w:r w:rsidRPr="00441605">
        <w:rPr>
          <w:rFonts w:ascii="Calibri"/>
          <w:spacing w:val="1"/>
          <w:sz w:val="20"/>
          <w:szCs w:val="20"/>
        </w:rPr>
        <w:t xml:space="preserve"> </w:t>
      </w:r>
      <w:r w:rsidRPr="00441605">
        <w:rPr>
          <w:rFonts w:ascii="Calibri"/>
          <w:spacing w:val="-1"/>
          <w:sz w:val="20"/>
          <w:szCs w:val="20"/>
        </w:rPr>
        <w:t>https://</w:t>
      </w:r>
      <w:hyperlink r:id="rId2">
        <w:r w:rsidRPr="00441605">
          <w:rPr>
            <w:rFonts w:ascii="Calibri"/>
            <w:spacing w:val="-1"/>
            <w:sz w:val="20"/>
            <w:szCs w:val="20"/>
          </w:rPr>
          <w:t>www.who.int/standards/classifications/international-classification-of-functioning-disability-and-health/who-</w:t>
        </w:r>
      </w:hyperlink>
      <w:r w:rsidRPr="00441605">
        <w:rPr>
          <w:rFonts w:ascii="Calibri"/>
          <w:sz w:val="20"/>
          <w:szCs w:val="20"/>
        </w:rPr>
        <w:t xml:space="preserve"> disability-assessment-schedule</w:t>
      </w:r>
    </w:p>
  </w:footnote>
  <w:footnote w:id="5">
    <w:p w14:paraId="7900C426" w14:textId="2EDE245F" w:rsidR="00835E62" w:rsidRPr="00777ADF" w:rsidRDefault="00835E62" w:rsidP="00777ADF">
      <w:pPr>
        <w:spacing w:line="246" w:lineRule="exact"/>
        <w:ind w:left="119"/>
        <w:rPr>
          <w:rFonts w:ascii="Calibri"/>
          <w:sz w:val="20"/>
          <w:szCs w:val="20"/>
        </w:rPr>
      </w:pPr>
      <w:r>
        <w:rPr>
          <w:rStyle w:val="ac"/>
        </w:rPr>
        <w:footnoteRef/>
      </w:r>
      <w:r>
        <w:t xml:space="preserve"> </w:t>
      </w:r>
      <w:r w:rsidRPr="006979A4">
        <w:rPr>
          <w:rFonts w:ascii="Calibri"/>
          <w:sz w:val="20"/>
          <w:szCs w:val="20"/>
        </w:rPr>
        <w:t>World</w:t>
      </w:r>
      <w:r w:rsidRPr="006979A4">
        <w:rPr>
          <w:rFonts w:ascii="Calibri"/>
          <w:spacing w:val="-6"/>
          <w:sz w:val="20"/>
          <w:szCs w:val="20"/>
        </w:rPr>
        <w:t xml:space="preserve"> </w:t>
      </w:r>
      <w:r w:rsidRPr="006979A4">
        <w:rPr>
          <w:rFonts w:ascii="Calibri"/>
          <w:sz w:val="20"/>
          <w:szCs w:val="20"/>
        </w:rPr>
        <w:t>Health</w:t>
      </w:r>
      <w:r w:rsidRPr="006979A4">
        <w:rPr>
          <w:rFonts w:ascii="Calibri"/>
          <w:spacing w:val="-6"/>
          <w:sz w:val="20"/>
          <w:szCs w:val="20"/>
        </w:rPr>
        <w:t xml:space="preserve"> </w:t>
      </w:r>
      <w:proofErr w:type="spellStart"/>
      <w:r w:rsidRPr="006979A4">
        <w:rPr>
          <w:rFonts w:ascii="Calibri"/>
          <w:sz w:val="20"/>
          <w:szCs w:val="20"/>
        </w:rPr>
        <w:t>Organisation</w:t>
      </w:r>
      <w:proofErr w:type="spellEnd"/>
      <w:r w:rsidRPr="006979A4">
        <w:rPr>
          <w:rFonts w:ascii="Calibri"/>
          <w:sz w:val="20"/>
          <w:szCs w:val="20"/>
        </w:rPr>
        <w:t>,</w:t>
      </w:r>
      <w:r w:rsidRPr="006979A4">
        <w:rPr>
          <w:rFonts w:ascii="Calibri"/>
          <w:spacing w:val="-5"/>
          <w:sz w:val="20"/>
          <w:szCs w:val="20"/>
        </w:rPr>
        <w:t xml:space="preserve"> </w:t>
      </w:r>
      <w:r w:rsidRPr="006979A4">
        <w:rPr>
          <w:rFonts w:ascii="Calibri"/>
          <w:sz w:val="20"/>
          <w:szCs w:val="20"/>
        </w:rPr>
        <w:t>2022,</w:t>
      </w:r>
      <w:r w:rsidRPr="006979A4">
        <w:rPr>
          <w:rFonts w:ascii="Calibri"/>
          <w:spacing w:val="-5"/>
          <w:sz w:val="20"/>
          <w:szCs w:val="20"/>
        </w:rPr>
        <w:t xml:space="preserve"> </w:t>
      </w:r>
      <w:r w:rsidRPr="006979A4">
        <w:rPr>
          <w:rFonts w:ascii="Calibri"/>
          <w:sz w:val="20"/>
          <w:szCs w:val="20"/>
        </w:rPr>
        <w:t>Dementia,</w:t>
      </w:r>
      <w:r w:rsidRPr="006979A4">
        <w:rPr>
          <w:rFonts w:ascii="Calibri"/>
          <w:spacing w:val="-6"/>
          <w:sz w:val="20"/>
          <w:szCs w:val="20"/>
        </w:rPr>
        <w:t xml:space="preserve"> </w:t>
      </w:r>
      <w:r w:rsidRPr="006979A4">
        <w:rPr>
          <w:rFonts w:ascii="Calibri"/>
          <w:sz w:val="20"/>
          <w:szCs w:val="20"/>
        </w:rPr>
        <w:t>https://</w:t>
      </w:r>
      <w:hyperlink r:id="rId3" w:anchor="tab%3Dtab_1">
        <w:r w:rsidRPr="006979A4">
          <w:rPr>
            <w:rFonts w:ascii="Calibri"/>
            <w:sz w:val="20"/>
            <w:szCs w:val="20"/>
          </w:rPr>
          <w:t>www.who.int/health-topics/dementia#tab=tab_1</w:t>
        </w:r>
      </w:hyperlink>
    </w:p>
  </w:footnote>
  <w:footnote w:id="6">
    <w:p w14:paraId="7BA165CC" w14:textId="428E9751" w:rsidR="00835E62" w:rsidRPr="00835E62" w:rsidRDefault="00835E62" w:rsidP="00835E62">
      <w:pPr>
        <w:spacing w:line="245" w:lineRule="exact"/>
        <w:ind w:left="119"/>
        <w:rPr>
          <w:rFonts w:ascii="Calibri"/>
          <w:sz w:val="20"/>
          <w:szCs w:val="20"/>
        </w:rPr>
      </w:pPr>
      <w:r>
        <w:rPr>
          <w:rStyle w:val="ac"/>
        </w:rPr>
        <w:footnoteRef/>
      </w:r>
      <w:r>
        <w:t xml:space="preserve"> </w:t>
      </w:r>
      <w:r w:rsidRPr="00452BF7">
        <w:rPr>
          <w:rFonts w:ascii="Calibri"/>
          <w:sz w:val="20"/>
          <w:szCs w:val="20"/>
        </w:rPr>
        <w:t>United</w:t>
      </w:r>
      <w:r w:rsidRPr="00452BF7">
        <w:rPr>
          <w:rFonts w:ascii="Calibri"/>
          <w:spacing w:val="-6"/>
          <w:sz w:val="20"/>
          <w:szCs w:val="20"/>
        </w:rPr>
        <w:t xml:space="preserve"> </w:t>
      </w:r>
      <w:r w:rsidRPr="00452BF7">
        <w:rPr>
          <w:rFonts w:ascii="Calibri"/>
          <w:sz w:val="20"/>
          <w:szCs w:val="20"/>
        </w:rPr>
        <w:t>Nations,</w:t>
      </w:r>
      <w:r w:rsidRPr="00452BF7">
        <w:rPr>
          <w:rFonts w:ascii="Calibri"/>
          <w:spacing w:val="-5"/>
          <w:sz w:val="20"/>
          <w:szCs w:val="20"/>
        </w:rPr>
        <w:t xml:space="preserve"> </w:t>
      </w:r>
      <w:r w:rsidRPr="00452BF7">
        <w:rPr>
          <w:rFonts w:ascii="Calibri"/>
          <w:sz w:val="20"/>
          <w:szCs w:val="20"/>
        </w:rPr>
        <w:t>2019,</w:t>
      </w:r>
      <w:r w:rsidRPr="00452BF7">
        <w:rPr>
          <w:rFonts w:ascii="Calibri"/>
          <w:spacing w:val="-6"/>
          <w:sz w:val="20"/>
          <w:szCs w:val="20"/>
        </w:rPr>
        <w:t xml:space="preserve"> </w:t>
      </w:r>
      <w:r w:rsidRPr="00452BF7">
        <w:rPr>
          <w:rFonts w:ascii="Calibri"/>
          <w:sz w:val="20"/>
          <w:szCs w:val="20"/>
        </w:rPr>
        <w:t>https://www.un.org/ga/search/view_doc.asp?symbol=A/74/186</w:t>
      </w:r>
    </w:p>
  </w:footnote>
  <w:footnote w:id="7">
    <w:p w14:paraId="56BD90E4" w14:textId="7631213E" w:rsidR="00835E62" w:rsidRPr="00777ADF" w:rsidRDefault="00835E62" w:rsidP="00777ADF">
      <w:pPr>
        <w:ind w:left="119" w:right="278"/>
        <w:jc w:val="left"/>
        <w:rPr>
          <w:rFonts w:ascii="Calibri"/>
          <w:sz w:val="20"/>
          <w:szCs w:val="20"/>
        </w:rPr>
      </w:pPr>
      <w:r>
        <w:rPr>
          <w:rStyle w:val="ac"/>
        </w:rPr>
        <w:footnoteRef/>
      </w:r>
      <w:r>
        <w:t xml:space="preserve"> </w:t>
      </w:r>
      <w:r w:rsidRPr="00452BF7">
        <w:rPr>
          <w:rFonts w:ascii="Calibri"/>
          <w:sz w:val="20"/>
          <w:szCs w:val="20"/>
        </w:rPr>
        <w:t>International Disability Alliance, Observer Members, https://</w:t>
      </w:r>
      <w:hyperlink r:id="rId4">
        <w:r w:rsidRPr="00452BF7">
          <w:rPr>
            <w:rFonts w:ascii="Calibri"/>
            <w:sz w:val="20"/>
            <w:szCs w:val="20"/>
          </w:rPr>
          <w:t>www.internationaldisabilityalliance.org/observer-</w:t>
        </w:r>
      </w:hyperlink>
      <w:r w:rsidRPr="00452BF7">
        <w:rPr>
          <w:rFonts w:ascii="Calibri"/>
          <w:spacing w:val="-43"/>
          <w:sz w:val="20"/>
          <w:szCs w:val="20"/>
        </w:rPr>
        <w:t xml:space="preserve"> </w:t>
      </w:r>
      <w:r w:rsidRPr="00452BF7">
        <w:rPr>
          <w:rFonts w:ascii="Calibri"/>
          <w:sz w:val="20"/>
          <w:szCs w:val="20"/>
        </w:rPr>
        <w:t>members</w:t>
      </w:r>
    </w:p>
  </w:footnote>
  <w:footnote w:id="8">
    <w:p w14:paraId="02139B54" w14:textId="57EDF3D9" w:rsidR="00777ADF" w:rsidRPr="00777ADF" w:rsidRDefault="00777ADF" w:rsidP="00777ADF">
      <w:pPr>
        <w:spacing w:line="242" w:lineRule="exact"/>
        <w:ind w:left="119"/>
        <w:rPr>
          <w:rFonts w:ascii="Calibri"/>
          <w:sz w:val="20"/>
          <w:szCs w:val="20"/>
        </w:rPr>
      </w:pPr>
      <w:r>
        <w:rPr>
          <w:rStyle w:val="ac"/>
        </w:rPr>
        <w:footnoteRef/>
      </w:r>
      <w:r>
        <w:t xml:space="preserve"> </w:t>
      </w:r>
      <w:r w:rsidRPr="00452BF7">
        <w:rPr>
          <w:rFonts w:ascii="Calibri"/>
          <w:color w:val="222222"/>
          <w:sz w:val="20"/>
          <w:szCs w:val="20"/>
        </w:rPr>
        <w:t>Grenfell,</w:t>
      </w:r>
      <w:r w:rsidRPr="00452BF7">
        <w:rPr>
          <w:rFonts w:ascii="Calibri"/>
          <w:color w:val="222222"/>
          <w:spacing w:val="-2"/>
          <w:sz w:val="20"/>
          <w:szCs w:val="20"/>
        </w:rPr>
        <w:t xml:space="preserve"> </w:t>
      </w:r>
      <w:r w:rsidRPr="00452BF7">
        <w:rPr>
          <w:rFonts w:ascii="Calibri"/>
          <w:color w:val="222222"/>
          <w:sz w:val="20"/>
          <w:szCs w:val="20"/>
        </w:rPr>
        <w:t>L.</w:t>
      </w:r>
      <w:r w:rsidRPr="00452BF7">
        <w:rPr>
          <w:rFonts w:ascii="Calibri"/>
          <w:color w:val="222222"/>
          <w:spacing w:val="-2"/>
          <w:sz w:val="20"/>
          <w:szCs w:val="20"/>
        </w:rPr>
        <w:t xml:space="preserve"> </w:t>
      </w:r>
      <w:r w:rsidRPr="00452BF7">
        <w:rPr>
          <w:rFonts w:ascii="Calibri"/>
          <w:color w:val="222222"/>
          <w:sz w:val="20"/>
          <w:szCs w:val="20"/>
        </w:rPr>
        <w:t>(2019).</w:t>
      </w:r>
      <w:r w:rsidRPr="00452BF7">
        <w:rPr>
          <w:rFonts w:ascii="Calibri"/>
          <w:color w:val="222222"/>
          <w:spacing w:val="-2"/>
          <w:sz w:val="20"/>
          <w:szCs w:val="20"/>
        </w:rPr>
        <w:t xml:space="preserve"> </w:t>
      </w:r>
      <w:r w:rsidRPr="00452BF7">
        <w:rPr>
          <w:rFonts w:ascii="Calibri"/>
          <w:color w:val="222222"/>
          <w:sz w:val="20"/>
          <w:szCs w:val="20"/>
        </w:rPr>
        <w:t>Aged</w:t>
      </w:r>
      <w:r w:rsidRPr="00452BF7">
        <w:rPr>
          <w:rFonts w:ascii="Calibri"/>
          <w:color w:val="222222"/>
          <w:spacing w:val="-2"/>
          <w:sz w:val="20"/>
          <w:szCs w:val="20"/>
        </w:rPr>
        <w:t xml:space="preserve"> </w:t>
      </w:r>
      <w:r w:rsidRPr="00452BF7">
        <w:rPr>
          <w:rFonts w:ascii="Calibri"/>
          <w:color w:val="222222"/>
          <w:sz w:val="20"/>
          <w:szCs w:val="20"/>
        </w:rPr>
        <w:t>care,</w:t>
      </w:r>
      <w:r w:rsidRPr="00452BF7">
        <w:rPr>
          <w:rFonts w:ascii="Calibri"/>
          <w:color w:val="222222"/>
          <w:spacing w:val="-2"/>
          <w:sz w:val="20"/>
          <w:szCs w:val="20"/>
        </w:rPr>
        <w:t xml:space="preserve"> </w:t>
      </w:r>
      <w:r w:rsidRPr="00452BF7">
        <w:rPr>
          <w:rFonts w:ascii="Calibri"/>
          <w:color w:val="222222"/>
          <w:sz w:val="20"/>
          <w:szCs w:val="20"/>
        </w:rPr>
        <w:t>detention</w:t>
      </w:r>
      <w:r w:rsidRPr="00452BF7">
        <w:rPr>
          <w:rFonts w:ascii="Calibri"/>
          <w:color w:val="222222"/>
          <w:spacing w:val="-2"/>
          <w:sz w:val="20"/>
          <w:szCs w:val="20"/>
        </w:rPr>
        <w:t xml:space="preserve"> </w:t>
      </w:r>
      <w:r w:rsidRPr="00452BF7">
        <w:rPr>
          <w:rFonts w:ascii="Calibri"/>
          <w:color w:val="222222"/>
          <w:sz w:val="20"/>
          <w:szCs w:val="20"/>
        </w:rPr>
        <w:t>and</w:t>
      </w:r>
      <w:r w:rsidRPr="00452BF7">
        <w:rPr>
          <w:rFonts w:ascii="Calibri"/>
          <w:color w:val="222222"/>
          <w:spacing w:val="-2"/>
          <w:sz w:val="20"/>
          <w:szCs w:val="20"/>
        </w:rPr>
        <w:t xml:space="preserve"> </w:t>
      </w:r>
      <w:r w:rsidRPr="00452BF7">
        <w:rPr>
          <w:rFonts w:ascii="Calibri"/>
          <w:color w:val="222222"/>
          <w:sz w:val="20"/>
          <w:szCs w:val="20"/>
        </w:rPr>
        <w:t>OPCAT.</w:t>
      </w:r>
      <w:r w:rsidRPr="00452BF7">
        <w:rPr>
          <w:rFonts w:ascii="Calibri"/>
          <w:color w:val="222222"/>
          <w:spacing w:val="-1"/>
          <w:sz w:val="20"/>
          <w:szCs w:val="20"/>
        </w:rPr>
        <w:t xml:space="preserve"> </w:t>
      </w:r>
      <w:r w:rsidRPr="00452BF7">
        <w:rPr>
          <w:rFonts w:ascii="Calibri"/>
          <w:i/>
          <w:color w:val="222222"/>
          <w:sz w:val="20"/>
          <w:szCs w:val="20"/>
        </w:rPr>
        <w:t>Australian</w:t>
      </w:r>
      <w:r w:rsidRPr="00452BF7">
        <w:rPr>
          <w:rFonts w:ascii="Calibri"/>
          <w:i/>
          <w:color w:val="222222"/>
          <w:spacing w:val="-2"/>
          <w:sz w:val="20"/>
          <w:szCs w:val="20"/>
        </w:rPr>
        <w:t xml:space="preserve"> </w:t>
      </w:r>
      <w:r w:rsidRPr="00452BF7">
        <w:rPr>
          <w:rFonts w:ascii="Calibri"/>
          <w:i/>
          <w:color w:val="222222"/>
          <w:sz w:val="20"/>
          <w:szCs w:val="20"/>
        </w:rPr>
        <w:t>Journal</w:t>
      </w:r>
      <w:r w:rsidRPr="00452BF7">
        <w:rPr>
          <w:rFonts w:ascii="Calibri"/>
          <w:i/>
          <w:color w:val="222222"/>
          <w:spacing w:val="-2"/>
          <w:sz w:val="20"/>
          <w:szCs w:val="20"/>
        </w:rPr>
        <w:t xml:space="preserve"> </w:t>
      </w:r>
      <w:r w:rsidRPr="00452BF7">
        <w:rPr>
          <w:rFonts w:ascii="Calibri"/>
          <w:i/>
          <w:color w:val="222222"/>
          <w:sz w:val="20"/>
          <w:szCs w:val="20"/>
        </w:rPr>
        <w:t>of</w:t>
      </w:r>
      <w:r w:rsidRPr="00452BF7">
        <w:rPr>
          <w:rFonts w:ascii="Calibri"/>
          <w:i/>
          <w:color w:val="222222"/>
          <w:spacing w:val="-2"/>
          <w:sz w:val="20"/>
          <w:szCs w:val="20"/>
        </w:rPr>
        <w:t xml:space="preserve"> </w:t>
      </w:r>
      <w:r w:rsidRPr="00452BF7">
        <w:rPr>
          <w:rFonts w:ascii="Calibri"/>
          <w:i/>
          <w:color w:val="222222"/>
          <w:sz w:val="20"/>
          <w:szCs w:val="20"/>
        </w:rPr>
        <w:t>Human</w:t>
      </w:r>
      <w:r w:rsidRPr="00452BF7">
        <w:rPr>
          <w:rFonts w:ascii="Calibri"/>
          <w:i/>
          <w:color w:val="222222"/>
          <w:spacing w:val="-2"/>
          <w:sz w:val="20"/>
          <w:szCs w:val="20"/>
        </w:rPr>
        <w:t xml:space="preserve"> </w:t>
      </w:r>
      <w:r w:rsidRPr="00452BF7">
        <w:rPr>
          <w:rFonts w:ascii="Calibri"/>
          <w:i/>
          <w:color w:val="222222"/>
          <w:sz w:val="20"/>
          <w:szCs w:val="20"/>
        </w:rPr>
        <w:t>Rights</w:t>
      </w:r>
      <w:r w:rsidRPr="00452BF7">
        <w:rPr>
          <w:rFonts w:ascii="Calibri"/>
          <w:color w:val="222222"/>
          <w:sz w:val="20"/>
          <w:szCs w:val="20"/>
        </w:rPr>
        <w:t>,</w:t>
      </w:r>
      <w:r w:rsidRPr="00452BF7">
        <w:rPr>
          <w:rFonts w:ascii="Calibri"/>
          <w:color w:val="222222"/>
          <w:spacing w:val="-2"/>
          <w:sz w:val="20"/>
          <w:szCs w:val="20"/>
        </w:rPr>
        <w:t xml:space="preserve"> </w:t>
      </w:r>
      <w:r w:rsidRPr="00452BF7">
        <w:rPr>
          <w:rFonts w:ascii="Calibri"/>
          <w:i/>
          <w:color w:val="222222"/>
          <w:sz w:val="20"/>
          <w:szCs w:val="20"/>
        </w:rPr>
        <w:t>25</w:t>
      </w:r>
      <w:r w:rsidRPr="00452BF7">
        <w:rPr>
          <w:rFonts w:ascii="Calibri"/>
          <w:color w:val="222222"/>
          <w:sz w:val="20"/>
          <w:szCs w:val="20"/>
        </w:rPr>
        <w:t>(2),</w:t>
      </w:r>
      <w:r w:rsidRPr="00452BF7">
        <w:rPr>
          <w:rFonts w:ascii="Calibri"/>
          <w:color w:val="222222"/>
          <w:spacing w:val="-2"/>
          <w:sz w:val="20"/>
          <w:szCs w:val="20"/>
        </w:rPr>
        <w:t xml:space="preserve"> </w:t>
      </w:r>
      <w:r w:rsidRPr="00452BF7">
        <w:rPr>
          <w:rFonts w:ascii="Calibri"/>
          <w:color w:val="222222"/>
          <w:sz w:val="20"/>
          <w:szCs w:val="20"/>
        </w:rPr>
        <w:t>248-262.</w:t>
      </w:r>
    </w:p>
  </w:footnote>
  <w:footnote w:id="9">
    <w:p w14:paraId="7E932544" w14:textId="0F5FE52C" w:rsidR="000609C2" w:rsidRPr="000609C2" w:rsidRDefault="000609C2" w:rsidP="000609C2">
      <w:pPr>
        <w:ind w:left="119"/>
        <w:rPr>
          <w:rFonts w:ascii="Calibri"/>
          <w:sz w:val="20"/>
          <w:szCs w:val="20"/>
        </w:rPr>
      </w:pPr>
      <w:r>
        <w:rPr>
          <w:rStyle w:val="ac"/>
        </w:rPr>
        <w:footnoteRef/>
      </w:r>
      <w:r>
        <w:t xml:space="preserve"> </w:t>
      </w:r>
      <w:r w:rsidRPr="00452BF7">
        <w:rPr>
          <w:rFonts w:ascii="Calibri"/>
          <w:sz w:val="20"/>
          <w:szCs w:val="20"/>
        </w:rPr>
        <w:t>Steele, L &amp; Swaffer, K (2022). Reparations for Harms Experience In Residential Aged Care, Health and Human Rights</w:t>
      </w:r>
      <w:r w:rsidRPr="00452BF7">
        <w:rPr>
          <w:rFonts w:ascii="Calibri"/>
          <w:spacing w:val="-43"/>
          <w:sz w:val="20"/>
          <w:szCs w:val="20"/>
        </w:rPr>
        <w:t xml:space="preserve"> </w:t>
      </w:r>
      <w:r w:rsidRPr="00452BF7">
        <w:rPr>
          <w:rFonts w:ascii="Calibri"/>
          <w:sz w:val="20"/>
          <w:szCs w:val="20"/>
        </w:rPr>
        <w:t>Journal,</w:t>
      </w:r>
      <w:r w:rsidRPr="00452BF7">
        <w:rPr>
          <w:rFonts w:ascii="Calibri"/>
          <w:spacing w:val="-3"/>
          <w:sz w:val="20"/>
          <w:szCs w:val="20"/>
        </w:rPr>
        <w:t xml:space="preserve"> </w:t>
      </w:r>
      <w:r w:rsidRPr="00452BF7">
        <w:rPr>
          <w:rFonts w:ascii="Calibri"/>
          <w:sz w:val="20"/>
          <w:szCs w:val="20"/>
        </w:rPr>
        <w:t>https://</w:t>
      </w:r>
      <w:hyperlink r:id="rId5">
        <w:r w:rsidRPr="00452BF7">
          <w:rPr>
            <w:rFonts w:ascii="Calibri"/>
            <w:sz w:val="20"/>
            <w:szCs w:val="20"/>
          </w:rPr>
          <w:t>www.hhrjournal.org/2022/06/reparations-for-harms-experienced-in-residential-aged-care/</w:t>
        </w:r>
      </w:hyperlink>
    </w:p>
  </w:footnote>
  <w:footnote w:id="10">
    <w:p w14:paraId="593BAEBA" w14:textId="6CE7757D" w:rsidR="000609C2" w:rsidRPr="000609C2" w:rsidRDefault="000609C2" w:rsidP="000609C2">
      <w:pPr>
        <w:ind w:left="119"/>
        <w:rPr>
          <w:rFonts w:ascii="Calibri" w:hAnsi="Calibri"/>
          <w:sz w:val="20"/>
          <w:szCs w:val="20"/>
        </w:rPr>
      </w:pPr>
      <w:r>
        <w:rPr>
          <w:rStyle w:val="ac"/>
        </w:rPr>
        <w:footnoteRef/>
      </w:r>
      <w:r>
        <w:t xml:space="preserve"> </w:t>
      </w:r>
      <w:r w:rsidRPr="00452BF7">
        <w:rPr>
          <w:rFonts w:ascii="Calibri" w:hAnsi="Calibri"/>
          <w:color w:val="222222"/>
          <w:sz w:val="20"/>
          <w:szCs w:val="20"/>
        </w:rPr>
        <w:t xml:space="preserve">Spivakovsky, C., Steele, L. and Weller, P. eds., 2020. </w:t>
      </w:r>
      <w:r w:rsidRPr="00452BF7">
        <w:rPr>
          <w:rFonts w:ascii="Calibri" w:hAnsi="Calibri"/>
          <w:i/>
          <w:color w:val="222222"/>
          <w:sz w:val="20"/>
          <w:szCs w:val="20"/>
        </w:rPr>
        <w:t xml:space="preserve">The Legacies of </w:t>
      </w:r>
      <w:proofErr w:type="spellStart"/>
      <w:r w:rsidRPr="00452BF7">
        <w:rPr>
          <w:rFonts w:ascii="Calibri" w:hAnsi="Calibri"/>
          <w:i/>
          <w:color w:val="222222"/>
          <w:sz w:val="20"/>
          <w:szCs w:val="20"/>
        </w:rPr>
        <w:t>Institutionalisation</w:t>
      </w:r>
      <w:proofErr w:type="spellEnd"/>
      <w:r w:rsidRPr="00452BF7">
        <w:rPr>
          <w:rFonts w:ascii="Calibri" w:hAnsi="Calibri"/>
          <w:i/>
          <w:color w:val="222222"/>
          <w:sz w:val="20"/>
          <w:szCs w:val="20"/>
        </w:rPr>
        <w:t>: disability, law and policy in</w:t>
      </w:r>
      <w:r w:rsidRPr="00452BF7">
        <w:rPr>
          <w:rFonts w:ascii="Calibri" w:hAnsi="Calibri"/>
          <w:i/>
          <w:color w:val="222222"/>
          <w:spacing w:val="-43"/>
          <w:sz w:val="20"/>
          <w:szCs w:val="20"/>
        </w:rPr>
        <w:t xml:space="preserve"> </w:t>
      </w:r>
      <w:r w:rsidRPr="00452BF7">
        <w:rPr>
          <w:rFonts w:ascii="Calibri" w:hAnsi="Calibri"/>
          <w:i/>
          <w:color w:val="222222"/>
          <w:sz w:val="20"/>
          <w:szCs w:val="20"/>
        </w:rPr>
        <w:t>the</w:t>
      </w:r>
      <w:r w:rsidRPr="00452BF7">
        <w:rPr>
          <w:rFonts w:ascii="Calibri" w:hAnsi="Calibri"/>
          <w:i/>
          <w:color w:val="222222"/>
          <w:spacing w:val="-2"/>
          <w:sz w:val="20"/>
          <w:szCs w:val="20"/>
        </w:rPr>
        <w:t xml:space="preserve"> </w:t>
      </w:r>
      <w:r w:rsidRPr="00452BF7">
        <w:rPr>
          <w:rFonts w:ascii="Calibri" w:hAnsi="Calibri"/>
          <w:i/>
          <w:color w:val="222222"/>
          <w:sz w:val="20"/>
          <w:szCs w:val="20"/>
        </w:rPr>
        <w:t>‘</w:t>
      </w:r>
      <w:proofErr w:type="spellStart"/>
      <w:r w:rsidRPr="00452BF7">
        <w:rPr>
          <w:rFonts w:ascii="Calibri" w:hAnsi="Calibri"/>
          <w:i/>
          <w:color w:val="222222"/>
          <w:sz w:val="20"/>
          <w:szCs w:val="20"/>
        </w:rPr>
        <w:t>deinstitutionalised</w:t>
      </w:r>
      <w:proofErr w:type="spellEnd"/>
      <w:r w:rsidRPr="00452BF7">
        <w:rPr>
          <w:rFonts w:ascii="Calibri" w:hAnsi="Calibri"/>
          <w:i/>
          <w:color w:val="222222"/>
          <w:sz w:val="20"/>
          <w:szCs w:val="20"/>
        </w:rPr>
        <w:t>’</w:t>
      </w:r>
      <w:r w:rsidRPr="00452BF7">
        <w:rPr>
          <w:rFonts w:ascii="Calibri" w:hAnsi="Calibri"/>
          <w:i/>
          <w:color w:val="222222"/>
          <w:spacing w:val="-1"/>
          <w:sz w:val="20"/>
          <w:szCs w:val="20"/>
        </w:rPr>
        <w:t xml:space="preserve"> </w:t>
      </w:r>
      <w:r w:rsidRPr="00452BF7">
        <w:rPr>
          <w:rFonts w:ascii="Calibri" w:hAnsi="Calibri"/>
          <w:i/>
          <w:color w:val="222222"/>
          <w:sz w:val="20"/>
          <w:szCs w:val="20"/>
        </w:rPr>
        <w:t>community</w:t>
      </w:r>
      <w:r w:rsidRPr="00452BF7">
        <w:rPr>
          <w:rFonts w:ascii="Calibri" w:hAnsi="Calibri"/>
          <w:color w:val="222222"/>
          <w:sz w:val="20"/>
          <w:szCs w:val="20"/>
        </w:rPr>
        <w:t>.</w:t>
      </w:r>
      <w:r w:rsidRPr="00452BF7">
        <w:rPr>
          <w:rFonts w:ascii="Calibri" w:hAnsi="Calibri"/>
          <w:color w:val="222222"/>
          <w:spacing w:val="-1"/>
          <w:sz w:val="20"/>
          <w:szCs w:val="20"/>
        </w:rPr>
        <w:t xml:space="preserve"> </w:t>
      </w:r>
      <w:r w:rsidRPr="00452BF7">
        <w:rPr>
          <w:rFonts w:ascii="Calibri" w:hAnsi="Calibri"/>
          <w:color w:val="222222"/>
          <w:sz w:val="20"/>
          <w:szCs w:val="20"/>
        </w:rPr>
        <w:t>Bloomsbury</w:t>
      </w:r>
      <w:r w:rsidRPr="00452BF7">
        <w:rPr>
          <w:rFonts w:ascii="Calibri" w:hAnsi="Calibri"/>
          <w:color w:val="222222"/>
          <w:spacing w:val="-1"/>
          <w:sz w:val="20"/>
          <w:szCs w:val="20"/>
        </w:rPr>
        <w:t xml:space="preserve"> </w:t>
      </w:r>
      <w:r w:rsidRPr="00452BF7">
        <w:rPr>
          <w:rFonts w:ascii="Calibri" w:hAnsi="Calibri"/>
          <w:color w:val="222222"/>
          <w:sz w:val="20"/>
          <w:szCs w:val="20"/>
        </w:rPr>
        <w:t>Publishing.</w:t>
      </w:r>
    </w:p>
  </w:footnote>
  <w:footnote w:id="11">
    <w:p w14:paraId="0A015BE5" w14:textId="46633401" w:rsidR="000609C2" w:rsidRDefault="000609C2" w:rsidP="000609C2">
      <w:pPr>
        <w:spacing w:before="75"/>
        <w:ind w:left="119" w:right="119"/>
      </w:pPr>
      <w:r>
        <w:rPr>
          <w:rStyle w:val="ac"/>
        </w:rPr>
        <w:footnoteRef/>
      </w:r>
      <w:r>
        <w:t xml:space="preserve"> </w:t>
      </w:r>
      <w:r w:rsidRPr="0035335A">
        <w:rPr>
          <w:sz w:val="20"/>
          <w:szCs w:val="20"/>
        </w:rPr>
        <w:t>CRPD/C/GC/1、パラ26（「このように、第12条に規定される権利は批准の時点で適用され、即時実現の対象となる。...漸進的実現（第4条第2項）は第12条には適用されない。39（「第 19 条(b)、個別に評価された支援サービスを利用する権利は、経済的、社会的及び文化的権利である。）</w:t>
      </w:r>
    </w:p>
  </w:footnote>
  <w:footnote w:id="12">
    <w:p w14:paraId="3481D6F2" w14:textId="62C2B425" w:rsidR="000609C2" w:rsidRDefault="000609C2" w:rsidP="002E6D3E">
      <w:pPr>
        <w:spacing w:line="206" w:lineRule="exact"/>
        <w:ind w:left="119"/>
      </w:pPr>
      <w:r>
        <w:rPr>
          <w:rStyle w:val="ac"/>
        </w:rPr>
        <w:footnoteRef/>
      </w:r>
      <w:r>
        <w:t xml:space="preserve"> </w:t>
      </w:r>
      <w:r w:rsidRPr="0035335A">
        <w:rPr>
          <w:rFonts w:ascii="Times New Roman"/>
          <w:sz w:val="20"/>
          <w:szCs w:val="20"/>
        </w:rPr>
        <w:t>A/HRC/34/58.</w:t>
      </w:r>
    </w:p>
  </w:footnote>
  <w:footnote w:id="13">
    <w:p w14:paraId="0F95BD9A" w14:textId="432791FB" w:rsidR="000609C2" w:rsidRDefault="000609C2" w:rsidP="000609C2">
      <w:pPr>
        <w:spacing w:line="209" w:lineRule="exact"/>
        <w:ind w:leftChars="67" w:left="141"/>
      </w:pPr>
      <w:r>
        <w:rPr>
          <w:rStyle w:val="ac"/>
        </w:rPr>
        <w:footnoteRef/>
      </w:r>
      <w:r>
        <w:rPr>
          <w:rFonts w:ascii="Times New Roman" w:hint="eastAsia"/>
          <w:sz w:val="20"/>
          <w:szCs w:val="20"/>
        </w:rPr>
        <w:t xml:space="preserve">　</w:t>
      </w:r>
      <w:r w:rsidRPr="0035335A">
        <w:rPr>
          <w:sz w:val="20"/>
          <w:szCs w:val="20"/>
        </w:rPr>
        <w:t>草案の現行パラ23から引用。</w:t>
      </w:r>
    </w:p>
  </w:footnote>
  <w:footnote w:id="14">
    <w:p w14:paraId="60139F2F" w14:textId="1FD2E561" w:rsidR="000609C2" w:rsidRPr="00230A70" w:rsidRDefault="000609C2" w:rsidP="000609C2">
      <w:pPr>
        <w:pStyle w:val="aa"/>
        <w:ind w:leftChars="67" w:left="141"/>
      </w:pPr>
      <w:r>
        <w:rPr>
          <w:rStyle w:val="ac"/>
        </w:rPr>
        <w:footnoteRef/>
      </w:r>
      <w:r>
        <w:t xml:space="preserve"> </w:t>
      </w:r>
      <w:r w:rsidRPr="00C24C02">
        <w:rPr>
          <w:sz w:val="20"/>
          <w:szCs w:val="20"/>
        </w:rPr>
        <w:t>CRPD/C/GC/1、パラ26参照。</w:t>
      </w:r>
    </w:p>
  </w:footnote>
  <w:footnote w:id="15">
    <w:p w14:paraId="221386D9" w14:textId="41E6F1C2" w:rsidR="000609C2" w:rsidRDefault="000609C2" w:rsidP="000609C2">
      <w:pPr>
        <w:spacing w:line="218" w:lineRule="exact"/>
        <w:ind w:left="119"/>
      </w:pPr>
      <w:r>
        <w:rPr>
          <w:rStyle w:val="ac"/>
        </w:rPr>
        <w:footnoteRef/>
      </w:r>
      <w:r>
        <w:t xml:space="preserve"> </w:t>
      </w:r>
      <w:r w:rsidRPr="002B2443">
        <w:rPr>
          <w:rFonts w:ascii="Calibri"/>
          <w:sz w:val="18"/>
          <w:lang w:val="es-419"/>
        </w:rPr>
        <w:t>CRPD/C/GC/1,</w:t>
      </w:r>
      <w:r w:rsidRPr="002B2443">
        <w:rPr>
          <w:rFonts w:ascii="Calibri"/>
          <w:spacing w:val="-3"/>
          <w:sz w:val="18"/>
          <w:lang w:val="es-419"/>
        </w:rPr>
        <w:t xml:space="preserve"> </w:t>
      </w:r>
      <w:r w:rsidRPr="002B2443">
        <w:rPr>
          <w:rFonts w:ascii="Calibri"/>
          <w:sz w:val="18"/>
          <w:lang w:val="es-419"/>
        </w:rPr>
        <w:t>para.</w:t>
      </w:r>
      <w:r w:rsidRPr="002B2443">
        <w:rPr>
          <w:rFonts w:ascii="Calibri"/>
          <w:spacing w:val="-3"/>
          <w:sz w:val="18"/>
          <w:lang w:val="es-419"/>
        </w:rPr>
        <w:t xml:space="preserve"> </w:t>
      </w:r>
      <w:r w:rsidRPr="002B2443">
        <w:rPr>
          <w:rFonts w:ascii="Calibri"/>
          <w:sz w:val="18"/>
          <w:lang w:val="es-419"/>
        </w:rPr>
        <w:t>16</w:t>
      </w:r>
    </w:p>
  </w:footnote>
  <w:footnote w:id="16">
    <w:p w14:paraId="644F5329" w14:textId="41CA7A76" w:rsidR="000609C2" w:rsidRDefault="000609C2" w:rsidP="000609C2">
      <w:pPr>
        <w:spacing w:line="208" w:lineRule="exact"/>
        <w:ind w:left="119"/>
      </w:pPr>
      <w:r>
        <w:rPr>
          <w:rStyle w:val="ac"/>
        </w:rPr>
        <w:footnoteRef/>
      </w:r>
      <w:r>
        <w:t xml:space="preserve"> </w:t>
      </w:r>
      <w:r w:rsidRPr="002B2443">
        <w:rPr>
          <w:rFonts w:ascii="Times New Roman"/>
          <w:sz w:val="18"/>
          <w:lang w:val="es-419"/>
        </w:rPr>
        <w:t>CRPD/C/GC/7,</w:t>
      </w:r>
      <w:r w:rsidRPr="002B2443">
        <w:rPr>
          <w:rFonts w:ascii="Times New Roman"/>
          <w:spacing w:val="-3"/>
          <w:sz w:val="18"/>
          <w:lang w:val="es-419"/>
        </w:rPr>
        <w:t xml:space="preserve"> </w:t>
      </w:r>
      <w:r w:rsidRPr="002B2443">
        <w:rPr>
          <w:rFonts w:ascii="Times New Roman"/>
          <w:sz w:val="18"/>
          <w:lang w:val="es-419"/>
        </w:rPr>
        <w:t>para.</w:t>
      </w:r>
      <w:r w:rsidRPr="002B2443">
        <w:rPr>
          <w:rFonts w:ascii="Times New Roman"/>
          <w:spacing w:val="-3"/>
          <w:sz w:val="18"/>
          <w:lang w:val="es-419"/>
        </w:rPr>
        <w:t xml:space="preserve"> </w:t>
      </w:r>
      <w:r w:rsidRPr="002B2443">
        <w:rPr>
          <w:rFonts w:ascii="Times New Roman"/>
          <w:sz w:val="18"/>
          <w:lang w:val="es-419"/>
        </w:rPr>
        <w:t>12(c).</w:t>
      </w:r>
    </w:p>
  </w:footnote>
  <w:footnote w:id="17">
    <w:p w14:paraId="64F84313" w14:textId="12C2F90D" w:rsidR="000609C2" w:rsidRDefault="000609C2" w:rsidP="00F13BE4">
      <w:pPr>
        <w:spacing w:line="241" w:lineRule="exact"/>
        <w:ind w:left="119"/>
      </w:pPr>
      <w:r>
        <w:rPr>
          <w:rStyle w:val="ac"/>
        </w:rPr>
        <w:footnoteRef/>
      </w:r>
      <w:r>
        <w:t xml:space="preserve"> </w:t>
      </w:r>
      <w:r w:rsidRPr="002B2443">
        <w:rPr>
          <w:rFonts w:ascii="Calibri"/>
          <w:sz w:val="18"/>
          <w:lang w:val="es-419"/>
        </w:rPr>
        <w:t>CRPD/C/GC/7,</w:t>
      </w:r>
      <w:r w:rsidRPr="002B2443">
        <w:rPr>
          <w:rFonts w:ascii="Calibri"/>
          <w:spacing w:val="-2"/>
          <w:sz w:val="18"/>
          <w:lang w:val="es-419"/>
        </w:rPr>
        <w:t xml:space="preserve"> </w:t>
      </w:r>
      <w:r w:rsidRPr="002B2443">
        <w:rPr>
          <w:rFonts w:ascii="Calibri"/>
          <w:sz w:val="18"/>
          <w:lang w:val="es-419"/>
        </w:rPr>
        <w:t>paras.</w:t>
      </w:r>
      <w:r w:rsidRPr="002B2443">
        <w:rPr>
          <w:rFonts w:ascii="Calibri"/>
          <w:spacing w:val="-3"/>
          <w:sz w:val="18"/>
          <w:lang w:val="es-419"/>
        </w:rPr>
        <w:t xml:space="preserve"> </w:t>
      </w:r>
      <w:r>
        <w:rPr>
          <w:rFonts w:ascii="Calibri"/>
          <w:sz w:val="18"/>
        </w:rPr>
        <w:t>13,</w:t>
      </w:r>
      <w:r>
        <w:rPr>
          <w:rFonts w:ascii="Calibri"/>
          <w:spacing w:val="-2"/>
          <w:sz w:val="18"/>
        </w:rPr>
        <w:t xml:space="preserve"> </w:t>
      </w:r>
      <w:r>
        <w:rPr>
          <w:rFonts w:ascii="Calibri"/>
          <w:sz w:val="18"/>
        </w:rPr>
        <w:t>14</w:t>
      </w:r>
      <w:r>
        <w:rPr>
          <w:rFonts w:ascii="Calibri"/>
          <w:spacing w:val="-3"/>
          <w:sz w:val="18"/>
        </w:rPr>
        <w:t xml:space="preserve"> </w:t>
      </w:r>
      <w:r>
        <w:rPr>
          <w:rFonts w:ascii="Calibri"/>
          <w:sz w:val="18"/>
        </w:rPr>
        <w:t>and</w:t>
      </w:r>
      <w:r>
        <w:rPr>
          <w:rFonts w:ascii="Calibri"/>
          <w:spacing w:val="-4"/>
          <w:sz w:val="18"/>
        </w:rPr>
        <w:t xml:space="preserve"> </w:t>
      </w:r>
      <w:r>
        <w:rPr>
          <w:rFonts w:ascii="Calibri"/>
          <w:sz w:val="18"/>
        </w:rPr>
        <w:t>23.</w:t>
      </w:r>
    </w:p>
  </w:footnote>
  <w:footnote w:id="18">
    <w:p w14:paraId="548E24A0" w14:textId="46CBECE8" w:rsidR="000609C2" w:rsidRPr="000609C2" w:rsidRDefault="000609C2" w:rsidP="002E6D3E">
      <w:pPr>
        <w:rPr>
          <w:i/>
          <w:iCs/>
        </w:rPr>
      </w:pPr>
      <w:r>
        <w:rPr>
          <w:rStyle w:val="ac"/>
        </w:rPr>
        <w:footnoteRef/>
      </w:r>
      <w:r>
        <w:rPr>
          <w:rFonts w:ascii="Calibri" w:hAnsi="Calibri" w:hint="eastAsia"/>
          <w:sz w:val="20"/>
        </w:rPr>
        <w:t xml:space="preserve">　</w:t>
      </w:r>
      <w:bookmarkStart w:id="1" w:name="_Hlk155354109"/>
      <w:r w:rsidRPr="00120F54">
        <w:rPr>
          <w:sz w:val="20"/>
          <w:szCs w:val="20"/>
        </w:rPr>
        <w:t xml:space="preserve">現行パラ87の細目： </w:t>
      </w:r>
      <w:r>
        <w:rPr>
          <w:rFonts w:hint="eastAsia"/>
          <w:sz w:val="20"/>
          <w:szCs w:val="20"/>
        </w:rPr>
        <w:t>「</w:t>
      </w:r>
      <w:r w:rsidRPr="00120F54">
        <w:rPr>
          <w:sz w:val="20"/>
          <w:szCs w:val="20"/>
        </w:rPr>
        <w:t>扶養の責任によって他の人生</w:t>
      </w:r>
      <w:r>
        <w:rPr>
          <w:rFonts w:hint="eastAsia"/>
          <w:sz w:val="20"/>
          <w:szCs w:val="20"/>
        </w:rPr>
        <w:t>分野で</w:t>
      </w:r>
      <w:r w:rsidRPr="00120F54">
        <w:rPr>
          <w:sz w:val="20"/>
          <w:szCs w:val="20"/>
        </w:rPr>
        <w:t>不利益を被っている家族には、追加的な支援が提供されるべきである。</w:t>
      </w:r>
      <w:r>
        <w:rPr>
          <w:rFonts w:hint="eastAsia"/>
          <w:sz w:val="20"/>
          <w:szCs w:val="20"/>
        </w:rPr>
        <w:t>」</w:t>
      </w:r>
      <w:bookmarkEnd w:id="1"/>
    </w:p>
  </w:footnote>
  <w:footnote w:id="19">
    <w:p w14:paraId="678BE8D0" w14:textId="148EA2E4" w:rsidR="002E6D3E" w:rsidRDefault="002E6D3E">
      <w:pPr>
        <w:pStyle w:val="aa"/>
      </w:pPr>
      <w:r>
        <w:rPr>
          <w:rStyle w:val="ac"/>
        </w:rPr>
        <w:footnoteRef/>
      </w:r>
      <w:r>
        <w:t xml:space="preserve"> </w:t>
      </w:r>
      <w:r w:rsidR="00511DDD" w:rsidRPr="00511DDD">
        <w:rPr>
          <w:rFonts w:hint="eastAsia"/>
        </w:rPr>
        <w:t>現行パラ</w:t>
      </w:r>
      <w:r w:rsidR="00511DDD" w:rsidRPr="00511DDD">
        <w:t>87の細目： 「扶養の責任によって他の人生分野で不利益を被っている家族には、追加的な支援が提供されるべきである。」</w:t>
      </w:r>
      <w:r w:rsidR="00511DDD">
        <w:rPr>
          <w:rFonts w:hint="eastAsia"/>
        </w:rPr>
        <w:t>（訳注　脚注１８と同文。</w:t>
      </w:r>
      <w:r w:rsidR="00112135">
        <w:rPr>
          <w:rFonts w:hint="eastAsia"/>
        </w:rPr>
        <w:t>）</w:t>
      </w:r>
    </w:p>
  </w:footnote>
  <w:footnote w:id="20">
    <w:p w14:paraId="1D1FDC5D" w14:textId="13ACD952" w:rsidR="00511DDD" w:rsidRDefault="00511DDD">
      <w:pPr>
        <w:pStyle w:val="aa"/>
      </w:pPr>
      <w:r>
        <w:rPr>
          <w:rStyle w:val="ac"/>
        </w:rPr>
        <w:footnoteRef/>
      </w:r>
      <w:r>
        <w:t xml:space="preserve"> </w:t>
      </w:r>
      <w:r w:rsidRPr="00E80DC1">
        <w:rPr>
          <w:rFonts w:ascii="Calibri"/>
          <w:sz w:val="20"/>
          <w:szCs w:val="20"/>
        </w:rPr>
        <w:t>See</w:t>
      </w:r>
      <w:r w:rsidRPr="00E80DC1">
        <w:rPr>
          <w:rFonts w:ascii="Calibri"/>
          <w:spacing w:val="-1"/>
          <w:sz w:val="20"/>
          <w:szCs w:val="20"/>
        </w:rPr>
        <w:t xml:space="preserve"> </w:t>
      </w:r>
      <w:r w:rsidRPr="00E80DC1">
        <w:rPr>
          <w:rFonts w:ascii="Calibri"/>
          <w:sz w:val="20"/>
          <w:szCs w:val="20"/>
        </w:rPr>
        <w:t>A/HRC/37/25,</w:t>
      </w:r>
      <w:r w:rsidRPr="00E80DC1">
        <w:rPr>
          <w:rFonts w:ascii="Calibri"/>
          <w:spacing w:val="-2"/>
          <w:sz w:val="20"/>
          <w:szCs w:val="20"/>
        </w:rPr>
        <w:t xml:space="preserve"> </w:t>
      </w:r>
      <w:r w:rsidRPr="00E80DC1">
        <w:rPr>
          <w:rFonts w:ascii="Calibri"/>
          <w:sz w:val="20"/>
          <w:szCs w:val="20"/>
        </w:rPr>
        <w:t>para.</w:t>
      </w:r>
      <w:r w:rsidRPr="00E80DC1">
        <w:rPr>
          <w:rFonts w:ascii="Calibri"/>
          <w:spacing w:val="-1"/>
          <w:sz w:val="20"/>
          <w:szCs w:val="20"/>
        </w:rPr>
        <w:t xml:space="preserve"> </w:t>
      </w:r>
      <w:r w:rsidRPr="00E80DC1">
        <w:rPr>
          <w:rFonts w:ascii="Calibri"/>
          <w:sz w:val="20"/>
          <w:szCs w:val="20"/>
        </w:rPr>
        <w:t>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020BA"/>
    <w:multiLevelType w:val="hybridMultilevel"/>
    <w:tmpl w:val="6270B8CC"/>
    <w:lvl w:ilvl="0" w:tplc="EDAEB61A">
      <w:start w:val="1"/>
      <w:numFmt w:val="decimal"/>
      <w:lvlText w:val="%1."/>
      <w:lvlJc w:val="left"/>
      <w:pPr>
        <w:ind w:left="119" w:hanging="284"/>
        <w:jc w:val="left"/>
      </w:pPr>
      <w:rPr>
        <w:rFonts w:ascii="Tahoma" w:eastAsia="Tahoma" w:hAnsi="Tahoma" w:cs="Tahoma" w:hint="default"/>
        <w:w w:val="96"/>
        <w:sz w:val="24"/>
        <w:szCs w:val="24"/>
        <w:lang w:val="en-US" w:eastAsia="en-US" w:bidi="ar-SA"/>
      </w:rPr>
    </w:lvl>
    <w:lvl w:ilvl="1" w:tplc="AD424652">
      <w:numFmt w:val="bullet"/>
      <w:lvlText w:val="•"/>
      <w:lvlJc w:val="left"/>
      <w:pPr>
        <w:ind w:left="1082" w:hanging="284"/>
      </w:pPr>
      <w:rPr>
        <w:rFonts w:hint="default"/>
        <w:lang w:val="en-US" w:eastAsia="en-US" w:bidi="ar-SA"/>
      </w:rPr>
    </w:lvl>
    <w:lvl w:ilvl="2" w:tplc="1610B512">
      <w:numFmt w:val="bullet"/>
      <w:lvlText w:val="•"/>
      <w:lvlJc w:val="left"/>
      <w:pPr>
        <w:ind w:left="2044" w:hanging="284"/>
      </w:pPr>
      <w:rPr>
        <w:rFonts w:hint="default"/>
        <w:lang w:val="en-US" w:eastAsia="en-US" w:bidi="ar-SA"/>
      </w:rPr>
    </w:lvl>
    <w:lvl w:ilvl="3" w:tplc="0478E992">
      <w:numFmt w:val="bullet"/>
      <w:lvlText w:val="•"/>
      <w:lvlJc w:val="left"/>
      <w:pPr>
        <w:ind w:left="3006" w:hanging="284"/>
      </w:pPr>
      <w:rPr>
        <w:rFonts w:hint="default"/>
        <w:lang w:val="en-US" w:eastAsia="en-US" w:bidi="ar-SA"/>
      </w:rPr>
    </w:lvl>
    <w:lvl w:ilvl="4" w:tplc="3BD263D6">
      <w:numFmt w:val="bullet"/>
      <w:lvlText w:val="•"/>
      <w:lvlJc w:val="left"/>
      <w:pPr>
        <w:ind w:left="3968" w:hanging="284"/>
      </w:pPr>
      <w:rPr>
        <w:rFonts w:hint="default"/>
        <w:lang w:val="en-US" w:eastAsia="en-US" w:bidi="ar-SA"/>
      </w:rPr>
    </w:lvl>
    <w:lvl w:ilvl="5" w:tplc="85EC1B9E">
      <w:numFmt w:val="bullet"/>
      <w:lvlText w:val="•"/>
      <w:lvlJc w:val="left"/>
      <w:pPr>
        <w:ind w:left="4930" w:hanging="284"/>
      </w:pPr>
      <w:rPr>
        <w:rFonts w:hint="default"/>
        <w:lang w:val="en-US" w:eastAsia="en-US" w:bidi="ar-SA"/>
      </w:rPr>
    </w:lvl>
    <w:lvl w:ilvl="6" w:tplc="F78C42AE">
      <w:numFmt w:val="bullet"/>
      <w:lvlText w:val="•"/>
      <w:lvlJc w:val="left"/>
      <w:pPr>
        <w:ind w:left="5892" w:hanging="284"/>
      </w:pPr>
      <w:rPr>
        <w:rFonts w:hint="default"/>
        <w:lang w:val="en-US" w:eastAsia="en-US" w:bidi="ar-SA"/>
      </w:rPr>
    </w:lvl>
    <w:lvl w:ilvl="7" w:tplc="7846B4EA">
      <w:numFmt w:val="bullet"/>
      <w:lvlText w:val="•"/>
      <w:lvlJc w:val="left"/>
      <w:pPr>
        <w:ind w:left="6854" w:hanging="284"/>
      </w:pPr>
      <w:rPr>
        <w:rFonts w:hint="default"/>
        <w:lang w:val="en-US" w:eastAsia="en-US" w:bidi="ar-SA"/>
      </w:rPr>
    </w:lvl>
    <w:lvl w:ilvl="8" w:tplc="E256837A">
      <w:numFmt w:val="bullet"/>
      <w:lvlText w:val="•"/>
      <w:lvlJc w:val="left"/>
      <w:pPr>
        <w:ind w:left="7816" w:hanging="284"/>
      </w:pPr>
      <w:rPr>
        <w:rFonts w:hint="default"/>
        <w:lang w:val="en-US" w:eastAsia="en-US" w:bidi="ar-SA"/>
      </w:rPr>
    </w:lvl>
  </w:abstractNum>
  <w:abstractNum w:abstractNumId="1" w15:restartNumberingAfterBreak="0">
    <w:nsid w:val="54CB29DB"/>
    <w:multiLevelType w:val="hybridMultilevel"/>
    <w:tmpl w:val="D89ECB0A"/>
    <w:lvl w:ilvl="0" w:tplc="E21A94E6">
      <w:start w:val="11"/>
      <w:numFmt w:val="decimal"/>
      <w:lvlText w:val="%1."/>
      <w:lvlJc w:val="left"/>
      <w:pPr>
        <w:ind w:left="119" w:hanging="708"/>
        <w:jc w:val="left"/>
      </w:pPr>
      <w:rPr>
        <w:rFonts w:ascii="Tahoma" w:eastAsia="Tahoma" w:hAnsi="Tahoma" w:cs="Tahoma" w:hint="default"/>
        <w:w w:val="100"/>
        <w:sz w:val="24"/>
        <w:szCs w:val="24"/>
        <w:lang w:val="en-US" w:eastAsia="en-US" w:bidi="ar-SA"/>
      </w:rPr>
    </w:lvl>
    <w:lvl w:ilvl="1" w:tplc="D24413F2">
      <w:numFmt w:val="bullet"/>
      <w:lvlText w:val="•"/>
      <w:lvlJc w:val="left"/>
      <w:pPr>
        <w:ind w:left="1082" w:hanging="708"/>
      </w:pPr>
      <w:rPr>
        <w:rFonts w:hint="default"/>
        <w:lang w:val="en-US" w:eastAsia="en-US" w:bidi="ar-SA"/>
      </w:rPr>
    </w:lvl>
    <w:lvl w:ilvl="2" w:tplc="723E0EAA">
      <w:numFmt w:val="bullet"/>
      <w:lvlText w:val="•"/>
      <w:lvlJc w:val="left"/>
      <w:pPr>
        <w:ind w:left="2044" w:hanging="708"/>
      </w:pPr>
      <w:rPr>
        <w:rFonts w:hint="default"/>
        <w:lang w:val="en-US" w:eastAsia="en-US" w:bidi="ar-SA"/>
      </w:rPr>
    </w:lvl>
    <w:lvl w:ilvl="3" w:tplc="D7B00328">
      <w:numFmt w:val="bullet"/>
      <w:lvlText w:val="•"/>
      <w:lvlJc w:val="left"/>
      <w:pPr>
        <w:ind w:left="3006" w:hanging="708"/>
      </w:pPr>
      <w:rPr>
        <w:rFonts w:hint="default"/>
        <w:lang w:val="en-US" w:eastAsia="en-US" w:bidi="ar-SA"/>
      </w:rPr>
    </w:lvl>
    <w:lvl w:ilvl="4" w:tplc="4F062D48">
      <w:numFmt w:val="bullet"/>
      <w:lvlText w:val="•"/>
      <w:lvlJc w:val="left"/>
      <w:pPr>
        <w:ind w:left="3968" w:hanging="708"/>
      </w:pPr>
      <w:rPr>
        <w:rFonts w:hint="default"/>
        <w:lang w:val="en-US" w:eastAsia="en-US" w:bidi="ar-SA"/>
      </w:rPr>
    </w:lvl>
    <w:lvl w:ilvl="5" w:tplc="9F8C42AA">
      <w:numFmt w:val="bullet"/>
      <w:lvlText w:val="•"/>
      <w:lvlJc w:val="left"/>
      <w:pPr>
        <w:ind w:left="4930" w:hanging="708"/>
      </w:pPr>
      <w:rPr>
        <w:rFonts w:hint="default"/>
        <w:lang w:val="en-US" w:eastAsia="en-US" w:bidi="ar-SA"/>
      </w:rPr>
    </w:lvl>
    <w:lvl w:ilvl="6" w:tplc="D9CC26EA">
      <w:numFmt w:val="bullet"/>
      <w:lvlText w:val="•"/>
      <w:lvlJc w:val="left"/>
      <w:pPr>
        <w:ind w:left="5892" w:hanging="708"/>
      </w:pPr>
      <w:rPr>
        <w:rFonts w:hint="default"/>
        <w:lang w:val="en-US" w:eastAsia="en-US" w:bidi="ar-SA"/>
      </w:rPr>
    </w:lvl>
    <w:lvl w:ilvl="7" w:tplc="2324712C">
      <w:numFmt w:val="bullet"/>
      <w:lvlText w:val="•"/>
      <w:lvlJc w:val="left"/>
      <w:pPr>
        <w:ind w:left="6854" w:hanging="708"/>
      </w:pPr>
      <w:rPr>
        <w:rFonts w:hint="default"/>
        <w:lang w:val="en-US" w:eastAsia="en-US" w:bidi="ar-SA"/>
      </w:rPr>
    </w:lvl>
    <w:lvl w:ilvl="8" w:tplc="29F4CD82">
      <w:numFmt w:val="bullet"/>
      <w:lvlText w:val="•"/>
      <w:lvlJc w:val="left"/>
      <w:pPr>
        <w:ind w:left="7816" w:hanging="708"/>
      </w:pPr>
      <w:rPr>
        <w:rFonts w:hint="default"/>
        <w:lang w:val="en-US" w:eastAsia="en-US" w:bidi="ar-SA"/>
      </w:rPr>
    </w:lvl>
  </w:abstractNum>
  <w:abstractNum w:abstractNumId="2" w15:restartNumberingAfterBreak="0">
    <w:nsid w:val="559F0310"/>
    <w:multiLevelType w:val="hybridMultilevel"/>
    <w:tmpl w:val="3BE0559E"/>
    <w:lvl w:ilvl="0" w:tplc="2398E3F8">
      <w:start w:val="2"/>
      <w:numFmt w:val="decimal"/>
      <w:lvlText w:val="%1."/>
      <w:lvlJc w:val="left"/>
      <w:pPr>
        <w:ind w:left="545" w:hanging="437"/>
        <w:jc w:val="left"/>
      </w:pPr>
      <w:rPr>
        <w:rFonts w:hint="default"/>
        <w:b/>
        <w:bCs/>
        <w:w w:val="85"/>
        <w:lang w:val="en-US" w:eastAsia="en-US" w:bidi="ar-SA"/>
      </w:rPr>
    </w:lvl>
    <w:lvl w:ilvl="1" w:tplc="3ED4DC1A">
      <w:start w:val="1"/>
      <w:numFmt w:val="decimal"/>
      <w:lvlText w:val="(%2)"/>
      <w:lvlJc w:val="left"/>
      <w:pPr>
        <w:ind w:left="839" w:hanging="360"/>
        <w:jc w:val="left"/>
      </w:pPr>
      <w:rPr>
        <w:rFonts w:hint="default"/>
        <w:b/>
        <w:bCs/>
        <w:spacing w:val="-1"/>
        <w:w w:val="60"/>
        <w:lang w:val="en-US" w:eastAsia="en-US" w:bidi="ar-SA"/>
      </w:rPr>
    </w:lvl>
    <w:lvl w:ilvl="2" w:tplc="834C9B26">
      <w:numFmt w:val="bullet"/>
      <w:lvlText w:val="•"/>
      <w:lvlJc w:val="left"/>
      <w:pPr>
        <w:ind w:left="1828" w:hanging="360"/>
      </w:pPr>
      <w:rPr>
        <w:rFonts w:hint="default"/>
        <w:lang w:val="en-US" w:eastAsia="en-US" w:bidi="ar-SA"/>
      </w:rPr>
    </w:lvl>
    <w:lvl w:ilvl="3" w:tplc="AFFA8732">
      <w:numFmt w:val="bullet"/>
      <w:lvlText w:val="•"/>
      <w:lvlJc w:val="left"/>
      <w:pPr>
        <w:ind w:left="2817" w:hanging="360"/>
      </w:pPr>
      <w:rPr>
        <w:rFonts w:hint="default"/>
        <w:lang w:val="en-US" w:eastAsia="en-US" w:bidi="ar-SA"/>
      </w:rPr>
    </w:lvl>
    <w:lvl w:ilvl="4" w:tplc="032AC4DC">
      <w:numFmt w:val="bullet"/>
      <w:lvlText w:val="•"/>
      <w:lvlJc w:val="left"/>
      <w:pPr>
        <w:ind w:left="3806" w:hanging="360"/>
      </w:pPr>
      <w:rPr>
        <w:rFonts w:hint="default"/>
        <w:lang w:val="en-US" w:eastAsia="en-US" w:bidi="ar-SA"/>
      </w:rPr>
    </w:lvl>
    <w:lvl w:ilvl="5" w:tplc="CA76B996">
      <w:numFmt w:val="bullet"/>
      <w:lvlText w:val="•"/>
      <w:lvlJc w:val="left"/>
      <w:pPr>
        <w:ind w:left="4795" w:hanging="360"/>
      </w:pPr>
      <w:rPr>
        <w:rFonts w:hint="default"/>
        <w:lang w:val="en-US" w:eastAsia="en-US" w:bidi="ar-SA"/>
      </w:rPr>
    </w:lvl>
    <w:lvl w:ilvl="6" w:tplc="39E4508E">
      <w:numFmt w:val="bullet"/>
      <w:lvlText w:val="•"/>
      <w:lvlJc w:val="left"/>
      <w:pPr>
        <w:ind w:left="5784" w:hanging="360"/>
      </w:pPr>
      <w:rPr>
        <w:rFonts w:hint="default"/>
        <w:lang w:val="en-US" w:eastAsia="en-US" w:bidi="ar-SA"/>
      </w:rPr>
    </w:lvl>
    <w:lvl w:ilvl="7" w:tplc="DE9493E4">
      <w:numFmt w:val="bullet"/>
      <w:lvlText w:val="•"/>
      <w:lvlJc w:val="left"/>
      <w:pPr>
        <w:ind w:left="6773" w:hanging="360"/>
      </w:pPr>
      <w:rPr>
        <w:rFonts w:hint="default"/>
        <w:lang w:val="en-US" w:eastAsia="en-US" w:bidi="ar-SA"/>
      </w:rPr>
    </w:lvl>
    <w:lvl w:ilvl="8" w:tplc="3F061DFA">
      <w:numFmt w:val="bullet"/>
      <w:lvlText w:val="•"/>
      <w:lvlJc w:val="left"/>
      <w:pPr>
        <w:ind w:left="7762" w:hanging="360"/>
      </w:pPr>
      <w:rPr>
        <w:rFonts w:hint="default"/>
        <w:lang w:val="en-US" w:eastAsia="en-US" w:bidi="ar-SA"/>
      </w:rPr>
    </w:lvl>
  </w:abstractNum>
  <w:num w:numId="1" w16cid:durableId="1318654537">
    <w:abstractNumId w:val="1"/>
  </w:num>
  <w:num w:numId="2" w16cid:durableId="665015153">
    <w:abstractNumId w:val="2"/>
  </w:num>
  <w:num w:numId="3" w16cid:durableId="174838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3"/>
    <w:rsid w:val="00023863"/>
    <w:rsid w:val="00035D53"/>
    <w:rsid w:val="000609C2"/>
    <w:rsid w:val="0007363A"/>
    <w:rsid w:val="00073D73"/>
    <w:rsid w:val="000C4406"/>
    <w:rsid w:val="00112135"/>
    <w:rsid w:val="00120F54"/>
    <w:rsid w:val="00172AAD"/>
    <w:rsid w:val="001A4A01"/>
    <w:rsid w:val="001D0EC7"/>
    <w:rsid w:val="00230A70"/>
    <w:rsid w:val="002634A4"/>
    <w:rsid w:val="002D0DD3"/>
    <w:rsid w:val="002E6D3E"/>
    <w:rsid w:val="00340104"/>
    <w:rsid w:val="0035335A"/>
    <w:rsid w:val="00382F59"/>
    <w:rsid w:val="003926E7"/>
    <w:rsid w:val="0041714B"/>
    <w:rsid w:val="00441605"/>
    <w:rsid w:val="00452BF7"/>
    <w:rsid w:val="00502941"/>
    <w:rsid w:val="00511DDD"/>
    <w:rsid w:val="00542633"/>
    <w:rsid w:val="005F15CC"/>
    <w:rsid w:val="006010B0"/>
    <w:rsid w:val="0060477D"/>
    <w:rsid w:val="00622F28"/>
    <w:rsid w:val="006622E8"/>
    <w:rsid w:val="00671104"/>
    <w:rsid w:val="00675B3A"/>
    <w:rsid w:val="006940E9"/>
    <w:rsid w:val="006979A4"/>
    <w:rsid w:val="006B2F59"/>
    <w:rsid w:val="00777ADF"/>
    <w:rsid w:val="007C520F"/>
    <w:rsid w:val="007D0733"/>
    <w:rsid w:val="007F4A45"/>
    <w:rsid w:val="00817068"/>
    <w:rsid w:val="00823CB6"/>
    <w:rsid w:val="00835E62"/>
    <w:rsid w:val="00862A62"/>
    <w:rsid w:val="008B0918"/>
    <w:rsid w:val="00A11465"/>
    <w:rsid w:val="00A20061"/>
    <w:rsid w:val="00AB3549"/>
    <w:rsid w:val="00AD5B55"/>
    <w:rsid w:val="00B16DBC"/>
    <w:rsid w:val="00B42A13"/>
    <w:rsid w:val="00B730B4"/>
    <w:rsid w:val="00B839CF"/>
    <w:rsid w:val="00BC4A4D"/>
    <w:rsid w:val="00C24C02"/>
    <w:rsid w:val="00C25900"/>
    <w:rsid w:val="00C43125"/>
    <w:rsid w:val="00C51BEE"/>
    <w:rsid w:val="00D23314"/>
    <w:rsid w:val="00D27EB5"/>
    <w:rsid w:val="00D6191F"/>
    <w:rsid w:val="00DB3A70"/>
    <w:rsid w:val="00DC5079"/>
    <w:rsid w:val="00DE617B"/>
    <w:rsid w:val="00E80DC1"/>
    <w:rsid w:val="00F13BE4"/>
    <w:rsid w:val="00F63AB0"/>
    <w:rsid w:val="00F76260"/>
    <w:rsid w:val="00FD0910"/>
    <w:rsid w:val="00FE4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A1EC0"/>
  <w15:chartTrackingRefBased/>
  <w15:docId w15:val="{BAF185E8-18C3-4EBD-8346-E8104FEE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B42A13"/>
    <w:pPr>
      <w:autoSpaceDE w:val="0"/>
      <w:autoSpaceDN w:val="0"/>
      <w:ind w:left="119"/>
      <w:jc w:val="left"/>
      <w:outlineLvl w:val="0"/>
    </w:pPr>
    <w:rPr>
      <w:rFonts w:ascii="Tahoma" w:eastAsia="Tahoma" w:hAnsi="Tahoma" w:cs="Tahoma"/>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B42A13"/>
    <w:rPr>
      <w:rFonts w:ascii="Tahoma" w:eastAsia="Tahoma" w:hAnsi="Tahoma" w:cs="Tahoma"/>
      <w:b/>
      <w:bCs/>
      <w:kern w:val="0"/>
      <w:sz w:val="24"/>
      <w:szCs w:val="24"/>
      <w:lang w:eastAsia="en-US"/>
    </w:rPr>
  </w:style>
  <w:style w:type="paragraph" w:styleId="a3">
    <w:name w:val="Body Text"/>
    <w:basedOn w:val="a"/>
    <w:link w:val="a4"/>
    <w:uiPriority w:val="1"/>
    <w:qFormat/>
    <w:rsid w:val="00B42A13"/>
    <w:pPr>
      <w:autoSpaceDE w:val="0"/>
      <w:autoSpaceDN w:val="0"/>
      <w:jc w:val="left"/>
    </w:pPr>
    <w:rPr>
      <w:rFonts w:ascii="Tahoma" w:eastAsia="Tahoma" w:hAnsi="Tahoma" w:cs="Tahoma"/>
      <w:kern w:val="0"/>
      <w:sz w:val="24"/>
      <w:szCs w:val="24"/>
      <w:lang w:eastAsia="en-US"/>
    </w:rPr>
  </w:style>
  <w:style w:type="character" w:customStyle="1" w:styleId="a4">
    <w:name w:val="本文 (文字)"/>
    <w:basedOn w:val="a0"/>
    <w:link w:val="a3"/>
    <w:uiPriority w:val="1"/>
    <w:rsid w:val="00B42A13"/>
    <w:rPr>
      <w:rFonts w:ascii="Tahoma" w:eastAsia="Tahoma" w:hAnsi="Tahoma" w:cs="Tahoma"/>
      <w:kern w:val="0"/>
      <w:sz w:val="24"/>
      <w:szCs w:val="24"/>
      <w:lang w:eastAsia="en-US"/>
    </w:rPr>
  </w:style>
  <w:style w:type="paragraph" w:styleId="a5">
    <w:name w:val="Title"/>
    <w:basedOn w:val="a"/>
    <w:link w:val="a6"/>
    <w:uiPriority w:val="1"/>
    <w:qFormat/>
    <w:rsid w:val="00B42A13"/>
    <w:pPr>
      <w:autoSpaceDE w:val="0"/>
      <w:autoSpaceDN w:val="0"/>
      <w:spacing w:before="221"/>
      <w:ind w:left="720" w:right="720"/>
      <w:jc w:val="center"/>
    </w:pPr>
    <w:rPr>
      <w:rFonts w:ascii="Tahoma" w:eastAsia="Tahoma" w:hAnsi="Tahoma" w:cs="Tahoma"/>
      <w:b/>
      <w:bCs/>
      <w:kern w:val="0"/>
      <w:sz w:val="44"/>
      <w:szCs w:val="44"/>
      <w:lang w:eastAsia="en-US"/>
    </w:rPr>
  </w:style>
  <w:style w:type="character" w:customStyle="1" w:styleId="a6">
    <w:name w:val="表題 (文字)"/>
    <w:basedOn w:val="a0"/>
    <w:link w:val="a5"/>
    <w:uiPriority w:val="1"/>
    <w:rsid w:val="00B42A13"/>
    <w:rPr>
      <w:rFonts w:ascii="Tahoma" w:eastAsia="Tahoma" w:hAnsi="Tahoma" w:cs="Tahoma"/>
      <w:b/>
      <w:bCs/>
      <w:kern w:val="0"/>
      <w:sz w:val="44"/>
      <w:szCs w:val="44"/>
      <w:lang w:eastAsia="en-US"/>
    </w:rPr>
  </w:style>
  <w:style w:type="paragraph" w:styleId="a7">
    <w:name w:val="List Paragraph"/>
    <w:basedOn w:val="a"/>
    <w:uiPriority w:val="1"/>
    <w:qFormat/>
    <w:rsid w:val="00B42A13"/>
    <w:pPr>
      <w:autoSpaceDE w:val="0"/>
      <w:autoSpaceDN w:val="0"/>
      <w:ind w:left="119" w:right="120"/>
    </w:pPr>
    <w:rPr>
      <w:rFonts w:ascii="Tahoma" w:eastAsia="Tahoma" w:hAnsi="Tahoma" w:cs="Tahoma"/>
      <w:kern w:val="0"/>
      <w:sz w:val="22"/>
      <w:lang w:eastAsia="en-US"/>
    </w:rPr>
  </w:style>
  <w:style w:type="paragraph" w:customStyle="1" w:styleId="TableParagraph">
    <w:name w:val="Table Paragraph"/>
    <w:basedOn w:val="a"/>
    <w:uiPriority w:val="1"/>
    <w:qFormat/>
    <w:rsid w:val="00B42A13"/>
    <w:pPr>
      <w:autoSpaceDE w:val="0"/>
      <w:autoSpaceDN w:val="0"/>
      <w:jc w:val="left"/>
    </w:pPr>
    <w:rPr>
      <w:rFonts w:ascii="Tahoma" w:eastAsia="Tahoma" w:hAnsi="Tahoma" w:cs="Tahoma"/>
      <w:kern w:val="0"/>
      <w:sz w:val="22"/>
      <w:lang w:eastAsia="en-US"/>
    </w:rPr>
  </w:style>
  <w:style w:type="character" w:styleId="a8">
    <w:name w:val="Hyperlink"/>
    <w:basedOn w:val="a0"/>
    <w:uiPriority w:val="99"/>
    <w:unhideWhenUsed/>
    <w:rsid w:val="00DC5079"/>
    <w:rPr>
      <w:color w:val="0563C1" w:themeColor="hyperlink"/>
      <w:u w:val="single"/>
    </w:rPr>
  </w:style>
  <w:style w:type="character" w:styleId="a9">
    <w:name w:val="Unresolved Mention"/>
    <w:basedOn w:val="a0"/>
    <w:uiPriority w:val="99"/>
    <w:semiHidden/>
    <w:unhideWhenUsed/>
    <w:rsid w:val="00DC5079"/>
    <w:rPr>
      <w:color w:val="605E5C"/>
      <w:shd w:val="clear" w:color="auto" w:fill="E1DFDD"/>
    </w:rPr>
  </w:style>
  <w:style w:type="paragraph" w:styleId="aa">
    <w:name w:val="footnote text"/>
    <w:basedOn w:val="a"/>
    <w:link w:val="ab"/>
    <w:uiPriority w:val="99"/>
    <w:unhideWhenUsed/>
    <w:rsid w:val="00C25900"/>
    <w:pPr>
      <w:snapToGrid w:val="0"/>
      <w:jc w:val="left"/>
    </w:pPr>
  </w:style>
  <w:style w:type="character" w:customStyle="1" w:styleId="ab">
    <w:name w:val="脚注文字列 (文字)"/>
    <w:basedOn w:val="a0"/>
    <w:link w:val="aa"/>
    <w:uiPriority w:val="99"/>
    <w:rsid w:val="00C25900"/>
  </w:style>
  <w:style w:type="character" w:styleId="ac">
    <w:name w:val="footnote reference"/>
    <w:basedOn w:val="a0"/>
    <w:uiPriority w:val="99"/>
    <w:semiHidden/>
    <w:unhideWhenUsed/>
    <w:rsid w:val="00C25900"/>
    <w:rPr>
      <w:vertAlign w:val="superscript"/>
    </w:rPr>
  </w:style>
  <w:style w:type="paragraph" w:styleId="ad">
    <w:name w:val="header"/>
    <w:basedOn w:val="a"/>
    <w:link w:val="ae"/>
    <w:uiPriority w:val="99"/>
    <w:unhideWhenUsed/>
    <w:rsid w:val="00542633"/>
    <w:pPr>
      <w:tabs>
        <w:tab w:val="center" w:pos="4252"/>
        <w:tab w:val="right" w:pos="8504"/>
      </w:tabs>
      <w:snapToGrid w:val="0"/>
    </w:pPr>
  </w:style>
  <w:style w:type="character" w:customStyle="1" w:styleId="ae">
    <w:name w:val="ヘッダー (文字)"/>
    <w:basedOn w:val="a0"/>
    <w:link w:val="ad"/>
    <w:uiPriority w:val="99"/>
    <w:rsid w:val="00542633"/>
  </w:style>
  <w:style w:type="paragraph" w:styleId="af">
    <w:name w:val="footer"/>
    <w:basedOn w:val="a"/>
    <w:link w:val="af0"/>
    <w:uiPriority w:val="99"/>
    <w:unhideWhenUsed/>
    <w:rsid w:val="00542633"/>
    <w:pPr>
      <w:tabs>
        <w:tab w:val="center" w:pos="4252"/>
        <w:tab w:val="right" w:pos="8504"/>
      </w:tabs>
      <w:snapToGrid w:val="0"/>
    </w:pPr>
  </w:style>
  <w:style w:type="character" w:customStyle="1" w:styleId="af0">
    <w:name w:val="フッター (文字)"/>
    <w:basedOn w:val="a0"/>
    <w:link w:val="af"/>
    <w:uiPriority w:val="99"/>
    <w:rsid w:val="0054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health-topics/dementia" TargetMode="External"/><Relationship Id="rId2" Type="http://schemas.openxmlformats.org/officeDocument/2006/relationships/hyperlink" Target="http://www.who.int/standards/classifications/international-classification-of-functioning-disability-and-health/who-" TargetMode="External"/><Relationship Id="rId1" Type="http://schemas.openxmlformats.org/officeDocument/2006/relationships/hyperlink" Target="http://www.hhrjournal.org/2022/06/reparations-for-harms-experienced-in-residential-aged-care/" TargetMode="External"/><Relationship Id="rId5" Type="http://schemas.openxmlformats.org/officeDocument/2006/relationships/hyperlink" Target="http://www.hhrjournal.org/2022/06/reparations-for-harms-experienced-in-residential-aged-care/" TargetMode="External"/><Relationship Id="rId4" Type="http://schemas.openxmlformats.org/officeDocument/2006/relationships/hyperlink" Target="http://www.internationaldisabilityalliance.org/observ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5437-AEF9-4840-8792-607644AC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2024-03-04T03:22:00Z</dcterms:created>
  <dcterms:modified xsi:type="dcterms:W3CDTF">2024-03-04T03:22:00Z</dcterms:modified>
</cp:coreProperties>
</file>