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00C0" w14:textId="2F1CEC58" w:rsidR="00E1094A" w:rsidRDefault="00E1094A" w:rsidP="00E1094A">
      <w:pPr>
        <w:spacing w:after="0"/>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50</w:t>
      </w:r>
    </w:p>
    <w:p w14:paraId="1B406CAF" w14:textId="77777777" w:rsidR="00020A3E" w:rsidRPr="00E1094A" w:rsidRDefault="00020A3E">
      <w:pPr>
        <w:rPr>
          <w:rFonts w:ascii="ＭＳ Ｐゴシック" w:eastAsia="ＭＳ Ｐゴシック" w:hAnsi="ＭＳ Ｐゴシック"/>
          <w:b/>
          <w:bCs/>
          <w:sz w:val="24"/>
          <w:szCs w:val="24"/>
          <w:lang w:eastAsia="ja-JP"/>
        </w:rPr>
      </w:pPr>
    </w:p>
    <w:p w14:paraId="65CFEA62" w14:textId="3B432DCA" w:rsidR="00A11465" w:rsidRPr="00EC0502" w:rsidRDefault="00431BA4">
      <w:pPr>
        <w:rPr>
          <w:rFonts w:ascii="ＭＳ Ｐゴシック" w:eastAsia="ＭＳ Ｐゴシック" w:hAnsi="ＭＳ Ｐゴシック"/>
          <w:b/>
          <w:bCs/>
          <w:sz w:val="24"/>
          <w:szCs w:val="24"/>
        </w:rPr>
      </w:pPr>
      <w:r w:rsidRPr="00EC0502">
        <w:rPr>
          <w:rFonts w:ascii="ＭＳ Ｐゴシック" w:eastAsia="ＭＳ Ｐゴシック" w:hAnsi="ＭＳ Ｐゴシック" w:hint="eastAsia"/>
          <w:b/>
          <w:bCs/>
          <w:sz w:val="24"/>
          <w:szCs w:val="24"/>
          <w:lang w:eastAsia="ja-JP"/>
        </w:rPr>
        <w:t>ハンガリ</w:t>
      </w:r>
      <w:r w:rsidR="00C87494" w:rsidRPr="00EC0502">
        <w:rPr>
          <w:rFonts w:ascii="ＭＳ Ｐゴシック" w:eastAsia="ＭＳ Ｐゴシック" w:hAnsi="ＭＳ Ｐゴシック" w:hint="eastAsia"/>
          <w:b/>
          <w:bCs/>
          <w:sz w:val="24"/>
          <w:szCs w:val="24"/>
          <w:lang w:eastAsia="ja-JP"/>
        </w:rPr>
        <w:t>ー</w:t>
      </w:r>
      <w:r w:rsidRPr="00EC0502">
        <w:rPr>
          <w:rFonts w:ascii="ＭＳ Ｐゴシック" w:eastAsia="ＭＳ Ｐゴシック" w:hAnsi="ＭＳ Ｐゴシック" w:hint="eastAsia"/>
          <w:b/>
          <w:bCs/>
          <w:sz w:val="24"/>
          <w:szCs w:val="24"/>
          <w:lang w:eastAsia="ja-JP"/>
        </w:rPr>
        <w:t>政府</w:t>
      </w:r>
    </w:p>
    <w:p w14:paraId="7D5F7EBD" w14:textId="77777777" w:rsidR="00431BA4" w:rsidRPr="00781C94" w:rsidRDefault="00431BA4" w:rsidP="00431BA4">
      <w:pPr>
        <w:jc w:val="center"/>
        <w:rPr>
          <w:rFonts w:ascii="Times New Roman" w:hAnsi="Times New Roman" w:cs="Times New Roman"/>
          <w:b/>
          <w:sz w:val="21"/>
          <w:szCs w:val="21"/>
        </w:rPr>
      </w:pPr>
      <w:r w:rsidRPr="00781C94">
        <w:rPr>
          <w:rFonts w:ascii="Times New Roman" w:hAnsi="Times New Roman" w:cs="Times New Roman"/>
          <w:b/>
          <w:sz w:val="21"/>
          <w:szCs w:val="21"/>
        </w:rPr>
        <w:t>Comments of the Hungarian Government on the draft Guidelines on Deinstitutionalization, including in emergencies</w:t>
      </w:r>
    </w:p>
    <w:p w14:paraId="290F5EFA" w14:textId="77777777" w:rsidR="00EC0502" w:rsidRPr="00781C94" w:rsidRDefault="00EC0502" w:rsidP="00AA3BA0">
      <w:pPr>
        <w:jc w:val="center"/>
        <w:rPr>
          <w:sz w:val="21"/>
          <w:szCs w:val="21"/>
          <w:lang w:eastAsia="ja-JP"/>
        </w:rPr>
      </w:pPr>
      <w:r w:rsidRPr="00781C94">
        <w:rPr>
          <w:rFonts w:hint="eastAsia"/>
          <w:sz w:val="21"/>
          <w:szCs w:val="21"/>
          <w:lang w:eastAsia="ja-JP"/>
        </w:rPr>
        <w:t>緊急時</w:t>
      </w:r>
      <w:r w:rsidRPr="00C87494">
        <w:rPr>
          <w:rFonts w:hint="eastAsia"/>
          <w:sz w:val="21"/>
          <w:szCs w:val="21"/>
          <w:lang w:val="en-GB" w:eastAsia="ja-JP"/>
        </w:rPr>
        <w:t>を</w:t>
      </w:r>
      <w:r w:rsidRPr="00781C94">
        <w:rPr>
          <w:rFonts w:hint="eastAsia"/>
          <w:sz w:val="21"/>
          <w:szCs w:val="21"/>
          <w:lang w:eastAsia="ja-JP"/>
        </w:rPr>
        <w:t>含</w:t>
      </w:r>
      <w:r w:rsidRPr="00C87494">
        <w:rPr>
          <w:rFonts w:hint="eastAsia"/>
          <w:sz w:val="21"/>
          <w:szCs w:val="21"/>
          <w:lang w:val="en-GB" w:eastAsia="ja-JP"/>
        </w:rPr>
        <w:t>む</w:t>
      </w:r>
      <w:r w:rsidRPr="00781C94">
        <w:rPr>
          <w:rFonts w:hint="eastAsia"/>
          <w:sz w:val="21"/>
          <w:szCs w:val="21"/>
          <w:lang w:eastAsia="ja-JP"/>
        </w:rPr>
        <w:t>脱施設化</w:t>
      </w:r>
      <w:r w:rsidRPr="00C87494">
        <w:rPr>
          <w:rFonts w:hint="eastAsia"/>
          <w:sz w:val="21"/>
          <w:szCs w:val="21"/>
          <w:lang w:val="en-GB" w:eastAsia="ja-JP"/>
        </w:rPr>
        <w:t>ガイドライン</w:t>
      </w:r>
      <w:r w:rsidRPr="00781C94">
        <w:rPr>
          <w:rFonts w:hint="eastAsia"/>
          <w:sz w:val="21"/>
          <w:szCs w:val="21"/>
          <w:lang w:eastAsia="ja-JP"/>
        </w:rPr>
        <w:t>草案</w:t>
      </w:r>
      <w:r>
        <w:rPr>
          <w:rFonts w:hint="eastAsia"/>
          <w:sz w:val="21"/>
          <w:szCs w:val="21"/>
          <w:lang w:val="en-GB" w:eastAsia="ja-JP"/>
        </w:rPr>
        <w:t>への</w:t>
      </w:r>
      <w:r w:rsidRPr="00C87494">
        <w:rPr>
          <w:rFonts w:hint="eastAsia"/>
          <w:sz w:val="21"/>
          <w:szCs w:val="21"/>
          <w:lang w:val="en-GB" w:eastAsia="ja-JP"/>
        </w:rPr>
        <w:t>ハンガリー</w:t>
      </w:r>
      <w:r w:rsidRPr="00781C94">
        <w:rPr>
          <w:rFonts w:hint="eastAsia"/>
          <w:sz w:val="21"/>
          <w:szCs w:val="21"/>
          <w:lang w:eastAsia="ja-JP"/>
        </w:rPr>
        <w:t>政府</w:t>
      </w:r>
      <w:r w:rsidRPr="00C87494">
        <w:rPr>
          <w:rFonts w:hint="eastAsia"/>
          <w:sz w:val="21"/>
          <w:szCs w:val="21"/>
          <w:lang w:val="en-GB" w:eastAsia="ja-JP"/>
        </w:rPr>
        <w:t>の</w:t>
      </w:r>
      <w:r w:rsidRPr="00781C94">
        <w:rPr>
          <w:rFonts w:hint="eastAsia"/>
          <w:sz w:val="21"/>
          <w:szCs w:val="21"/>
          <w:lang w:eastAsia="ja-JP"/>
        </w:rPr>
        <w:t>意見</w:t>
      </w:r>
    </w:p>
    <w:p w14:paraId="538E0EAC" w14:textId="77777777" w:rsidR="00431BA4" w:rsidRPr="00781C94" w:rsidRDefault="00431BA4" w:rsidP="00431BA4">
      <w:pPr>
        <w:jc w:val="both"/>
        <w:rPr>
          <w:rFonts w:ascii="Times New Roman" w:hAnsi="Times New Roman" w:cs="Times New Roman"/>
          <w:sz w:val="21"/>
          <w:szCs w:val="21"/>
          <w:lang w:eastAsia="ja-JP"/>
        </w:rPr>
      </w:pPr>
    </w:p>
    <w:p w14:paraId="1517BB05" w14:textId="248E0DCA" w:rsidR="00EC0502" w:rsidRPr="00C87494" w:rsidRDefault="00EC0502" w:rsidP="00EC0502">
      <w:pPr>
        <w:ind w:firstLineChars="100" w:firstLine="210"/>
        <w:rPr>
          <w:sz w:val="21"/>
          <w:szCs w:val="21"/>
          <w:lang w:val="en-GB" w:eastAsia="ja-JP"/>
        </w:rPr>
      </w:pPr>
      <w:r w:rsidRPr="00C87494">
        <w:rPr>
          <w:rFonts w:hint="eastAsia"/>
          <w:sz w:val="21"/>
          <w:szCs w:val="21"/>
          <w:lang w:val="en-GB" w:eastAsia="ja-JP"/>
        </w:rPr>
        <w:t>ハンガリーはガイドラインの作成を歓迎する。我々は、脱施設化を実施する複雑なプロセスを定義しようとするいかなるツールも</w:t>
      </w:r>
      <w:r w:rsidR="00AA3BA0" w:rsidRPr="00AA3BA0">
        <w:rPr>
          <w:rFonts w:hint="eastAsia"/>
          <w:color w:val="7030A0"/>
          <w:sz w:val="21"/>
          <w:szCs w:val="21"/>
          <w:lang w:val="en-GB" w:eastAsia="ja-JP"/>
        </w:rPr>
        <w:t>、</w:t>
      </w:r>
      <w:r w:rsidRPr="00C87494">
        <w:rPr>
          <w:rFonts w:hint="eastAsia"/>
          <w:sz w:val="21"/>
          <w:szCs w:val="21"/>
          <w:lang w:val="en-GB" w:eastAsia="ja-JP"/>
        </w:rPr>
        <w:t>重要であると考えている。</w:t>
      </w:r>
    </w:p>
    <w:p w14:paraId="213EDA23" w14:textId="77777777" w:rsidR="00431BA4" w:rsidRPr="00C87494" w:rsidRDefault="00431BA4" w:rsidP="00431BA4">
      <w:pPr>
        <w:spacing w:after="0"/>
        <w:jc w:val="both"/>
        <w:rPr>
          <w:rFonts w:ascii="Times New Roman" w:hAnsi="Times New Roman" w:cs="Times New Roman"/>
          <w:sz w:val="21"/>
          <w:szCs w:val="21"/>
          <w:lang w:val="en-GB" w:eastAsia="ja-JP"/>
        </w:rPr>
      </w:pPr>
    </w:p>
    <w:p w14:paraId="0595FF68" w14:textId="77777777" w:rsidR="00EC0502" w:rsidRPr="00C87494" w:rsidRDefault="00EC0502" w:rsidP="00EC0502">
      <w:pPr>
        <w:ind w:firstLineChars="100" w:firstLine="210"/>
        <w:rPr>
          <w:sz w:val="21"/>
          <w:szCs w:val="21"/>
          <w:lang w:val="en-GB" w:eastAsia="ja-JP"/>
        </w:rPr>
      </w:pPr>
      <w:r w:rsidRPr="00C87494">
        <w:rPr>
          <w:rFonts w:hint="eastAsia"/>
          <w:sz w:val="21"/>
          <w:szCs w:val="21"/>
          <w:lang w:val="en-GB" w:eastAsia="ja-JP"/>
        </w:rPr>
        <w:t>ハンガリーでは、大規模な社会的施設に</w:t>
      </w:r>
      <w:r>
        <w:rPr>
          <w:rFonts w:hint="eastAsia"/>
          <w:sz w:val="21"/>
          <w:szCs w:val="21"/>
          <w:lang w:val="en-GB" w:eastAsia="ja-JP"/>
        </w:rPr>
        <w:t>代わって</w:t>
      </w:r>
      <w:r w:rsidRPr="00C87494">
        <w:rPr>
          <w:rFonts w:hint="eastAsia"/>
          <w:sz w:val="21"/>
          <w:szCs w:val="21"/>
          <w:lang w:val="en-GB" w:eastAsia="ja-JP"/>
        </w:rPr>
        <w:t>、障害者の個々のニーズと自律的な選択を考慮した</w:t>
      </w:r>
      <w:r>
        <w:rPr>
          <w:rFonts w:hint="eastAsia"/>
          <w:sz w:val="21"/>
          <w:szCs w:val="21"/>
          <w:lang w:val="en-GB" w:eastAsia="ja-JP"/>
        </w:rPr>
        <w:t>地域に根ざした</w:t>
      </w:r>
      <w:r w:rsidRPr="00C87494">
        <w:rPr>
          <w:rFonts w:hint="eastAsia"/>
          <w:sz w:val="21"/>
          <w:szCs w:val="21"/>
          <w:lang w:val="en-GB" w:eastAsia="ja-JP"/>
        </w:rPr>
        <w:t>システムへと移行するプロセスが</w:t>
      </w:r>
      <w:r w:rsidRPr="00C87494">
        <w:rPr>
          <w:sz w:val="21"/>
          <w:szCs w:val="21"/>
          <w:lang w:val="en-GB" w:eastAsia="ja-JP"/>
        </w:rPr>
        <w:t>11年前に始まった。2013年、</w:t>
      </w:r>
      <w:r>
        <w:rPr>
          <w:rFonts w:hint="eastAsia"/>
          <w:sz w:val="21"/>
          <w:szCs w:val="21"/>
          <w:lang w:val="en-GB" w:eastAsia="ja-JP"/>
        </w:rPr>
        <w:t>次の</w:t>
      </w:r>
      <w:r w:rsidRPr="00C87494">
        <w:rPr>
          <w:sz w:val="21"/>
          <w:szCs w:val="21"/>
          <w:lang w:val="en-GB" w:eastAsia="ja-JP"/>
        </w:rPr>
        <w:t>普遍的原則に基づき、社会法によって支援付き住宅</w:t>
      </w:r>
      <w:r>
        <w:rPr>
          <w:rFonts w:hint="eastAsia"/>
          <w:sz w:val="21"/>
          <w:szCs w:val="21"/>
          <w:lang w:val="en-GB" w:eastAsia="ja-JP"/>
        </w:rPr>
        <w:t>（</w:t>
      </w:r>
      <w:r w:rsidRPr="005C1BD6">
        <w:rPr>
          <w:sz w:val="21"/>
          <w:szCs w:val="21"/>
          <w:lang w:val="en-GB" w:eastAsia="ja-JP"/>
        </w:rPr>
        <w:t>supported housing</w:t>
      </w:r>
      <w:r>
        <w:rPr>
          <w:rFonts w:hint="eastAsia"/>
          <w:sz w:val="21"/>
          <w:szCs w:val="21"/>
          <w:lang w:val="en-GB" w:eastAsia="ja-JP"/>
        </w:rPr>
        <w:t>）</w:t>
      </w:r>
      <w:r w:rsidRPr="00C87494">
        <w:rPr>
          <w:sz w:val="21"/>
          <w:szCs w:val="21"/>
          <w:lang w:val="en-GB" w:eastAsia="ja-JP"/>
        </w:rPr>
        <w:t>制度が導入された</w:t>
      </w:r>
      <w:r>
        <w:rPr>
          <w:rFonts w:hint="eastAsia"/>
          <w:sz w:val="21"/>
          <w:szCs w:val="21"/>
          <w:lang w:val="en-GB" w:eastAsia="ja-JP"/>
        </w:rPr>
        <w:t>。</w:t>
      </w:r>
    </w:p>
    <w:p w14:paraId="09992D6E" w14:textId="70364B9D" w:rsidR="00AA3BA0" w:rsidRDefault="00EC0502" w:rsidP="00EC0502">
      <w:pPr>
        <w:pStyle w:val="a7"/>
        <w:numPr>
          <w:ilvl w:val="0"/>
          <w:numId w:val="2"/>
        </w:numPr>
        <w:rPr>
          <w:sz w:val="21"/>
          <w:szCs w:val="21"/>
          <w:lang w:val="en-GB" w:eastAsia="ja-JP"/>
        </w:rPr>
      </w:pPr>
      <w:r w:rsidRPr="00AA3BA0">
        <w:rPr>
          <w:sz w:val="21"/>
          <w:szCs w:val="21"/>
          <w:lang w:val="en-GB" w:eastAsia="ja-JP"/>
        </w:rPr>
        <w:t>個人のニーズに合わせ、自立した生活の発展と維持を支援する</w:t>
      </w:r>
    </w:p>
    <w:p w14:paraId="2BF4A23C" w14:textId="77777777" w:rsidR="00A56A17" w:rsidRDefault="00EC0502" w:rsidP="00EC0502">
      <w:pPr>
        <w:pStyle w:val="a7"/>
        <w:numPr>
          <w:ilvl w:val="0"/>
          <w:numId w:val="2"/>
        </w:numPr>
        <w:rPr>
          <w:sz w:val="21"/>
          <w:szCs w:val="21"/>
          <w:lang w:val="en-GB" w:eastAsia="ja-JP"/>
        </w:rPr>
      </w:pPr>
      <w:r w:rsidRPr="00A56A17">
        <w:rPr>
          <w:sz w:val="21"/>
          <w:szCs w:val="21"/>
          <w:lang w:val="en-GB" w:eastAsia="ja-JP"/>
        </w:rPr>
        <w:t>本人中心の個別サービスを提供する</w:t>
      </w:r>
    </w:p>
    <w:p w14:paraId="714A83AA" w14:textId="77777777" w:rsidR="00A56A17" w:rsidRDefault="00EC0502" w:rsidP="00A56A17">
      <w:pPr>
        <w:pStyle w:val="a7"/>
        <w:numPr>
          <w:ilvl w:val="0"/>
          <w:numId w:val="2"/>
        </w:numPr>
        <w:rPr>
          <w:sz w:val="21"/>
          <w:szCs w:val="21"/>
          <w:lang w:val="en-GB" w:eastAsia="ja-JP"/>
        </w:rPr>
      </w:pPr>
      <w:r w:rsidRPr="00A56A17">
        <w:rPr>
          <w:sz w:val="21"/>
          <w:szCs w:val="21"/>
          <w:lang w:val="en-GB" w:eastAsia="ja-JP"/>
        </w:rPr>
        <w:t>住居と</w:t>
      </w:r>
      <w:r w:rsidRPr="00A56A17">
        <w:rPr>
          <w:rFonts w:hint="eastAsia"/>
          <w:sz w:val="21"/>
          <w:szCs w:val="21"/>
          <w:lang w:val="en-GB" w:eastAsia="ja-JP"/>
        </w:rPr>
        <w:t>支援</w:t>
      </w:r>
      <w:r w:rsidRPr="00A56A17">
        <w:rPr>
          <w:sz w:val="21"/>
          <w:szCs w:val="21"/>
          <w:lang w:val="en-GB" w:eastAsia="ja-JP"/>
        </w:rPr>
        <w:t>の選択により、選択の自由を保障する</w:t>
      </w:r>
    </w:p>
    <w:p w14:paraId="34D6D8DF" w14:textId="6A198D31" w:rsidR="00EC0502" w:rsidRPr="00A56A17" w:rsidRDefault="00EC0502" w:rsidP="00A56A17">
      <w:pPr>
        <w:pStyle w:val="a7"/>
        <w:numPr>
          <w:ilvl w:val="0"/>
          <w:numId w:val="2"/>
        </w:numPr>
        <w:rPr>
          <w:sz w:val="21"/>
          <w:szCs w:val="21"/>
          <w:lang w:val="en-GB" w:eastAsia="ja-JP"/>
        </w:rPr>
      </w:pPr>
      <w:r w:rsidRPr="00A56A17">
        <w:rPr>
          <w:sz w:val="21"/>
          <w:szCs w:val="21"/>
          <w:lang w:val="en-GB" w:eastAsia="ja-JP"/>
        </w:rPr>
        <w:t>住居と日常生活の</w:t>
      </w:r>
      <w:r w:rsidRPr="00A56A17">
        <w:rPr>
          <w:rFonts w:hint="eastAsia"/>
          <w:sz w:val="21"/>
          <w:szCs w:val="21"/>
          <w:lang w:val="en-GB" w:eastAsia="ja-JP"/>
        </w:rPr>
        <w:t>支援</w:t>
      </w:r>
      <w:r w:rsidRPr="00A56A17">
        <w:rPr>
          <w:sz w:val="21"/>
          <w:szCs w:val="21"/>
          <w:lang w:val="en-GB" w:eastAsia="ja-JP"/>
        </w:rPr>
        <w:t>を分離すること</w:t>
      </w:r>
      <w:r w:rsidRPr="00A56A17">
        <w:rPr>
          <w:rFonts w:hint="eastAsia"/>
          <w:sz w:val="21"/>
          <w:szCs w:val="21"/>
          <w:lang w:val="en-GB" w:eastAsia="ja-JP"/>
        </w:rPr>
        <w:t>により</w:t>
      </w:r>
      <w:r w:rsidRPr="00A56A17">
        <w:rPr>
          <w:sz w:val="21"/>
          <w:szCs w:val="21"/>
          <w:lang w:val="en-GB" w:eastAsia="ja-JP"/>
        </w:rPr>
        <w:t>、</w:t>
      </w:r>
      <w:r w:rsidRPr="00A56A17">
        <w:rPr>
          <w:rFonts w:hint="eastAsia"/>
          <w:sz w:val="21"/>
          <w:szCs w:val="21"/>
          <w:lang w:val="en-GB" w:eastAsia="ja-JP"/>
        </w:rPr>
        <w:t>現在持っている技術に加え、</w:t>
      </w:r>
      <w:r w:rsidRPr="00A56A17">
        <w:rPr>
          <w:sz w:val="21"/>
          <w:szCs w:val="21"/>
          <w:lang w:val="en-GB" w:eastAsia="ja-JP"/>
        </w:rPr>
        <w:t>自立した生活のための新しいスキルを身につける機会を提供する。</w:t>
      </w:r>
    </w:p>
    <w:p w14:paraId="5F5E7443" w14:textId="77777777" w:rsidR="00431BA4" w:rsidRPr="00C87494" w:rsidRDefault="00431BA4" w:rsidP="00431BA4">
      <w:pPr>
        <w:spacing w:after="0"/>
        <w:ind w:left="708"/>
        <w:jc w:val="both"/>
        <w:rPr>
          <w:rFonts w:ascii="Times New Roman" w:hAnsi="Times New Roman" w:cs="Times New Roman"/>
          <w:sz w:val="21"/>
          <w:szCs w:val="21"/>
          <w:lang w:val="en-GB" w:eastAsia="ja-JP"/>
        </w:rPr>
      </w:pPr>
    </w:p>
    <w:p w14:paraId="4C0BC8BC" w14:textId="23FD626E" w:rsidR="00EC0502" w:rsidRPr="00C87494" w:rsidRDefault="00EC0502" w:rsidP="00EC0502">
      <w:pPr>
        <w:ind w:firstLineChars="100" w:firstLine="210"/>
        <w:rPr>
          <w:sz w:val="21"/>
          <w:szCs w:val="21"/>
          <w:lang w:val="en-GB" w:eastAsia="ja-JP"/>
        </w:rPr>
      </w:pPr>
      <w:r w:rsidRPr="00C87494">
        <w:rPr>
          <w:rFonts w:hint="eastAsia"/>
          <w:sz w:val="21"/>
          <w:szCs w:val="21"/>
          <w:lang w:val="en-GB" w:eastAsia="ja-JP"/>
        </w:rPr>
        <w:t>全体として、私たちはガイドラインの方向性と趣旨に賛同するが、すべての参加国はサービスの伝統、経済的、社会的、文化的背景が異なるため、この文書に示されているような「</w:t>
      </w:r>
      <w:r>
        <w:rPr>
          <w:rFonts w:hint="eastAsia"/>
          <w:sz w:val="21"/>
          <w:szCs w:val="21"/>
          <w:lang w:val="en-GB" w:eastAsia="ja-JP"/>
        </w:rPr>
        <w:t>すべてにあてはまる</w:t>
      </w:r>
      <w:r w:rsidRPr="00C87494">
        <w:rPr>
          <w:rFonts w:hint="eastAsia"/>
          <w:sz w:val="21"/>
          <w:szCs w:val="21"/>
          <w:lang w:val="en-GB" w:eastAsia="ja-JP"/>
        </w:rPr>
        <w:t>」アプローチが</w:t>
      </w:r>
      <w:r>
        <w:rPr>
          <w:rFonts w:hint="eastAsia"/>
          <w:sz w:val="21"/>
          <w:szCs w:val="21"/>
          <w:lang w:val="en-GB" w:eastAsia="ja-JP"/>
        </w:rPr>
        <w:t>移行</w:t>
      </w:r>
      <w:r w:rsidRPr="00C87494">
        <w:rPr>
          <w:rFonts w:hint="eastAsia"/>
          <w:sz w:val="21"/>
          <w:szCs w:val="21"/>
          <w:lang w:val="en-GB" w:eastAsia="ja-JP"/>
        </w:rPr>
        <w:t>プロセスに適用できるとは考えていないことを強調したい。ハンガリーには</w:t>
      </w:r>
      <w:r w:rsidRPr="00C87494">
        <w:rPr>
          <w:sz w:val="21"/>
          <w:szCs w:val="21"/>
          <w:lang w:val="en-GB" w:eastAsia="ja-JP"/>
        </w:rPr>
        <w:t>CRPD条約に沿ったDI</w:t>
      </w:r>
      <w:r>
        <w:rPr>
          <w:rFonts w:hint="eastAsia"/>
          <w:sz w:val="21"/>
          <w:szCs w:val="21"/>
          <w:lang w:val="en-GB" w:eastAsia="ja-JP"/>
        </w:rPr>
        <w:t>（脱施設化）</w:t>
      </w:r>
      <w:r w:rsidRPr="00C87494">
        <w:rPr>
          <w:sz w:val="21"/>
          <w:szCs w:val="21"/>
          <w:lang w:val="en-GB" w:eastAsia="ja-JP"/>
        </w:rPr>
        <w:t>の戦略があ</w:t>
      </w:r>
      <w:r>
        <w:rPr>
          <w:rFonts w:hint="eastAsia"/>
          <w:sz w:val="21"/>
          <w:szCs w:val="21"/>
          <w:lang w:val="en-GB" w:eastAsia="ja-JP"/>
        </w:rPr>
        <w:t>り</w:t>
      </w:r>
      <w:r w:rsidRPr="00C87494">
        <w:rPr>
          <w:sz w:val="21"/>
          <w:szCs w:val="21"/>
          <w:lang w:val="en-GB" w:eastAsia="ja-JP"/>
        </w:rPr>
        <w:t>、</w:t>
      </w:r>
      <w:r>
        <w:rPr>
          <w:rFonts w:hint="eastAsia"/>
          <w:sz w:val="21"/>
          <w:szCs w:val="21"/>
          <w:lang w:val="en-GB" w:eastAsia="ja-JP"/>
        </w:rPr>
        <w:t>そこ</w:t>
      </w:r>
      <w:r w:rsidRPr="00C87494">
        <w:rPr>
          <w:sz w:val="21"/>
          <w:szCs w:val="21"/>
          <w:lang w:val="en-GB" w:eastAsia="ja-JP"/>
        </w:rPr>
        <w:t>にはプロセスの具体的な枠組みと時期が定められている。</w:t>
      </w:r>
    </w:p>
    <w:p w14:paraId="0536EE47" w14:textId="77777777" w:rsidR="00431BA4" w:rsidRPr="00C87494" w:rsidRDefault="00431BA4" w:rsidP="00431BA4">
      <w:pPr>
        <w:spacing w:after="0"/>
        <w:jc w:val="both"/>
        <w:rPr>
          <w:rFonts w:ascii="Times New Roman" w:hAnsi="Times New Roman" w:cs="Times New Roman"/>
          <w:sz w:val="21"/>
          <w:szCs w:val="21"/>
          <w:lang w:val="en-GB" w:eastAsia="ja-JP"/>
        </w:rPr>
      </w:pPr>
    </w:p>
    <w:p w14:paraId="2D5854D8" w14:textId="77777777" w:rsidR="00EC0502" w:rsidRPr="00C87494" w:rsidRDefault="00EC0502" w:rsidP="00EC0502">
      <w:pPr>
        <w:ind w:firstLineChars="100" w:firstLine="210"/>
        <w:rPr>
          <w:sz w:val="21"/>
          <w:szCs w:val="21"/>
          <w:lang w:val="en-GB" w:eastAsia="ja-JP"/>
        </w:rPr>
      </w:pPr>
      <w:r w:rsidRPr="00C87494">
        <w:rPr>
          <w:rFonts w:hint="eastAsia"/>
          <w:sz w:val="21"/>
          <w:szCs w:val="21"/>
          <w:lang w:val="en-GB" w:eastAsia="ja-JP"/>
        </w:rPr>
        <w:lastRenderedPageBreak/>
        <w:t>特に、</w:t>
      </w:r>
      <w:r w:rsidRPr="00C87494">
        <w:rPr>
          <w:sz w:val="21"/>
          <w:szCs w:val="21"/>
          <w:lang w:val="en-GB" w:eastAsia="ja-JP"/>
        </w:rPr>
        <w:t>8.1の「法律における施設</w:t>
      </w:r>
      <w:r>
        <w:rPr>
          <w:rFonts w:hint="eastAsia"/>
          <w:sz w:val="21"/>
          <w:szCs w:val="21"/>
          <w:lang w:val="en-GB" w:eastAsia="ja-JP"/>
        </w:rPr>
        <w:t>ケア</w:t>
      </w:r>
      <w:r w:rsidRPr="00C87494">
        <w:rPr>
          <w:sz w:val="21"/>
          <w:szCs w:val="21"/>
          <w:lang w:val="en-GB" w:eastAsia="ja-JP"/>
        </w:rPr>
        <w:t>の廃止」という点については支持しない。なぜなら、ハンガリーでは</w:t>
      </w:r>
      <w:r>
        <w:rPr>
          <w:rFonts w:hint="eastAsia"/>
          <w:sz w:val="21"/>
          <w:szCs w:val="21"/>
          <w:lang w:val="en-GB" w:eastAsia="ja-JP"/>
        </w:rPr>
        <w:t>この</w:t>
      </w:r>
      <w:r w:rsidRPr="00C87494">
        <w:rPr>
          <w:sz w:val="21"/>
          <w:szCs w:val="21"/>
          <w:lang w:val="en-GB" w:eastAsia="ja-JP"/>
        </w:rPr>
        <w:t xml:space="preserve">対象者のための施設を設置することはもはや不可能であるが、支援付き住宅が十分でない限り、個人支援システムが強化されることはなく、他の形態の介護を法律から削除することはできないからである。後見制度や意思決定支援についても同様である。重要なのは、この文書が勧告を定めていることであり、直ちに実施すべき義務を定めていることではない。 </w:t>
      </w:r>
    </w:p>
    <w:p w14:paraId="217ADFEE" w14:textId="77777777" w:rsidR="00431BA4" w:rsidRPr="00C87494" w:rsidRDefault="00431BA4" w:rsidP="00431BA4">
      <w:pPr>
        <w:spacing w:after="0"/>
        <w:jc w:val="both"/>
        <w:rPr>
          <w:rFonts w:ascii="Times New Roman" w:hAnsi="Times New Roman" w:cs="Times New Roman"/>
          <w:sz w:val="21"/>
          <w:szCs w:val="21"/>
          <w:lang w:val="en-GB" w:eastAsia="ja-JP"/>
        </w:rPr>
      </w:pPr>
    </w:p>
    <w:p w14:paraId="7CF5B18D" w14:textId="4E3ABB47" w:rsidR="00EC0502" w:rsidRPr="00C87494" w:rsidRDefault="00EC0502" w:rsidP="00EC0502">
      <w:pPr>
        <w:ind w:firstLineChars="100" w:firstLine="210"/>
        <w:rPr>
          <w:sz w:val="21"/>
          <w:szCs w:val="21"/>
          <w:lang w:val="en-GB" w:eastAsia="ja-JP"/>
        </w:rPr>
      </w:pPr>
      <w:r w:rsidRPr="00C87494">
        <w:rPr>
          <w:rFonts w:hint="eastAsia"/>
          <w:sz w:val="21"/>
          <w:szCs w:val="21"/>
          <w:lang w:val="en-GB" w:eastAsia="ja-JP"/>
        </w:rPr>
        <w:t>さらに、障害に特化したサービスが障害者の統合を</w:t>
      </w:r>
      <w:r>
        <w:rPr>
          <w:rFonts w:hint="eastAsia"/>
          <w:sz w:val="21"/>
          <w:szCs w:val="21"/>
          <w:lang w:val="en-GB" w:eastAsia="ja-JP"/>
        </w:rPr>
        <w:t>促さ</w:t>
      </w:r>
      <w:r w:rsidRPr="00C87494">
        <w:rPr>
          <w:rFonts w:hint="eastAsia"/>
          <w:sz w:val="21"/>
          <w:szCs w:val="21"/>
          <w:lang w:val="en-GB" w:eastAsia="ja-JP"/>
        </w:rPr>
        <w:t>ないという意見にも同意できない（</w:t>
      </w:r>
      <w:r>
        <w:rPr>
          <w:rFonts w:hint="eastAsia"/>
          <w:sz w:val="21"/>
          <w:szCs w:val="21"/>
          <w:lang w:val="en-GB" w:eastAsia="ja-JP"/>
        </w:rPr>
        <w:t>パラグラフ</w:t>
      </w:r>
      <w:r w:rsidRPr="00C87494">
        <w:rPr>
          <w:sz w:val="21"/>
          <w:szCs w:val="21"/>
          <w:lang w:val="en-GB" w:eastAsia="ja-JP"/>
        </w:rPr>
        <w:t>15.6）。これらのサービスは、エンパワーメント、能力開発、地域社会での自立生活</w:t>
      </w:r>
      <w:r w:rsidR="00366C48" w:rsidRPr="00781C94">
        <w:rPr>
          <w:rFonts w:hint="eastAsia"/>
          <w:sz w:val="21"/>
          <w:szCs w:val="21"/>
          <w:lang w:val="en-GB" w:eastAsia="ja-JP"/>
        </w:rPr>
        <w:t>に貢献し</w:t>
      </w:r>
      <w:r w:rsidRPr="00781C94">
        <w:rPr>
          <w:sz w:val="21"/>
          <w:szCs w:val="21"/>
          <w:lang w:val="en-GB" w:eastAsia="ja-JP"/>
        </w:rPr>
        <w:t>う</w:t>
      </w:r>
      <w:r w:rsidRPr="00C87494">
        <w:rPr>
          <w:sz w:val="21"/>
          <w:szCs w:val="21"/>
          <w:lang w:val="en-GB" w:eastAsia="ja-JP"/>
        </w:rPr>
        <w:t>る。どうか「</w:t>
      </w:r>
      <w:r>
        <w:rPr>
          <w:rFonts w:hint="eastAsia"/>
          <w:sz w:val="21"/>
          <w:szCs w:val="21"/>
          <w:lang w:val="en-GB" w:eastAsia="ja-JP"/>
        </w:rPr>
        <w:t>産湯と</w:t>
      </w:r>
      <w:r w:rsidR="00526DA3">
        <w:rPr>
          <w:rFonts w:hint="eastAsia"/>
          <w:sz w:val="21"/>
          <w:szCs w:val="21"/>
          <w:lang w:val="en-GB" w:eastAsia="ja-JP"/>
        </w:rPr>
        <w:t>ともに</w:t>
      </w:r>
      <w:r w:rsidR="00526DA3" w:rsidRPr="00C87494">
        <w:rPr>
          <w:sz w:val="21"/>
          <w:szCs w:val="21"/>
          <w:lang w:val="en-GB" w:eastAsia="ja-JP"/>
        </w:rPr>
        <w:t>赤</w:t>
      </w:r>
      <w:r w:rsidR="00526DA3">
        <w:rPr>
          <w:rFonts w:hint="eastAsia"/>
          <w:sz w:val="21"/>
          <w:szCs w:val="21"/>
          <w:lang w:val="en-GB" w:eastAsia="ja-JP"/>
        </w:rPr>
        <w:t>子を</w:t>
      </w:r>
      <w:r>
        <w:rPr>
          <w:rFonts w:hint="eastAsia"/>
          <w:sz w:val="21"/>
          <w:szCs w:val="21"/>
          <w:lang w:val="en-GB" w:eastAsia="ja-JP"/>
        </w:rPr>
        <w:t>流す</w:t>
      </w:r>
      <w:r w:rsidRPr="00C87494">
        <w:rPr>
          <w:sz w:val="21"/>
          <w:szCs w:val="21"/>
          <w:lang w:val="en-GB" w:eastAsia="ja-JP"/>
        </w:rPr>
        <w:t>」</w:t>
      </w:r>
      <w:r w:rsidR="00811462">
        <w:rPr>
          <w:rFonts w:hint="eastAsia"/>
          <w:sz w:val="21"/>
          <w:szCs w:val="21"/>
          <w:lang w:val="en-GB" w:eastAsia="ja-JP"/>
        </w:rPr>
        <w:t>（</w:t>
      </w:r>
      <w:r w:rsidR="00BF0AB4" w:rsidRPr="00BF0AB4">
        <w:rPr>
          <w:sz w:val="21"/>
          <w:szCs w:val="21"/>
          <w:lang w:val="en-GB" w:eastAsia="ja-JP"/>
        </w:rPr>
        <w:t>throw the baby out with the bath water</w:t>
      </w:r>
      <w:r w:rsidR="00BF0AB4">
        <w:rPr>
          <w:rFonts w:hint="eastAsia"/>
          <w:sz w:val="21"/>
          <w:szCs w:val="21"/>
          <w:lang w:val="en-GB" w:eastAsia="ja-JP"/>
        </w:rPr>
        <w:t>）</w:t>
      </w:r>
      <w:r w:rsidRPr="00C87494">
        <w:rPr>
          <w:sz w:val="21"/>
          <w:szCs w:val="21"/>
          <w:lang w:val="en-GB" w:eastAsia="ja-JP"/>
        </w:rPr>
        <w:t>ようなことはしないでください。この文書が分離主義と呼んでいる既存のケアの形態の多くは、孤独感の緩和、日中の社交、うつ回避の手段でもあり、準自助グループとしても機能している。</w:t>
      </w:r>
    </w:p>
    <w:p w14:paraId="0D7588CA" w14:textId="77777777" w:rsidR="00431BA4" w:rsidRPr="00C87494" w:rsidRDefault="00431BA4" w:rsidP="00431BA4">
      <w:pPr>
        <w:spacing w:after="0"/>
        <w:jc w:val="both"/>
        <w:rPr>
          <w:rFonts w:ascii="Times New Roman" w:hAnsi="Times New Roman" w:cs="Times New Roman"/>
          <w:sz w:val="21"/>
          <w:szCs w:val="21"/>
          <w:lang w:val="en-GB" w:eastAsia="ja-JP"/>
        </w:rPr>
      </w:pPr>
    </w:p>
    <w:p w14:paraId="759D0412" w14:textId="77777777" w:rsidR="00EC0502" w:rsidRPr="00C87494" w:rsidRDefault="00EC0502" w:rsidP="00EC0502">
      <w:pPr>
        <w:ind w:firstLineChars="100" w:firstLine="210"/>
        <w:rPr>
          <w:sz w:val="21"/>
          <w:szCs w:val="21"/>
          <w:lang w:val="en-GB" w:eastAsia="ja-JP"/>
        </w:rPr>
      </w:pPr>
      <w:r w:rsidRPr="00C87494">
        <w:rPr>
          <w:rFonts w:hint="eastAsia"/>
          <w:sz w:val="21"/>
          <w:szCs w:val="21"/>
          <w:lang w:val="en-GB" w:eastAsia="ja-JP"/>
        </w:rPr>
        <w:t>私たちは、障害者がそのニーズに最も適したサービスを利用できるよう、幅広いサービスが必要だと考えている。</w:t>
      </w:r>
      <w:r>
        <w:rPr>
          <w:rFonts w:hint="eastAsia"/>
          <w:sz w:val="21"/>
          <w:szCs w:val="21"/>
          <w:lang w:val="en-GB" w:eastAsia="ja-JP"/>
        </w:rPr>
        <w:t>ここにはパーソナルアシスタンスも含まれるが</w:t>
      </w:r>
      <w:r w:rsidRPr="00C87494">
        <w:rPr>
          <w:rFonts w:hint="eastAsia"/>
          <w:sz w:val="21"/>
          <w:szCs w:val="21"/>
          <w:lang w:val="en-GB" w:eastAsia="ja-JP"/>
        </w:rPr>
        <w:t>、デイケアセンターや危機的状況における一時的な住まいも含まれる。そうすることで、家族からのインフォーマルな支援が、障害とともに暮らす人にとって唯一の選択肢ではなくなる。</w:t>
      </w:r>
    </w:p>
    <w:p w14:paraId="2B496994" w14:textId="77777777" w:rsidR="00431BA4" w:rsidRPr="00C87494" w:rsidRDefault="00431BA4" w:rsidP="00431BA4">
      <w:pPr>
        <w:spacing w:after="0"/>
        <w:jc w:val="both"/>
        <w:rPr>
          <w:rFonts w:ascii="Times New Roman" w:hAnsi="Times New Roman" w:cs="Times New Roman"/>
          <w:sz w:val="21"/>
          <w:szCs w:val="21"/>
          <w:lang w:val="en-GB" w:eastAsia="ja-JP"/>
        </w:rPr>
      </w:pPr>
    </w:p>
    <w:p w14:paraId="7BCA3EFF" w14:textId="014D3D63" w:rsidR="00EC0502" w:rsidRPr="00C87494" w:rsidRDefault="00EC0502" w:rsidP="00EC0502">
      <w:pPr>
        <w:ind w:firstLineChars="100" w:firstLine="210"/>
        <w:rPr>
          <w:sz w:val="21"/>
          <w:szCs w:val="21"/>
          <w:lang w:val="en-GB" w:eastAsia="ja-JP"/>
        </w:rPr>
      </w:pPr>
      <w:r w:rsidRPr="00C87494">
        <w:rPr>
          <w:rFonts w:hint="eastAsia"/>
          <w:sz w:val="21"/>
          <w:szCs w:val="21"/>
          <w:lang w:val="en-GB" w:eastAsia="ja-JP"/>
        </w:rPr>
        <w:t>ヨーロッパ全体</w:t>
      </w:r>
      <w:r w:rsidR="00366C48">
        <w:rPr>
          <w:rFonts w:hint="eastAsia"/>
          <w:sz w:val="21"/>
          <w:szCs w:val="21"/>
          <w:lang w:val="en-GB" w:eastAsia="ja-JP"/>
        </w:rPr>
        <w:t>は</w:t>
      </w:r>
      <w:r w:rsidRPr="00C87494">
        <w:rPr>
          <w:rFonts w:hint="eastAsia"/>
          <w:sz w:val="21"/>
          <w:szCs w:val="21"/>
          <w:lang w:val="en-GB" w:eastAsia="ja-JP"/>
        </w:rPr>
        <w:t>、社会分野のスタッフ不足に直面している。私たちは、研修や啓発を通じて、以前は施設ケアで働いていた人たちが、障害者とともに働き、自立した生活を支援できるようになると信じている。私たちの経験に基づけば、上下関係や施設文化を手放すことができない人は、短期間でこの職業から去っていくだろう。</w:t>
      </w:r>
    </w:p>
    <w:p w14:paraId="2DF3A04C" w14:textId="77777777" w:rsidR="00431BA4" w:rsidRPr="00C87494" w:rsidRDefault="00431BA4" w:rsidP="00431BA4">
      <w:pPr>
        <w:spacing w:after="0"/>
        <w:jc w:val="both"/>
        <w:rPr>
          <w:rFonts w:ascii="Times New Roman" w:hAnsi="Times New Roman" w:cs="Times New Roman"/>
          <w:sz w:val="21"/>
          <w:szCs w:val="21"/>
          <w:lang w:val="en-GB" w:eastAsia="ja-JP"/>
        </w:rPr>
      </w:pPr>
    </w:p>
    <w:p w14:paraId="143AB71A" w14:textId="7F8E4B74" w:rsidR="00EC0502" w:rsidRPr="00C87494" w:rsidRDefault="00EC0502" w:rsidP="00EC0502">
      <w:pPr>
        <w:ind w:firstLineChars="100" w:firstLine="210"/>
        <w:rPr>
          <w:sz w:val="21"/>
          <w:szCs w:val="21"/>
          <w:lang w:val="en-GB" w:eastAsia="ja-JP"/>
        </w:rPr>
      </w:pPr>
      <w:r w:rsidRPr="00C87494">
        <w:rPr>
          <w:rFonts w:hint="eastAsia"/>
          <w:sz w:val="21"/>
          <w:szCs w:val="21"/>
          <w:lang w:val="en-GB" w:eastAsia="ja-JP"/>
        </w:rPr>
        <w:t>加えて強調したいのは、</w:t>
      </w:r>
      <w:r w:rsidRPr="00C87494">
        <w:rPr>
          <w:sz w:val="21"/>
          <w:szCs w:val="21"/>
          <w:lang w:val="en-GB" w:eastAsia="ja-JP"/>
        </w:rPr>
        <w:t>COVID-19のパンデミックの際に導入された</w:t>
      </w:r>
      <w:r>
        <w:rPr>
          <w:rFonts w:hint="eastAsia"/>
          <w:sz w:val="21"/>
          <w:szCs w:val="21"/>
          <w:lang w:val="en-GB" w:eastAsia="ja-JP"/>
        </w:rPr>
        <w:t>ロックダウン</w:t>
      </w:r>
      <w:r w:rsidRPr="00C87494">
        <w:rPr>
          <w:sz w:val="21"/>
          <w:szCs w:val="21"/>
          <w:lang w:val="en-GB" w:eastAsia="ja-JP"/>
        </w:rPr>
        <w:t>などの措置は、施設に入所している人だけでなく、すべての市民に適用されたということである。高齢の障害者は脆弱な状態にあることが多く、COVIDに関連した死亡率に対してより脆弱であったこと、また施設入所者がヨーロッパ全土で特に危険にさらされていたこと</w:t>
      </w:r>
      <w:r w:rsidRPr="00C87494">
        <w:rPr>
          <w:sz w:val="21"/>
          <w:szCs w:val="21"/>
          <w:lang w:val="en-GB" w:eastAsia="ja-JP"/>
        </w:rPr>
        <w:lastRenderedPageBreak/>
        <w:t>は明らかである。COVID-19</w:t>
      </w:r>
      <w:r w:rsidR="002C1169">
        <w:rPr>
          <w:rFonts w:hint="eastAsia"/>
          <w:sz w:val="21"/>
          <w:szCs w:val="21"/>
          <w:lang w:val="en-GB" w:eastAsia="ja-JP"/>
        </w:rPr>
        <w:t>で</w:t>
      </w:r>
      <w:r w:rsidRPr="00C87494">
        <w:rPr>
          <w:sz w:val="21"/>
          <w:szCs w:val="21"/>
          <w:lang w:val="en-GB" w:eastAsia="ja-JP"/>
        </w:rPr>
        <w:t>はまた、</w:t>
      </w:r>
      <w:r w:rsidR="002C1169">
        <w:rPr>
          <w:rFonts w:hint="eastAsia"/>
          <w:sz w:val="21"/>
          <w:szCs w:val="21"/>
          <w:lang w:val="en-GB" w:eastAsia="ja-JP"/>
        </w:rPr>
        <w:t>私たちの</w:t>
      </w:r>
      <w:r w:rsidRPr="00C87494">
        <w:rPr>
          <w:sz w:val="21"/>
          <w:szCs w:val="21"/>
          <w:lang w:val="en-GB" w:eastAsia="ja-JP"/>
        </w:rPr>
        <w:t>進</w:t>
      </w:r>
      <w:r>
        <w:rPr>
          <w:rFonts w:hint="eastAsia"/>
          <w:sz w:val="21"/>
          <w:szCs w:val="21"/>
          <w:lang w:val="en-GB" w:eastAsia="ja-JP"/>
        </w:rPr>
        <w:t>む</w:t>
      </w:r>
      <w:r w:rsidRPr="00C87494">
        <w:rPr>
          <w:sz w:val="21"/>
          <w:szCs w:val="21"/>
          <w:lang w:val="en-GB" w:eastAsia="ja-JP"/>
        </w:rPr>
        <w:t>方向が明らかに自宅での支援に向かっていることを確認した。しかし、施設でのケアが存在する限り、このような緊急事態のためのプロトコルを開発する必要があ</w:t>
      </w:r>
      <w:r w:rsidRPr="00C87494">
        <w:rPr>
          <w:rFonts w:hint="eastAsia"/>
          <w:sz w:val="21"/>
          <w:szCs w:val="21"/>
          <w:lang w:val="en-GB" w:eastAsia="ja-JP"/>
        </w:rPr>
        <w:t>る。</w:t>
      </w:r>
    </w:p>
    <w:p w14:paraId="58B14C82" w14:textId="2B8F2861" w:rsidR="00431BA4" w:rsidRPr="00C87494" w:rsidRDefault="00431BA4" w:rsidP="00431BA4">
      <w:pPr>
        <w:spacing w:after="0"/>
        <w:jc w:val="both"/>
        <w:rPr>
          <w:rFonts w:ascii="Times New Roman" w:hAnsi="Times New Roman" w:cs="Times New Roman"/>
          <w:sz w:val="21"/>
          <w:szCs w:val="21"/>
          <w:lang w:val="en-GB" w:eastAsia="ja-JP"/>
        </w:rPr>
      </w:pPr>
    </w:p>
    <w:p w14:paraId="70061ECF" w14:textId="77777777" w:rsidR="00EC0502" w:rsidRPr="00C87494" w:rsidRDefault="00EC0502" w:rsidP="00EC0502">
      <w:pPr>
        <w:ind w:firstLineChars="100" w:firstLine="210"/>
        <w:rPr>
          <w:sz w:val="21"/>
          <w:szCs w:val="21"/>
          <w:lang w:val="en-GB" w:eastAsia="ja-JP"/>
        </w:rPr>
      </w:pPr>
      <w:r w:rsidRPr="00C87494">
        <w:rPr>
          <w:rFonts w:hint="eastAsia"/>
          <w:sz w:val="21"/>
          <w:szCs w:val="21"/>
          <w:lang w:val="en-GB" w:eastAsia="ja-JP"/>
        </w:rPr>
        <w:t>私たちの見解では、この文書は締約国に対して、</w:t>
      </w:r>
      <w:r>
        <w:rPr>
          <w:rFonts w:hint="eastAsia"/>
          <w:sz w:val="21"/>
          <w:szCs w:val="21"/>
          <w:lang w:val="en-GB" w:eastAsia="ja-JP"/>
        </w:rPr>
        <w:t>理念</w:t>
      </w:r>
      <w:r w:rsidRPr="00C87494">
        <w:rPr>
          <w:rFonts w:hint="eastAsia"/>
          <w:sz w:val="21"/>
          <w:szCs w:val="21"/>
          <w:lang w:val="en-GB" w:eastAsia="ja-JP"/>
        </w:rPr>
        <w:t>的には</w:t>
      </w:r>
      <w:r>
        <w:rPr>
          <w:rFonts w:hint="eastAsia"/>
          <w:sz w:val="21"/>
          <w:szCs w:val="21"/>
          <w:lang w:val="en-GB" w:eastAsia="ja-JP"/>
        </w:rPr>
        <w:t>正しい</w:t>
      </w:r>
      <w:r w:rsidRPr="00C87494">
        <w:rPr>
          <w:rFonts w:hint="eastAsia"/>
          <w:sz w:val="21"/>
          <w:szCs w:val="21"/>
          <w:lang w:val="en-GB" w:eastAsia="ja-JP"/>
        </w:rPr>
        <w:t>が、現在の社会経済的状況では非現実的な、多くの期待を示している。障害者に対する優遇措置（例えば進学）は、生活の多くの分野で推進されるべき目標であるが、逆効果になり、障害者の社会的受容に逆行する</w:t>
      </w:r>
      <w:r>
        <w:rPr>
          <w:rFonts w:hint="eastAsia"/>
          <w:sz w:val="21"/>
          <w:szCs w:val="21"/>
          <w:lang w:val="en-GB" w:eastAsia="ja-JP"/>
        </w:rPr>
        <w:t>可能性がある</w:t>
      </w:r>
      <w:r w:rsidRPr="00C87494">
        <w:rPr>
          <w:rFonts w:hint="eastAsia"/>
          <w:sz w:val="21"/>
          <w:szCs w:val="21"/>
          <w:lang w:val="en-GB" w:eastAsia="ja-JP"/>
        </w:rPr>
        <w:t>。</w:t>
      </w:r>
      <w:r w:rsidRPr="00C87494">
        <w:rPr>
          <w:sz w:val="21"/>
          <w:szCs w:val="21"/>
          <w:lang w:val="en-GB" w:eastAsia="ja-JP"/>
        </w:rPr>
        <w:t xml:space="preserve"> </w:t>
      </w:r>
    </w:p>
    <w:p w14:paraId="7E1BF216" w14:textId="77777777" w:rsidR="00431BA4" w:rsidRPr="00C87494" w:rsidRDefault="00431BA4" w:rsidP="00431BA4">
      <w:pPr>
        <w:spacing w:after="0"/>
        <w:jc w:val="both"/>
        <w:rPr>
          <w:rFonts w:ascii="Times New Roman" w:hAnsi="Times New Roman" w:cs="Times New Roman"/>
          <w:sz w:val="21"/>
          <w:szCs w:val="21"/>
          <w:lang w:val="en-GB" w:eastAsia="ja-JP"/>
        </w:rPr>
      </w:pPr>
    </w:p>
    <w:p w14:paraId="33EA84E2" w14:textId="0FD1D071" w:rsidR="00EC0502" w:rsidRPr="00C87494" w:rsidRDefault="00EC0502" w:rsidP="00EC0502">
      <w:pPr>
        <w:ind w:firstLineChars="100" w:firstLine="210"/>
        <w:rPr>
          <w:sz w:val="21"/>
          <w:szCs w:val="21"/>
          <w:lang w:val="en-GB" w:eastAsia="ja-JP"/>
        </w:rPr>
      </w:pPr>
      <w:r w:rsidRPr="00C87494">
        <w:rPr>
          <w:rFonts w:hint="eastAsia"/>
          <w:sz w:val="21"/>
          <w:szCs w:val="21"/>
          <w:lang w:val="en-GB" w:eastAsia="ja-JP"/>
        </w:rPr>
        <w:t>私たちは、</w:t>
      </w:r>
      <w:r w:rsidR="002C1169" w:rsidRPr="00781C94">
        <w:rPr>
          <w:rFonts w:hint="eastAsia"/>
          <w:sz w:val="21"/>
          <w:szCs w:val="21"/>
          <w:lang w:val="en-GB" w:eastAsia="ja-JP"/>
        </w:rPr>
        <w:t>具体的な</w:t>
      </w:r>
      <w:r w:rsidRPr="00781C94">
        <w:rPr>
          <w:rFonts w:hint="eastAsia"/>
          <w:sz w:val="21"/>
          <w:szCs w:val="21"/>
          <w:lang w:val="en-GB" w:eastAsia="ja-JP"/>
        </w:rPr>
        <w:t>国</w:t>
      </w:r>
      <w:r w:rsidR="00DA0B90" w:rsidRPr="00781C94">
        <w:rPr>
          <w:rFonts w:hint="eastAsia"/>
          <w:sz w:val="21"/>
          <w:szCs w:val="21"/>
          <w:lang w:val="en-GB" w:eastAsia="ja-JP"/>
        </w:rPr>
        <w:t>の</w:t>
      </w:r>
      <w:r w:rsidRPr="00C87494">
        <w:rPr>
          <w:rFonts w:hint="eastAsia"/>
          <w:sz w:val="21"/>
          <w:szCs w:val="21"/>
          <w:lang w:val="en-GB" w:eastAsia="ja-JP"/>
        </w:rPr>
        <w:t>脱施設化の分野における</w:t>
      </w:r>
      <w:r>
        <w:rPr>
          <w:rFonts w:hint="eastAsia"/>
          <w:sz w:val="21"/>
          <w:szCs w:val="21"/>
          <w:lang w:val="en-GB" w:eastAsia="ja-JP"/>
        </w:rPr>
        <w:t>優良事例</w:t>
      </w:r>
      <w:r w:rsidRPr="00C87494">
        <w:rPr>
          <w:rFonts w:hint="eastAsia"/>
          <w:sz w:val="21"/>
          <w:szCs w:val="21"/>
          <w:lang w:val="en-GB" w:eastAsia="ja-JP"/>
        </w:rPr>
        <w:t>の公表を歓迎する。例えば、何人が施設で暮らしてきたか、どのような具体的措置が取られたか、移動した人々がどこで、どのような状況で、どのようなサービスを受けているか、などである。理論的なアプローチだけでなく、特定の施設だけでなく国単位での</w:t>
      </w:r>
      <w:r>
        <w:rPr>
          <w:rFonts w:hint="eastAsia"/>
          <w:sz w:val="21"/>
          <w:szCs w:val="21"/>
          <w:lang w:val="en-GB" w:eastAsia="ja-JP"/>
        </w:rPr>
        <w:t>、</w:t>
      </w:r>
      <w:r w:rsidRPr="00C87494">
        <w:rPr>
          <w:rFonts w:hint="eastAsia"/>
          <w:sz w:val="21"/>
          <w:szCs w:val="21"/>
          <w:lang w:val="en-GB" w:eastAsia="ja-JP"/>
        </w:rPr>
        <w:t>優れた実践事例がもっとたくさんあることが望ましい。</w:t>
      </w:r>
    </w:p>
    <w:p w14:paraId="2F24440B" w14:textId="77777777" w:rsidR="00431BA4" w:rsidRPr="00C87494" w:rsidRDefault="00431BA4" w:rsidP="00431BA4">
      <w:pPr>
        <w:rPr>
          <w:sz w:val="21"/>
          <w:szCs w:val="21"/>
          <w:lang w:val="en-GB" w:eastAsia="ja-JP"/>
        </w:rPr>
      </w:pPr>
    </w:p>
    <w:p w14:paraId="74C5917D" w14:textId="48B99F5E" w:rsidR="000A61AE" w:rsidRPr="00C87494" w:rsidRDefault="000A61AE" w:rsidP="00EC0502">
      <w:pPr>
        <w:jc w:val="right"/>
        <w:rPr>
          <w:sz w:val="21"/>
          <w:szCs w:val="21"/>
          <w:lang w:val="en-US" w:eastAsia="ja-JP"/>
        </w:rPr>
      </w:pPr>
      <w:r w:rsidRPr="00C87494">
        <w:rPr>
          <w:rFonts w:hint="eastAsia"/>
          <w:sz w:val="21"/>
          <w:szCs w:val="21"/>
        </w:rPr>
        <w:t>（翻訳：佐藤久夫、</w:t>
      </w:r>
      <w:r w:rsidR="00020A3E" w:rsidRPr="00781C94">
        <w:rPr>
          <w:rFonts w:hint="eastAsia"/>
          <w:sz w:val="21"/>
          <w:szCs w:val="21"/>
          <w:lang w:eastAsia="ja-JP"/>
        </w:rPr>
        <w:t>尾上裕介</w:t>
      </w:r>
      <w:r w:rsidRPr="00C87494">
        <w:rPr>
          <w:rFonts w:hint="eastAsia"/>
          <w:sz w:val="21"/>
          <w:szCs w:val="21"/>
        </w:rPr>
        <w:t>）</w:t>
      </w:r>
    </w:p>
    <w:sectPr w:rsidR="000A61AE" w:rsidRPr="00C8749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37B0" w14:textId="77777777" w:rsidR="004D400E" w:rsidRDefault="004D400E" w:rsidP="000A61AE">
      <w:pPr>
        <w:spacing w:after="0" w:line="240" w:lineRule="auto"/>
      </w:pPr>
      <w:r>
        <w:separator/>
      </w:r>
    </w:p>
  </w:endnote>
  <w:endnote w:type="continuationSeparator" w:id="0">
    <w:p w14:paraId="55053727" w14:textId="77777777" w:rsidR="004D400E" w:rsidRDefault="004D400E" w:rsidP="000A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81855"/>
      <w:docPartObj>
        <w:docPartGallery w:val="Page Numbers (Bottom of Page)"/>
        <w:docPartUnique/>
      </w:docPartObj>
    </w:sdtPr>
    <w:sdtEndPr/>
    <w:sdtContent>
      <w:p w14:paraId="23695E51" w14:textId="623300E0" w:rsidR="000A61AE" w:rsidRDefault="000A61AE">
        <w:pPr>
          <w:pStyle w:val="a5"/>
        </w:pPr>
        <w:r>
          <w:fldChar w:fldCharType="begin"/>
        </w:r>
        <w:r>
          <w:instrText>PAGE   \* MERGEFORMAT</w:instrText>
        </w:r>
        <w:r>
          <w:fldChar w:fldCharType="separate"/>
        </w:r>
        <w:r>
          <w:rPr>
            <w:lang w:val="ja-JP" w:eastAsia="ja-JP"/>
          </w:rPr>
          <w:t>2</w:t>
        </w:r>
        <w:r>
          <w:fldChar w:fldCharType="end"/>
        </w:r>
      </w:p>
    </w:sdtContent>
  </w:sdt>
  <w:p w14:paraId="4B74F978" w14:textId="77777777" w:rsidR="000A61AE" w:rsidRDefault="000A61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A26B" w14:textId="77777777" w:rsidR="004D400E" w:rsidRDefault="004D400E" w:rsidP="000A61AE">
      <w:pPr>
        <w:spacing w:after="0" w:line="240" w:lineRule="auto"/>
      </w:pPr>
      <w:r>
        <w:separator/>
      </w:r>
    </w:p>
  </w:footnote>
  <w:footnote w:type="continuationSeparator" w:id="0">
    <w:p w14:paraId="3BA8F8F1" w14:textId="77777777" w:rsidR="004D400E" w:rsidRDefault="004D400E" w:rsidP="000A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1B55"/>
    <w:multiLevelType w:val="hybridMultilevel"/>
    <w:tmpl w:val="7F7ADD7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60A0247C"/>
    <w:multiLevelType w:val="hybridMultilevel"/>
    <w:tmpl w:val="3B14FEE2"/>
    <w:lvl w:ilvl="0" w:tplc="85323C9A">
      <w:numFmt w:val="bullet"/>
      <w:lvlText w:val="-"/>
      <w:lvlJc w:val="left"/>
      <w:pPr>
        <w:ind w:left="674" w:hanging="360"/>
      </w:pPr>
      <w:rPr>
        <w:rFonts w:ascii="游明朝" w:eastAsia="游明朝" w:hAnsi="游明朝" w:cstheme="minorBidi" w:hint="eastAsia"/>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num w:numId="1" w16cid:durableId="1086147916">
    <w:abstractNumId w:val="0"/>
  </w:num>
  <w:num w:numId="2" w16cid:durableId="210908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16"/>
    <w:rsid w:val="00020A3E"/>
    <w:rsid w:val="000A61AE"/>
    <w:rsid w:val="00263416"/>
    <w:rsid w:val="002C1169"/>
    <w:rsid w:val="00366C48"/>
    <w:rsid w:val="00431BA4"/>
    <w:rsid w:val="004D400E"/>
    <w:rsid w:val="00526DA3"/>
    <w:rsid w:val="005C1BD6"/>
    <w:rsid w:val="0074381A"/>
    <w:rsid w:val="00781C94"/>
    <w:rsid w:val="00811462"/>
    <w:rsid w:val="00A11465"/>
    <w:rsid w:val="00A56A17"/>
    <w:rsid w:val="00AA3BA0"/>
    <w:rsid w:val="00B82D2E"/>
    <w:rsid w:val="00BA4383"/>
    <w:rsid w:val="00BF0AB4"/>
    <w:rsid w:val="00C87494"/>
    <w:rsid w:val="00D22B98"/>
    <w:rsid w:val="00DA0B90"/>
    <w:rsid w:val="00E1094A"/>
    <w:rsid w:val="00EC05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07569A"/>
  <w15:chartTrackingRefBased/>
  <w15:docId w15:val="{89BC349E-AF7B-4E92-BD5F-4EF669B8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BA4"/>
    <w:pPr>
      <w:spacing w:after="200" w:line="276" w:lineRule="auto"/>
    </w:pPr>
    <w:rPr>
      <w:kern w:val="0"/>
      <w:sz w:val="22"/>
      <w:lang w:val="hu-H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1AE"/>
    <w:pPr>
      <w:tabs>
        <w:tab w:val="center" w:pos="4252"/>
        <w:tab w:val="right" w:pos="8504"/>
      </w:tabs>
      <w:snapToGrid w:val="0"/>
    </w:pPr>
  </w:style>
  <w:style w:type="character" w:customStyle="1" w:styleId="a4">
    <w:name w:val="ヘッダー (文字)"/>
    <w:basedOn w:val="a0"/>
    <w:link w:val="a3"/>
    <w:uiPriority w:val="99"/>
    <w:rsid w:val="000A61AE"/>
    <w:rPr>
      <w:kern w:val="0"/>
      <w:sz w:val="22"/>
      <w:lang w:val="hu-HU" w:eastAsia="en-US"/>
    </w:rPr>
  </w:style>
  <w:style w:type="paragraph" w:styleId="a5">
    <w:name w:val="footer"/>
    <w:basedOn w:val="a"/>
    <w:link w:val="a6"/>
    <w:uiPriority w:val="99"/>
    <w:unhideWhenUsed/>
    <w:rsid w:val="000A61AE"/>
    <w:pPr>
      <w:tabs>
        <w:tab w:val="center" w:pos="4252"/>
        <w:tab w:val="right" w:pos="8504"/>
      </w:tabs>
      <w:snapToGrid w:val="0"/>
    </w:pPr>
  </w:style>
  <w:style w:type="character" w:customStyle="1" w:styleId="a6">
    <w:name w:val="フッター (文字)"/>
    <w:basedOn w:val="a0"/>
    <w:link w:val="a5"/>
    <w:uiPriority w:val="99"/>
    <w:rsid w:val="000A61AE"/>
    <w:rPr>
      <w:kern w:val="0"/>
      <w:sz w:val="22"/>
      <w:lang w:val="hu-HU" w:eastAsia="en-US"/>
    </w:rPr>
  </w:style>
  <w:style w:type="paragraph" w:styleId="a7">
    <w:name w:val="List Paragraph"/>
    <w:basedOn w:val="a"/>
    <w:uiPriority w:val="34"/>
    <w:qFormat/>
    <w:rsid w:val="00AA3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2023-07-04T05:32:00Z</cp:lastPrinted>
  <dcterms:created xsi:type="dcterms:W3CDTF">2024-03-04T04:12:00Z</dcterms:created>
  <dcterms:modified xsi:type="dcterms:W3CDTF">2024-03-04T04:12:00Z</dcterms:modified>
</cp:coreProperties>
</file>