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1C0D" w14:textId="7F8CA6C2" w:rsidR="00BA10EB" w:rsidRDefault="00BA10EB" w:rsidP="00BA10EB">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57</w:t>
      </w:r>
    </w:p>
    <w:p w14:paraId="1D244DE6" w14:textId="77777777" w:rsidR="00470D2E" w:rsidRPr="00BA10EB" w:rsidRDefault="00470D2E">
      <w:pPr>
        <w:rPr>
          <w:rFonts w:asciiTheme="minorEastAsia" w:hAnsiTheme="minorEastAsia"/>
        </w:rPr>
      </w:pPr>
    </w:p>
    <w:p w14:paraId="0A27AB01" w14:textId="1E2F718F" w:rsidR="00A11465" w:rsidRPr="00661284" w:rsidRDefault="00D441C2">
      <w:pPr>
        <w:rPr>
          <w:rFonts w:asciiTheme="minorEastAsia" w:hAnsiTheme="minorEastAsia"/>
        </w:rPr>
      </w:pPr>
      <w:r w:rsidRPr="00661284">
        <w:rPr>
          <w:rFonts w:asciiTheme="minorEastAsia" w:hAnsiTheme="minorEastAsia" w:hint="eastAsia"/>
        </w:rPr>
        <w:t>国際二分脊椎・水頭症連盟</w:t>
      </w:r>
    </w:p>
    <w:p w14:paraId="1A8C3145" w14:textId="77777777" w:rsidR="00470D2E" w:rsidRPr="00661284" w:rsidRDefault="00FF573C" w:rsidP="00470D2E">
      <w:pPr>
        <w:rPr>
          <w:rFonts w:asciiTheme="minorEastAsia" w:hAnsiTheme="minorEastAsia"/>
        </w:rPr>
      </w:pPr>
      <w:r w:rsidRPr="00661284">
        <w:rPr>
          <w:rFonts w:asciiTheme="minorEastAsia" w:hAnsiTheme="minorEastAsia"/>
          <w:noProof/>
          <w:sz w:val="20"/>
          <w:lang w:val="en-GB" w:eastAsia="en-GB"/>
        </w:rPr>
        <w:drawing>
          <wp:anchor distT="0" distB="0" distL="114300" distR="114300" simplePos="0" relativeHeight="251661312" behindDoc="0" locked="0" layoutInCell="1" allowOverlap="1" wp14:anchorId="6F537882" wp14:editId="1061BF0B">
            <wp:simplePos x="1080135" y="1743075"/>
            <wp:positionH relativeFrom="column">
              <wp:align>left</wp:align>
            </wp:positionH>
            <wp:positionV relativeFrom="paragraph">
              <wp:align>top</wp:align>
            </wp:positionV>
            <wp:extent cx="2324100" cy="631825"/>
            <wp:effectExtent l="0" t="0" r="0" b="0"/>
            <wp:wrapSquare wrapText="bothSides"/>
            <wp:docPr id="1" name="image1.jpeg" descr="Une image contenant text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631825"/>
                    </a:xfrm>
                    <a:prstGeom prst="rect">
                      <a:avLst/>
                    </a:prstGeom>
                  </pic:spPr>
                </pic:pic>
              </a:graphicData>
            </a:graphic>
          </wp:anchor>
        </w:drawing>
      </w:r>
      <w:r w:rsidR="00C06A96" w:rsidRPr="00661284">
        <w:rPr>
          <w:rFonts w:asciiTheme="minorEastAsia" w:hAnsiTheme="minorEastAsia"/>
        </w:rPr>
        <w:br w:type="textWrapping" w:clear="all"/>
      </w:r>
    </w:p>
    <w:p w14:paraId="08660635" w14:textId="23AD6719" w:rsidR="00470D2E" w:rsidRPr="00661284" w:rsidRDefault="00470D2E" w:rsidP="00470D2E">
      <w:pPr>
        <w:rPr>
          <w:rFonts w:asciiTheme="minorEastAsia" w:hAnsiTheme="minorEastAsia"/>
        </w:rPr>
      </w:pPr>
      <w:r w:rsidRPr="00661284">
        <w:rPr>
          <w:rFonts w:asciiTheme="minorEastAsia" w:hAnsiTheme="minorEastAsia"/>
        </w:rPr>
        <w:t>A written submission from the International Federation for Spina Bifida and Hydrocephalus to the Committee on the Rights of Persons with Disabilities regarding the ‘Draft Guidelines on Deinstitutionalization,</w:t>
      </w:r>
      <w:r w:rsidR="00661284" w:rsidRPr="00661284">
        <w:rPr>
          <w:rFonts w:asciiTheme="minorEastAsia" w:hAnsiTheme="minorEastAsia"/>
        </w:rPr>
        <w:t xml:space="preserve"> </w:t>
      </w:r>
      <w:r w:rsidRPr="00661284">
        <w:rPr>
          <w:rFonts w:asciiTheme="minorEastAsia" w:hAnsiTheme="minorEastAsia"/>
        </w:rPr>
        <w:t>including in emergencies’</w:t>
      </w:r>
    </w:p>
    <w:p w14:paraId="4FA65BD5" w14:textId="4D08D7D3" w:rsidR="00D441C2" w:rsidRPr="00661284" w:rsidRDefault="00470D2E" w:rsidP="00470D2E">
      <w:pPr>
        <w:rPr>
          <w:rFonts w:asciiTheme="minorEastAsia" w:hAnsiTheme="minorEastAsia"/>
        </w:rPr>
      </w:pPr>
      <w:r w:rsidRPr="00661284">
        <w:rPr>
          <w:rFonts w:asciiTheme="minorEastAsia" w:hAnsiTheme="minorEastAsia" w:hint="eastAsia"/>
        </w:rPr>
        <w:t>国際二分脊椎／水頭症連盟　「緊急時を含む脱施設化ガイドライン案に関する書類提出」（障害者権利委員会宛）</w:t>
      </w:r>
    </w:p>
    <w:p w14:paraId="2D8319C3" w14:textId="7CD3FC3A" w:rsidR="00D441C2" w:rsidRPr="00661284" w:rsidRDefault="00D441C2" w:rsidP="00D441C2">
      <w:pPr>
        <w:pStyle w:val="a3"/>
        <w:spacing w:before="3"/>
        <w:rPr>
          <w:rFonts w:asciiTheme="minorEastAsia" w:eastAsiaTheme="minorEastAsia" w:hAnsiTheme="minorEastAsia"/>
          <w:sz w:val="4"/>
          <w:lang w:eastAsia="ja-JP"/>
        </w:rPr>
      </w:pPr>
    </w:p>
    <w:p w14:paraId="23530802" w14:textId="52BCEC5A" w:rsidR="00FF573C" w:rsidRPr="00661284" w:rsidRDefault="00FF573C" w:rsidP="00931888">
      <w:pPr>
        <w:ind w:firstLineChars="100" w:firstLine="210"/>
        <w:rPr>
          <w:rFonts w:asciiTheme="minorEastAsia" w:hAnsiTheme="minorEastAsia"/>
        </w:rPr>
      </w:pPr>
      <w:r w:rsidRPr="00661284">
        <w:rPr>
          <w:rFonts w:asciiTheme="minorEastAsia" w:hAnsiTheme="minorEastAsia" w:hint="eastAsia"/>
        </w:rPr>
        <w:t>国際二分脊椎・水頭症</w:t>
      </w:r>
      <w:r w:rsidR="00931888" w:rsidRPr="00661284">
        <w:rPr>
          <w:rFonts w:asciiTheme="minorEastAsia" w:hAnsiTheme="minorEastAsia" w:hint="eastAsia"/>
        </w:rPr>
        <w:t>連盟</w:t>
      </w:r>
      <w:r w:rsidRPr="00661284">
        <w:rPr>
          <w:rFonts w:asciiTheme="minorEastAsia" w:hAnsiTheme="minorEastAsia" w:hint="eastAsia"/>
        </w:rPr>
        <w:t>（</w:t>
      </w:r>
      <w:r w:rsidRPr="00661284">
        <w:rPr>
          <w:rFonts w:asciiTheme="minorEastAsia" w:hAnsiTheme="minorEastAsia"/>
        </w:rPr>
        <w:t>IF）は、世界中の二分脊椎・水頭症（SBH）患者とその家族を代表する国際組織で</w:t>
      </w:r>
      <w:r w:rsidR="00931888" w:rsidRPr="00661284">
        <w:rPr>
          <w:rFonts w:asciiTheme="minorEastAsia" w:hAnsiTheme="minorEastAsia" w:hint="eastAsia"/>
        </w:rPr>
        <w:t>ある</w:t>
      </w:r>
      <w:r w:rsidRPr="00661284">
        <w:rPr>
          <w:rFonts w:asciiTheme="minorEastAsia" w:hAnsiTheme="minorEastAsia"/>
        </w:rPr>
        <w:t>。SBHは、神経管と脊椎が正しく発達しない結果、妊娠の最初の4週間に発症する複雑な健康状態で</w:t>
      </w:r>
      <w:r w:rsidR="00931888" w:rsidRPr="00661284">
        <w:rPr>
          <w:rFonts w:asciiTheme="minorEastAsia" w:hAnsiTheme="minorEastAsia" w:hint="eastAsia"/>
        </w:rPr>
        <w:t>ある</w:t>
      </w:r>
      <w:r w:rsidRPr="00661284">
        <w:rPr>
          <w:rFonts w:asciiTheme="minorEastAsia" w:hAnsiTheme="minorEastAsia"/>
        </w:rPr>
        <w:t>。1979年に設立されたIFは、SBHに関する独自の専門知識を持つ世界各国の加盟団体を代表してい</w:t>
      </w:r>
      <w:r w:rsidR="00931888" w:rsidRPr="00661284">
        <w:rPr>
          <w:rFonts w:asciiTheme="minorEastAsia" w:hAnsiTheme="minorEastAsia" w:hint="eastAsia"/>
        </w:rPr>
        <w:t>る</w:t>
      </w:r>
      <w:r w:rsidRPr="00661284">
        <w:rPr>
          <w:rFonts w:asciiTheme="minorEastAsia" w:hAnsiTheme="minorEastAsia"/>
        </w:rPr>
        <w:t>。</w:t>
      </w:r>
      <w:r w:rsidR="00931888" w:rsidRPr="00661284">
        <w:rPr>
          <w:rFonts w:asciiTheme="minorEastAsia" w:hAnsiTheme="minorEastAsia" w:hint="eastAsia"/>
        </w:rPr>
        <w:t>世界に広がっている</w:t>
      </w:r>
      <w:r w:rsidRPr="00661284">
        <w:rPr>
          <w:rFonts w:asciiTheme="minorEastAsia" w:hAnsiTheme="minorEastAsia"/>
        </w:rPr>
        <w:t>IFの使命は、SBH患者とその家族の生活の質を向上させ、神経管欠損症と水頭症の</w:t>
      </w:r>
      <w:r w:rsidR="00931888" w:rsidRPr="00661284">
        <w:rPr>
          <w:rFonts w:asciiTheme="minorEastAsia" w:hAnsiTheme="minorEastAsia" w:hint="eastAsia"/>
        </w:rPr>
        <w:t>出現率</w:t>
      </w:r>
      <w:r w:rsidRPr="00661284">
        <w:rPr>
          <w:rFonts w:asciiTheme="minorEastAsia" w:hAnsiTheme="minorEastAsia"/>
        </w:rPr>
        <w:t>を減少させることである。</w:t>
      </w:r>
    </w:p>
    <w:p w14:paraId="41726E97" w14:textId="041739A1" w:rsidR="00FF573C" w:rsidRPr="00661284" w:rsidRDefault="00FF573C" w:rsidP="00931888">
      <w:pPr>
        <w:ind w:firstLineChars="100" w:firstLine="210"/>
        <w:rPr>
          <w:rFonts w:asciiTheme="minorEastAsia" w:hAnsiTheme="minorEastAsia"/>
        </w:rPr>
      </w:pPr>
      <w:r w:rsidRPr="00661284">
        <w:rPr>
          <w:rFonts w:asciiTheme="minorEastAsia" w:hAnsiTheme="minorEastAsia"/>
        </w:rPr>
        <w:t>IFは、障害者権利委員会による「緊急時を含む</w:t>
      </w:r>
      <w:r w:rsidR="00931888" w:rsidRPr="00661284">
        <w:rPr>
          <w:rFonts w:asciiTheme="minorEastAsia" w:hAnsiTheme="minorEastAsia" w:hint="eastAsia"/>
        </w:rPr>
        <w:t>脱施設化</w:t>
      </w:r>
      <w:r w:rsidRPr="00661284">
        <w:rPr>
          <w:rFonts w:asciiTheme="minorEastAsia" w:hAnsiTheme="minorEastAsia"/>
        </w:rPr>
        <w:t>ガイドライン案」を歓迎する。脱施設化のプロセスを進めることは、SBH患者を含む障害者の人権の向上と保護にとって不可欠である。COVID-19パンデミックやその他の最近の地域的・国家的緊急事態が示しているように、緊急事態に直面した際には、このプロセスを脇に置くのではなく、むしろ加速させることが肝要である。</w:t>
      </w:r>
    </w:p>
    <w:p w14:paraId="6E60D510" w14:textId="58E1D002" w:rsidR="00FF573C" w:rsidRPr="00661284" w:rsidRDefault="00FF573C" w:rsidP="008C3EC7">
      <w:pPr>
        <w:ind w:firstLineChars="100" w:firstLine="210"/>
        <w:rPr>
          <w:rFonts w:asciiTheme="minorEastAsia" w:hAnsiTheme="minorEastAsia"/>
        </w:rPr>
      </w:pPr>
      <w:r w:rsidRPr="00661284">
        <w:rPr>
          <w:rFonts w:asciiTheme="minorEastAsia" w:hAnsiTheme="minorEastAsia" w:hint="eastAsia"/>
        </w:rPr>
        <w:t>しかし、</w:t>
      </w:r>
      <w:r w:rsidRPr="00661284">
        <w:rPr>
          <w:rFonts w:asciiTheme="minorEastAsia" w:hAnsiTheme="minorEastAsia"/>
        </w:rPr>
        <w:t>IFは</w:t>
      </w:r>
      <w:r w:rsidR="00F2273D" w:rsidRPr="00661284">
        <w:rPr>
          <w:rFonts w:asciiTheme="minorEastAsia" w:hAnsiTheme="minorEastAsia" w:hint="eastAsia"/>
          <w:color w:val="7030A0"/>
        </w:rPr>
        <w:t>ここで</w:t>
      </w:r>
      <w:r w:rsidRPr="00661284">
        <w:rPr>
          <w:rFonts w:asciiTheme="minorEastAsia" w:hAnsiTheme="minorEastAsia"/>
        </w:rPr>
        <w:t>、ガイドライン案にいくつかの追加事項を提案する。障害者は、多様な支援ニーズを包含する非常に多様なグループである。この多様性を認識することは極めて重要であり、その中には、一部の障害者にとって、支援ニーズのかなりの部分が健康に関わるものであるという現実も含まれる。これには日常的な自己管理の支援が含まれる場合があり、たとえばSBH患者にとっては、カテーテルの使用に関する支援や、自分でカテーテルを使用するための</w:t>
      </w:r>
      <w:r w:rsidR="00931888" w:rsidRPr="00661284">
        <w:rPr>
          <w:rFonts w:asciiTheme="minorEastAsia" w:hAnsiTheme="minorEastAsia" w:hint="eastAsia"/>
        </w:rPr>
        <w:t>訓練</w:t>
      </w:r>
      <w:r w:rsidRPr="00661284">
        <w:rPr>
          <w:rFonts w:asciiTheme="minorEastAsia" w:hAnsiTheme="minorEastAsia"/>
        </w:rPr>
        <w:t>が含まれる。また、SBH患者は複数の医療</w:t>
      </w:r>
      <w:r w:rsidR="00C836EB" w:rsidRPr="00661284">
        <w:rPr>
          <w:rFonts w:asciiTheme="minorEastAsia" w:hAnsiTheme="minorEastAsia"/>
        </w:rPr>
        <w:t>専門職</w:t>
      </w:r>
      <w:r w:rsidRPr="00661284">
        <w:rPr>
          <w:rFonts w:asciiTheme="minorEastAsia" w:hAnsiTheme="minorEastAsia"/>
        </w:rPr>
        <w:t>のケアを必要と</w:t>
      </w:r>
      <w:r w:rsidRPr="00661284">
        <w:rPr>
          <w:rFonts w:asciiTheme="minorEastAsia" w:hAnsiTheme="minorEastAsia" w:hint="eastAsia"/>
        </w:rPr>
        <w:t>するため、</w:t>
      </w:r>
      <w:r w:rsidRPr="00661284">
        <w:rPr>
          <w:rFonts w:asciiTheme="minorEastAsia" w:hAnsiTheme="minorEastAsia"/>
        </w:rPr>
        <w:t>SBH患者の自立生活支援には、複数の予約の管理や地域外の</w:t>
      </w:r>
      <w:r w:rsidR="00C836EB" w:rsidRPr="00661284">
        <w:rPr>
          <w:rFonts w:asciiTheme="minorEastAsia" w:hAnsiTheme="minorEastAsia"/>
        </w:rPr>
        <w:t>専門職</w:t>
      </w:r>
      <w:r w:rsidRPr="00661284">
        <w:rPr>
          <w:rFonts w:asciiTheme="minorEastAsia" w:hAnsiTheme="minorEastAsia"/>
        </w:rPr>
        <w:t>への移動の支援を含める必要があるかもしれない。</w:t>
      </w:r>
    </w:p>
    <w:p w14:paraId="73739117" w14:textId="4204DD24" w:rsidR="00FF573C" w:rsidRPr="00661284" w:rsidRDefault="00FF573C" w:rsidP="00C836EB">
      <w:pPr>
        <w:ind w:firstLineChars="100" w:firstLine="210"/>
        <w:rPr>
          <w:rFonts w:asciiTheme="minorEastAsia" w:hAnsiTheme="minorEastAsia"/>
        </w:rPr>
      </w:pPr>
      <w:r w:rsidRPr="00661284">
        <w:rPr>
          <w:rFonts w:asciiTheme="minorEastAsia" w:hAnsiTheme="minorEastAsia"/>
        </w:rPr>
        <w:t>IFのメンバーによれば、自立した生活への障壁は、学際的な医療へのアクセス</w:t>
      </w:r>
      <w:r w:rsidR="00C836EB" w:rsidRPr="00661284">
        <w:rPr>
          <w:rFonts w:asciiTheme="minorEastAsia" w:hAnsiTheme="minorEastAsia" w:hint="eastAsia"/>
        </w:rPr>
        <w:t>の</w:t>
      </w:r>
      <w:r w:rsidRPr="00661284">
        <w:rPr>
          <w:rFonts w:asciiTheme="minorEastAsia" w:hAnsiTheme="minorEastAsia"/>
        </w:rPr>
        <w:t>課題、医療サービス</w:t>
      </w:r>
      <w:r w:rsidR="008C3EC7" w:rsidRPr="00661284">
        <w:rPr>
          <w:rFonts w:asciiTheme="minorEastAsia" w:hAnsiTheme="minorEastAsia" w:hint="eastAsia"/>
        </w:rPr>
        <w:t>担当者の</w:t>
      </w:r>
      <w:r w:rsidRPr="00661284">
        <w:rPr>
          <w:rFonts w:asciiTheme="minorEastAsia" w:hAnsiTheme="minorEastAsia"/>
        </w:rPr>
        <w:t>障害の権利モデルおよび国連</w:t>
      </w:r>
      <w:r w:rsidR="00C836EB" w:rsidRPr="00661284">
        <w:rPr>
          <w:rFonts w:asciiTheme="minorEastAsia" w:hAnsiTheme="minorEastAsia" w:hint="eastAsia"/>
        </w:rPr>
        <w:t>条約</w:t>
      </w:r>
      <w:r w:rsidRPr="00661284">
        <w:rPr>
          <w:rFonts w:asciiTheme="minorEastAsia" w:hAnsiTheme="minorEastAsia"/>
        </w:rPr>
        <w:t>（UNCRPD）の認識不足、専門的な医療サービスへのアクセス不足、</w:t>
      </w:r>
      <w:r w:rsidR="00C836EB" w:rsidRPr="00661284">
        <w:rPr>
          <w:rFonts w:asciiTheme="minorEastAsia" w:hAnsiTheme="minorEastAsia" w:hint="eastAsia"/>
        </w:rPr>
        <w:t>生殖医療</w:t>
      </w:r>
      <w:r w:rsidRPr="00661284">
        <w:rPr>
          <w:rFonts w:asciiTheme="minorEastAsia" w:hAnsiTheme="minorEastAsia"/>
        </w:rPr>
        <w:t>・精神医療を含む主流の医療サービスへのアク</w:t>
      </w:r>
      <w:r w:rsidRPr="00661284">
        <w:rPr>
          <w:rFonts w:asciiTheme="minorEastAsia" w:hAnsiTheme="minorEastAsia"/>
        </w:rPr>
        <w:lastRenderedPageBreak/>
        <w:t>セス</w:t>
      </w:r>
      <w:r w:rsidR="00C836EB" w:rsidRPr="00661284">
        <w:rPr>
          <w:rFonts w:asciiTheme="minorEastAsia" w:hAnsiTheme="minorEastAsia" w:hint="eastAsia"/>
        </w:rPr>
        <w:t>の</w:t>
      </w:r>
      <w:r w:rsidRPr="00661284">
        <w:rPr>
          <w:rFonts w:asciiTheme="minorEastAsia" w:hAnsiTheme="minorEastAsia"/>
        </w:rPr>
        <w:t>障壁から生じることが多い</w:t>
      </w:r>
      <w:r w:rsidR="000B18E3" w:rsidRPr="00661284">
        <w:rPr>
          <w:rStyle w:val="ab"/>
          <w:rFonts w:asciiTheme="minorEastAsia" w:hAnsiTheme="minorEastAsia"/>
        </w:rPr>
        <w:footnoteReference w:id="1"/>
      </w:r>
      <w:r w:rsidRPr="00661284">
        <w:rPr>
          <w:rFonts w:asciiTheme="minorEastAsia" w:hAnsiTheme="minorEastAsia"/>
        </w:rPr>
        <w:t>。</w:t>
      </w:r>
      <w:r w:rsidR="00E90A7D" w:rsidRPr="00661284">
        <w:rPr>
          <w:rFonts w:asciiTheme="minorEastAsia" w:hAnsiTheme="minorEastAsia" w:hint="eastAsia"/>
        </w:rPr>
        <w:t>生涯を通じてニーズが変化する。</w:t>
      </w:r>
      <w:r w:rsidR="009532A6" w:rsidRPr="00661284">
        <w:rPr>
          <w:rFonts w:asciiTheme="minorEastAsia" w:hAnsiTheme="minorEastAsia" w:hint="eastAsia"/>
        </w:rPr>
        <w:t>障害や医療に関わる</w:t>
      </w:r>
      <w:r w:rsidR="00E90A7D" w:rsidRPr="00661284">
        <w:rPr>
          <w:rFonts w:asciiTheme="minorEastAsia" w:hAnsiTheme="minorEastAsia" w:hint="eastAsia"/>
        </w:rPr>
        <w:t>教育、精神保健、その他の障害特有のサービスや一般の公的サービス</w:t>
      </w:r>
      <w:r w:rsidR="009532A6" w:rsidRPr="00661284">
        <w:rPr>
          <w:rFonts w:asciiTheme="minorEastAsia" w:hAnsiTheme="minorEastAsia" w:hint="eastAsia"/>
        </w:rPr>
        <w:t>において、支援スタッフが示す不機嫌な態度。</w:t>
      </w:r>
      <w:r w:rsidRPr="00661284">
        <w:rPr>
          <w:rFonts w:asciiTheme="minorEastAsia" w:hAnsiTheme="minorEastAsia" w:hint="eastAsia"/>
        </w:rPr>
        <w:t>これらの障壁は、</w:t>
      </w:r>
      <w:r w:rsidRPr="00661284">
        <w:rPr>
          <w:rFonts w:asciiTheme="minorEastAsia" w:hAnsiTheme="minorEastAsia"/>
        </w:rPr>
        <w:t>SBH</w:t>
      </w:r>
      <w:r w:rsidR="009532A6" w:rsidRPr="00661284">
        <w:rPr>
          <w:rFonts w:asciiTheme="minorEastAsia" w:hAnsiTheme="minorEastAsia" w:hint="eastAsia"/>
        </w:rPr>
        <w:t>の人の</w:t>
      </w:r>
      <w:r w:rsidRPr="00661284">
        <w:rPr>
          <w:rFonts w:asciiTheme="minorEastAsia" w:hAnsiTheme="minorEastAsia"/>
        </w:rPr>
        <w:t>年齢によって異なる。二分脊椎は先天性の疾患で、出生前または出生直後に発見されることが多い。親が医療</w:t>
      </w:r>
      <w:r w:rsidR="00C836EB" w:rsidRPr="00661284">
        <w:rPr>
          <w:rFonts w:asciiTheme="minorEastAsia" w:hAnsiTheme="minorEastAsia"/>
        </w:rPr>
        <w:t>専門職</w:t>
      </w:r>
      <w:r w:rsidR="0046177B" w:rsidRPr="00E5566E">
        <w:rPr>
          <w:rFonts w:asciiTheme="minorEastAsia" w:hAnsiTheme="minorEastAsia" w:hint="eastAsia"/>
        </w:rPr>
        <w:t>などから</w:t>
      </w:r>
      <w:r w:rsidRPr="00661284">
        <w:rPr>
          <w:rFonts w:asciiTheme="minorEastAsia" w:hAnsiTheme="minorEastAsia"/>
        </w:rPr>
        <w:t>、UNCRPDに基づく子どもの権利に反する助言を受けた場合、施設入所のリスクは診断の瞬間から始まる可能性がある。例えば、SBHの子どもが最良の医療を受けられる最善の場所、</w:t>
      </w:r>
      <w:r w:rsidR="009532A6" w:rsidRPr="00661284">
        <w:rPr>
          <w:rFonts w:asciiTheme="minorEastAsia" w:hAnsiTheme="minorEastAsia" w:hint="eastAsia"/>
        </w:rPr>
        <w:t>さらには</w:t>
      </w:r>
      <w:r w:rsidRPr="00661284">
        <w:rPr>
          <w:rFonts w:asciiTheme="minorEastAsia" w:hAnsiTheme="minorEastAsia"/>
        </w:rPr>
        <w:t>唯一の場所は、施設内であると助言されることである。</w:t>
      </w:r>
    </w:p>
    <w:p w14:paraId="47A13960" w14:textId="1223D386" w:rsidR="00FF573C" w:rsidRPr="00661284" w:rsidRDefault="00B6174E" w:rsidP="00B6174E">
      <w:pPr>
        <w:ind w:firstLineChars="100" w:firstLine="210"/>
        <w:rPr>
          <w:rFonts w:asciiTheme="minorEastAsia" w:hAnsiTheme="minorEastAsia"/>
        </w:rPr>
      </w:pPr>
      <w:r w:rsidRPr="00661284">
        <w:rPr>
          <w:rFonts w:asciiTheme="minorEastAsia" w:hAnsiTheme="minorEastAsia" w:hint="eastAsia"/>
        </w:rPr>
        <w:t>分離</w:t>
      </w:r>
      <w:r w:rsidR="00FF573C" w:rsidRPr="00661284">
        <w:rPr>
          <w:rFonts w:asciiTheme="minorEastAsia" w:hAnsiTheme="minorEastAsia" w:hint="eastAsia"/>
        </w:rPr>
        <w:t>は、施設入所の重大なリスク要因である。</w:t>
      </w:r>
      <w:r w:rsidRPr="00661284">
        <w:rPr>
          <w:rFonts w:asciiTheme="minorEastAsia" w:hAnsiTheme="minorEastAsia" w:hint="eastAsia"/>
        </w:rPr>
        <w:t>分離</w:t>
      </w:r>
      <w:r w:rsidR="00FF573C" w:rsidRPr="00661284">
        <w:rPr>
          <w:rFonts w:asciiTheme="minorEastAsia" w:hAnsiTheme="minorEastAsia" w:hint="eastAsia"/>
        </w:rPr>
        <w:t>のリスクは、子どもの年齢</w:t>
      </w:r>
      <w:r w:rsidRPr="00661284">
        <w:rPr>
          <w:rFonts w:asciiTheme="minorEastAsia" w:hAnsiTheme="minorEastAsia" w:hint="eastAsia"/>
        </w:rPr>
        <w:t>とともに</w:t>
      </w:r>
      <w:r w:rsidR="00FF573C" w:rsidRPr="00661284">
        <w:rPr>
          <w:rFonts w:asciiTheme="minorEastAsia" w:hAnsiTheme="minorEastAsia" w:hint="eastAsia"/>
        </w:rPr>
        <w:t>継続する。カテーテルの使用を含む失禁の介助などの支援ニーズが、障害者支援や</w:t>
      </w:r>
      <w:r w:rsidRPr="00661284">
        <w:rPr>
          <w:rFonts w:asciiTheme="minorEastAsia" w:hAnsiTheme="minorEastAsia" w:hint="eastAsia"/>
        </w:rPr>
        <w:t>配慮の提供</w:t>
      </w:r>
      <w:r w:rsidR="00FF573C" w:rsidRPr="00661284">
        <w:rPr>
          <w:rFonts w:asciiTheme="minorEastAsia" w:hAnsiTheme="minorEastAsia" w:hint="eastAsia"/>
        </w:rPr>
        <w:t>の範囲に含まれない「医療的ニーズ」とみなされ、拒否されるため</w:t>
      </w:r>
      <w:r w:rsidRPr="00661284">
        <w:rPr>
          <w:rFonts w:asciiTheme="minorEastAsia" w:hAnsiTheme="minorEastAsia" w:hint="eastAsia"/>
        </w:rPr>
        <w:t>、主流の教育やレジャー活動へのアクセスが、拒否されるか妥協させられるからである</w:t>
      </w:r>
      <w:r w:rsidR="00FE1DE8" w:rsidRPr="00661284">
        <w:rPr>
          <w:rStyle w:val="ab"/>
          <w:rFonts w:asciiTheme="minorEastAsia" w:hAnsiTheme="minorEastAsia"/>
        </w:rPr>
        <w:footnoteReference w:id="2"/>
      </w:r>
      <w:r w:rsidR="00FF573C" w:rsidRPr="00661284">
        <w:rPr>
          <w:rFonts w:asciiTheme="minorEastAsia" w:hAnsiTheme="minorEastAsia"/>
        </w:rPr>
        <w:t>。</w:t>
      </w:r>
      <w:r w:rsidR="007E11B3" w:rsidRPr="00661284">
        <w:rPr>
          <w:rFonts w:asciiTheme="minorEastAsia" w:hAnsiTheme="minorEastAsia" w:hint="eastAsia"/>
        </w:rPr>
        <w:t>施設収容のリスクは年齢とともにさらに進む。</w:t>
      </w:r>
      <w:r w:rsidR="00FF573C" w:rsidRPr="00661284">
        <w:rPr>
          <w:rFonts w:asciiTheme="minorEastAsia" w:hAnsiTheme="minorEastAsia"/>
        </w:rPr>
        <w:t>SBH</w:t>
      </w:r>
      <w:r w:rsidR="007E11B3" w:rsidRPr="00661284">
        <w:rPr>
          <w:rFonts w:asciiTheme="minorEastAsia" w:hAnsiTheme="minorEastAsia" w:hint="eastAsia"/>
        </w:rPr>
        <w:t>のある人が</w:t>
      </w:r>
      <w:r w:rsidR="00FF573C" w:rsidRPr="00661284">
        <w:rPr>
          <w:rFonts w:asciiTheme="minorEastAsia" w:hAnsiTheme="minorEastAsia"/>
        </w:rPr>
        <w:t>加齢を経験</w:t>
      </w:r>
      <w:r w:rsidR="007E11B3" w:rsidRPr="00661284">
        <w:rPr>
          <w:rFonts w:asciiTheme="minorEastAsia" w:hAnsiTheme="minorEastAsia" w:hint="eastAsia"/>
        </w:rPr>
        <w:t>すると</w:t>
      </w:r>
      <w:r w:rsidR="00FF573C" w:rsidRPr="00661284">
        <w:rPr>
          <w:rFonts w:asciiTheme="minorEastAsia" w:hAnsiTheme="minorEastAsia"/>
        </w:rPr>
        <w:t>、ニーズや移動手段が変化することに気づき、適切なサポートがなければ、自立と自立した生活に重大なリスクをもたらす</w:t>
      </w:r>
      <w:r w:rsidR="00FE1DE8" w:rsidRPr="00661284">
        <w:rPr>
          <w:rStyle w:val="ab"/>
          <w:rFonts w:asciiTheme="minorEastAsia" w:hAnsiTheme="minorEastAsia"/>
        </w:rPr>
        <w:footnoteReference w:id="3"/>
      </w:r>
      <w:r w:rsidR="00FF573C" w:rsidRPr="00661284">
        <w:rPr>
          <w:rFonts w:asciiTheme="minorEastAsia" w:hAnsiTheme="minorEastAsia"/>
        </w:rPr>
        <w:t>。</w:t>
      </w:r>
    </w:p>
    <w:p w14:paraId="7322DCA1" w14:textId="13B43B7A" w:rsidR="00FF573C" w:rsidRPr="00661284" w:rsidRDefault="007E11B3" w:rsidP="007E11B3">
      <w:pPr>
        <w:ind w:firstLineChars="100" w:firstLine="210"/>
        <w:rPr>
          <w:rFonts w:asciiTheme="minorEastAsia" w:hAnsiTheme="minorEastAsia"/>
        </w:rPr>
      </w:pPr>
      <w:r w:rsidRPr="00661284">
        <w:rPr>
          <w:rFonts w:asciiTheme="minorEastAsia" w:hAnsiTheme="minorEastAsia" w:hint="eastAsia"/>
        </w:rPr>
        <w:t>学際的</w:t>
      </w:r>
      <w:r w:rsidR="00FF573C" w:rsidRPr="00661284">
        <w:rPr>
          <w:rFonts w:asciiTheme="minorEastAsia" w:hAnsiTheme="minorEastAsia" w:hint="eastAsia"/>
        </w:rPr>
        <w:t>ケアはしばしば利用できず、利用できたとしても</w:t>
      </w:r>
      <w:r w:rsidR="00FF573C" w:rsidRPr="00661284">
        <w:rPr>
          <w:rFonts w:asciiTheme="minorEastAsia" w:hAnsiTheme="minorEastAsia"/>
        </w:rPr>
        <w:t>SBHの小児にしか利用できないことも珍しくない</w:t>
      </w:r>
      <w:r w:rsidR="00FE1DE8" w:rsidRPr="00661284">
        <w:rPr>
          <w:rStyle w:val="ab"/>
          <w:rFonts w:asciiTheme="minorEastAsia" w:hAnsiTheme="minorEastAsia"/>
        </w:rPr>
        <w:footnoteReference w:id="4"/>
      </w:r>
      <w:r w:rsidR="00FF573C" w:rsidRPr="00661284">
        <w:rPr>
          <w:rFonts w:asciiTheme="minorEastAsia" w:hAnsiTheme="minorEastAsia"/>
        </w:rPr>
        <w:t>。このため、小児期から成人期への移行は、さまざまな専門医療従事者や医療機関への予約、助言、対応、移動の管理が含まれるようになり、さらに困難になる。時には、地域社会から遠く離れていることもある。このような医療サービス</w:t>
      </w:r>
      <w:r w:rsidRPr="00661284">
        <w:rPr>
          <w:rFonts w:asciiTheme="minorEastAsia" w:hAnsiTheme="minorEastAsia" w:hint="eastAsia"/>
        </w:rPr>
        <w:t>が</w:t>
      </w:r>
      <w:r w:rsidR="00FF573C" w:rsidRPr="00661284">
        <w:rPr>
          <w:rFonts w:asciiTheme="minorEastAsia" w:hAnsiTheme="minorEastAsia"/>
        </w:rPr>
        <w:t>受けられ</w:t>
      </w:r>
      <w:r w:rsidRPr="00661284">
        <w:rPr>
          <w:rFonts w:asciiTheme="minorEastAsia" w:hAnsiTheme="minorEastAsia" w:hint="eastAsia"/>
        </w:rPr>
        <w:t>た</w:t>
      </w:r>
      <w:r w:rsidR="00FF573C" w:rsidRPr="00661284">
        <w:rPr>
          <w:rFonts w:asciiTheme="minorEastAsia" w:hAnsiTheme="minorEastAsia"/>
        </w:rPr>
        <w:t>と</w:t>
      </w:r>
      <w:r w:rsidR="00FF573C" w:rsidRPr="00661284">
        <w:rPr>
          <w:rFonts w:asciiTheme="minorEastAsia" w:hAnsiTheme="minorEastAsia"/>
        </w:rPr>
        <w:lastRenderedPageBreak/>
        <w:t>しても、である。必要な医療サービスにアクセスできなければ、SBH</w:t>
      </w:r>
      <w:r w:rsidRPr="00661284">
        <w:rPr>
          <w:rFonts w:asciiTheme="minorEastAsia" w:hAnsiTheme="minorEastAsia" w:hint="eastAsia"/>
        </w:rPr>
        <w:t>の人</w:t>
      </w:r>
      <w:r w:rsidR="00FF573C" w:rsidRPr="00661284">
        <w:rPr>
          <w:rFonts w:asciiTheme="minorEastAsia" w:hAnsiTheme="minorEastAsia"/>
        </w:rPr>
        <w:t>は予防可能な</w:t>
      </w:r>
      <w:r w:rsidRPr="00661284">
        <w:rPr>
          <w:rFonts w:asciiTheme="minorEastAsia" w:hAnsiTheme="minorEastAsia" w:hint="eastAsia"/>
        </w:rPr>
        <w:t>合併症</w:t>
      </w:r>
      <w:r w:rsidR="00FF573C" w:rsidRPr="00661284">
        <w:rPr>
          <w:rFonts w:asciiTheme="minorEastAsia" w:hAnsiTheme="minorEastAsia"/>
        </w:rPr>
        <w:t>の症状が悪化し、生活、福祉、自立が危険にさらされる。</w:t>
      </w:r>
      <w:r w:rsidR="005B6889" w:rsidRPr="00661284">
        <w:rPr>
          <w:rFonts w:asciiTheme="minorEastAsia" w:hAnsiTheme="minorEastAsia"/>
        </w:rPr>
        <w:t>COVID-19</w:t>
      </w:r>
      <w:r w:rsidR="005B6889" w:rsidRPr="00661284">
        <w:rPr>
          <w:rFonts w:asciiTheme="minorEastAsia" w:hAnsiTheme="minorEastAsia" w:hint="eastAsia"/>
        </w:rPr>
        <w:t>のパンデミックで示されたように、緊急事態によって不可欠な医療サービスへのアクセスが深刻な影響を受けた</w:t>
      </w:r>
      <w:r w:rsidR="00EF7108" w:rsidRPr="00661284">
        <w:rPr>
          <w:rStyle w:val="ab"/>
          <w:rFonts w:asciiTheme="minorEastAsia" w:hAnsiTheme="minorEastAsia"/>
        </w:rPr>
        <w:footnoteReference w:id="5"/>
      </w:r>
      <w:r w:rsidR="005B6889" w:rsidRPr="00661284">
        <w:rPr>
          <w:rFonts w:asciiTheme="minorEastAsia" w:hAnsiTheme="minorEastAsia" w:hint="eastAsia"/>
        </w:rPr>
        <w:t>。</w:t>
      </w:r>
      <w:r w:rsidR="00FF573C" w:rsidRPr="00661284">
        <w:rPr>
          <w:rFonts w:asciiTheme="minorEastAsia" w:hAnsiTheme="minorEastAsia"/>
        </w:rPr>
        <w:t>UNCRPD締約国は、個人がどのように施設入所</w:t>
      </w:r>
      <w:r w:rsidR="00FF573C" w:rsidRPr="00661284">
        <w:rPr>
          <w:rFonts w:asciiTheme="minorEastAsia" w:hAnsiTheme="minorEastAsia" w:hint="eastAsia"/>
        </w:rPr>
        <w:t>のリスクにさらされるかを認識することが重要であ</w:t>
      </w:r>
      <w:r w:rsidR="00EF7108" w:rsidRPr="00661284">
        <w:rPr>
          <w:rFonts w:asciiTheme="minorEastAsia" w:hAnsiTheme="minorEastAsia" w:hint="eastAsia"/>
          <w:color w:val="7030A0"/>
        </w:rPr>
        <w:t>る。</w:t>
      </w:r>
      <w:r w:rsidR="00EF7108" w:rsidRPr="00661284">
        <w:rPr>
          <w:rFonts w:asciiTheme="minorEastAsia" w:hAnsiTheme="minorEastAsia" w:hint="eastAsia"/>
        </w:rPr>
        <w:t>締約国は、</w:t>
      </w:r>
      <w:r w:rsidR="00FF573C" w:rsidRPr="00661284">
        <w:rPr>
          <w:rFonts w:asciiTheme="minorEastAsia" w:hAnsiTheme="minorEastAsia" w:hint="eastAsia"/>
        </w:rPr>
        <w:t>脱施設化が単に施設を閉鎖するだけでなく、支援、自立、人権基準に沿ったサービスへのアクセスを改善することに成功するよう、政策と支援を実施することができる。</w:t>
      </w:r>
    </w:p>
    <w:p w14:paraId="2229CDD4" w14:textId="77777777" w:rsidR="005A033D" w:rsidRPr="00661284" w:rsidRDefault="005A033D" w:rsidP="007E11B3">
      <w:pPr>
        <w:ind w:firstLineChars="100" w:firstLine="210"/>
        <w:rPr>
          <w:rFonts w:asciiTheme="minorEastAsia" w:hAnsiTheme="minorEastAsia"/>
        </w:rPr>
      </w:pPr>
    </w:p>
    <w:p w14:paraId="4ED2C9F9" w14:textId="0CF93663" w:rsidR="00FF573C" w:rsidRPr="00661284" w:rsidRDefault="00FF573C" w:rsidP="005A033D">
      <w:pPr>
        <w:ind w:firstLineChars="100" w:firstLine="210"/>
        <w:rPr>
          <w:rFonts w:asciiTheme="minorEastAsia" w:hAnsiTheme="minorEastAsia"/>
          <w:b/>
          <w:bCs/>
        </w:rPr>
      </w:pPr>
      <w:r w:rsidRPr="00661284">
        <w:rPr>
          <w:rFonts w:asciiTheme="minorEastAsia" w:hAnsiTheme="minorEastAsia"/>
          <w:b/>
          <w:bCs/>
        </w:rPr>
        <w:t>IFは、障害者権利委員会による「緊急時を含む</w:t>
      </w:r>
      <w:r w:rsidR="005A033D" w:rsidRPr="00661284">
        <w:rPr>
          <w:rFonts w:asciiTheme="minorEastAsia" w:hAnsiTheme="minorEastAsia" w:hint="eastAsia"/>
          <w:b/>
          <w:bCs/>
        </w:rPr>
        <w:t>脱施設化</w:t>
      </w:r>
      <w:r w:rsidRPr="00661284">
        <w:rPr>
          <w:rFonts w:asciiTheme="minorEastAsia" w:hAnsiTheme="minorEastAsia"/>
          <w:b/>
          <w:bCs/>
        </w:rPr>
        <w:t>ガイドライン案」</w:t>
      </w:r>
      <w:r w:rsidR="005A033D" w:rsidRPr="00661284">
        <w:rPr>
          <w:rFonts w:asciiTheme="minorEastAsia" w:hAnsiTheme="minorEastAsia" w:hint="eastAsia"/>
          <w:b/>
          <w:bCs/>
        </w:rPr>
        <w:t>への修正案を以下提示する。</w:t>
      </w:r>
      <w:r w:rsidRPr="00661284">
        <w:rPr>
          <w:rFonts w:asciiTheme="minorEastAsia" w:hAnsiTheme="minorEastAsia"/>
          <w:b/>
          <w:bCs/>
        </w:rPr>
        <w:t>IFが提案する変更点は</w:t>
      </w:r>
      <w:r w:rsidRPr="00661284">
        <w:rPr>
          <w:rFonts w:asciiTheme="minorEastAsia" w:hAnsiTheme="minorEastAsia"/>
          <w:b/>
          <w:bCs/>
          <w:color w:val="FF0000"/>
        </w:rPr>
        <w:t>赤字</w:t>
      </w:r>
      <w:r w:rsidRPr="00661284">
        <w:rPr>
          <w:rFonts w:asciiTheme="minorEastAsia" w:hAnsiTheme="minorEastAsia"/>
          <w:b/>
          <w:bCs/>
        </w:rPr>
        <w:t>で示されている。</w:t>
      </w:r>
    </w:p>
    <w:p w14:paraId="43E64FF0" w14:textId="77777777" w:rsidR="00661284" w:rsidRPr="00661284" w:rsidRDefault="00661284" w:rsidP="00FF573C">
      <w:pPr>
        <w:rPr>
          <w:rFonts w:asciiTheme="minorEastAsia" w:hAnsiTheme="minorEastAsia"/>
        </w:rPr>
      </w:pPr>
    </w:p>
    <w:p w14:paraId="399B9C18" w14:textId="3584D4D9" w:rsidR="00FF573C" w:rsidRPr="00661284" w:rsidRDefault="00FF573C" w:rsidP="00FF573C">
      <w:pPr>
        <w:rPr>
          <w:rFonts w:asciiTheme="minorEastAsia" w:hAnsiTheme="minorEastAsia"/>
        </w:rPr>
      </w:pPr>
      <w:r w:rsidRPr="00661284">
        <w:rPr>
          <w:rFonts w:asciiTheme="minorEastAsia" w:hAnsiTheme="minorEastAsia" w:hint="eastAsia"/>
        </w:rPr>
        <w:t>パラグラフ</w:t>
      </w:r>
      <w:r w:rsidRPr="00661284">
        <w:rPr>
          <w:rFonts w:asciiTheme="minorEastAsia" w:hAnsiTheme="minorEastAsia"/>
        </w:rPr>
        <w:t>(9)、締約国は、施設の継続的な維持や閉鎖の遅延を正当化するために、</w:t>
      </w:r>
      <w:r w:rsidR="005A033D" w:rsidRPr="00661284">
        <w:rPr>
          <w:rFonts w:asciiTheme="minorEastAsia" w:hAnsiTheme="minorEastAsia" w:hint="eastAsia"/>
        </w:rPr>
        <w:t>地域社会</w:t>
      </w:r>
      <w:r w:rsidRPr="00661284">
        <w:rPr>
          <w:rFonts w:asciiTheme="minorEastAsia" w:hAnsiTheme="minorEastAsia"/>
        </w:rPr>
        <w:t>における支援、</w:t>
      </w:r>
      <w:r w:rsidR="005A033D" w:rsidRPr="00661284">
        <w:rPr>
          <w:rFonts w:asciiTheme="minorEastAsia" w:hAnsiTheme="minorEastAsia" w:hint="eastAsia"/>
          <w:color w:val="FF0000"/>
        </w:rPr>
        <w:t>医療</w:t>
      </w:r>
      <w:r w:rsidRPr="00661284">
        <w:rPr>
          <w:rFonts w:asciiTheme="minorEastAsia" w:hAnsiTheme="minorEastAsia"/>
          <w:color w:val="FF0000"/>
        </w:rPr>
        <w:t>、</w:t>
      </w:r>
      <w:r w:rsidRPr="00661284">
        <w:rPr>
          <w:rFonts w:asciiTheme="minorEastAsia" w:hAnsiTheme="minorEastAsia"/>
        </w:rPr>
        <w:t>サービスの欠如、貧困、スティグマを利用すべきではない。</w:t>
      </w:r>
    </w:p>
    <w:p w14:paraId="21C01844" w14:textId="77777777" w:rsidR="00FF573C" w:rsidRPr="00661284" w:rsidRDefault="00FF573C" w:rsidP="00FF573C">
      <w:pPr>
        <w:rPr>
          <w:rFonts w:asciiTheme="minorEastAsia" w:hAnsiTheme="minorEastAsia"/>
        </w:rPr>
      </w:pPr>
    </w:p>
    <w:p w14:paraId="04E8E159" w14:textId="393208F5" w:rsidR="00FF573C" w:rsidRPr="00661284" w:rsidRDefault="005A033D" w:rsidP="00FF573C">
      <w:pPr>
        <w:rPr>
          <w:rFonts w:asciiTheme="minorEastAsia" w:hAnsiTheme="minorEastAsia"/>
          <w:i/>
          <w:iCs/>
        </w:rPr>
      </w:pPr>
      <w:r w:rsidRPr="00661284">
        <w:rPr>
          <w:rFonts w:asciiTheme="minorEastAsia" w:hAnsiTheme="minorEastAsia" w:hint="eastAsia"/>
          <w:i/>
          <w:iCs/>
        </w:rPr>
        <w:t>「</w:t>
      </w:r>
      <w:r w:rsidR="00FF573C" w:rsidRPr="00661284">
        <w:rPr>
          <w:rFonts w:asciiTheme="minorEastAsia" w:hAnsiTheme="minorEastAsia" w:hint="eastAsia"/>
          <w:i/>
          <w:iCs/>
        </w:rPr>
        <w:t>脱施設化のプロセス」の項への追記</w:t>
      </w:r>
    </w:p>
    <w:p w14:paraId="7519CEAC" w14:textId="5C68843D" w:rsidR="00FF573C" w:rsidRPr="00661284" w:rsidRDefault="00FF573C" w:rsidP="005A033D">
      <w:pPr>
        <w:ind w:firstLineChars="100" w:firstLine="210"/>
        <w:rPr>
          <w:rFonts w:asciiTheme="minorEastAsia" w:hAnsiTheme="minorEastAsia"/>
          <w:color w:val="FF0000"/>
        </w:rPr>
      </w:pPr>
      <w:r w:rsidRPr="00661284">
        <w:rPr>
          <w:rFonts w:asciiTheme="minorEastAsia" w:hAnsiTheme="minorEastAsia" w:hint="eastAsia"/>
          <w:color w:val="FF0000"/>
        </w:rPr>
        <w:t>脱施設化のプロセスには、障害の権利モデル、国連障害者権利条約、自立生活に関する研修や啓発キャンペーンを含めるべきである。特に、医療</w:t>
      </w:r>
      <w:r w:rsidR="00C836EB" w:rsidRPr="00661284">
        <w:rPr>
          <w:rFonts w:asciiTheme="minorEastAsia" w:hAnsiTheme="minorEastAsia" w:hint="eastAsia"/>
          <w:color w:val="FF0000"/>
        </w:rPr>
        <w:t>専門職</w:t>
      </w:r>
      <w:r w:rsidRPr="00661284">
        <w:rPr>
          <w:rFonts w:asciiTheme="minorEastAsia" w:hAnsiTheme="minorEastAsia" w:hint="eastAsia"/>
          <w:color w:val="FF0000"/>
        </w:rPr>
        <w:t>、社会</w:t>
      </w:r>
      <w:r w:rsidR="005A033D" w:rsidRPr="00661284">
        <w:rPr>
          <w:rFonts w:asciiTheme="minorEastAsia" w:hAnsiTheme="minorEastAsia" w:hint="eastAsia"/>
          <w:color w:val="FF0000"/>
        </w:rPr>
        <w:t>ケア</w:t>
      </w:r>
      <w:r w:rsidR="00C836EB" w:rsidRPr="00661284">
        <w:rPr>
          <w:rFonts w:asciiTheme="minorEastAsia" w:hAnsiTheme="minorEastAsia" w:hint="eastAsia"/>
          <w:color w:val="FF0000"/>
        </w:rPr>
        <w:t>専門職</w:t>
      </w:r>
      <w:r w:rsidRPr="00661284">
        <w:rPr>
          <w:rFonts w:asciiTheme="minorEastAsia" w:hAnsiTheme="minorEastAsia" w:hint="eastAsia"/>
          <w:color w:val="FF0000"/>
        </w:rPr>
        <w:t>、教育者など、あらゆる年齢の障害者のケアや支援に携わる</w:t>
      </w:r>
      <w:r w:rsidR="00C836EB" w:rsidRPr="00661284">
        <w:rPr>
          <w:rFonts w:asciiTheme="minorEastAsia" w:hAnsiTheme="minorEastAsia" w:hint="eastAsia"/>
          <w:color w:val="FF0000"/>
        </w:rPr>
        <w:t>専門職</w:t>
      </w:r>
      <w:r w:rsidRPr="00661284">
        <w:rPr>
          <w:rFonts w:asciiTheme="minorEastAsia" w:hAnsiTheme="minorEastAsia" w:hint="eastAsia"/>
          <w:color w:val="FF0000"/>
        </w:rPr>
        <w:t>に対して。</w:t>
      </w:r>
    </w:p>
    <w:p w14:paraId="06219942" w14:textId="77777777" w:rsidR="00661284" w:rsidRPr="00661284" w:rsidRDefault="00661284" w:rsidP="00FF573C">
      <w:pPr>
        <w:rPr>
          <w:rFonts w:asciiTheme="minorEastAsia" w:hAnsiTheme="minorEastAsia"/>
        </w:rPr>
      </w:pPr>
    </w:p>
    <w:p w14:paraId="4F0171D8" w14:textId="7595927C" w:rsidR="00FF573C" w:rsidRPr="00661284" w:rsidRDefault="00FF573C" w:rsidP="00FF573C">
      <w:pPr>
        <w:rPr>
          <w:rFonts w:asciiTheme="minorEastAsia" w:hAnsiTheme="minorEastAsia"/>
        </w:rPr>
      </w:pPr>
      <w:r w:rsidRPr="00661284">
        <w:rPr>
          <w:rFonts w:asciiTheme="minorEastAsia" w:hAnsiTheme="minorEastAsia" w:hint="eastAsia"/>
        </w:rPr>
        <w:t>パラグラフ</w:t>
      </w:r>
      <w:r w:rsidRPr="00661284">
        <w:rPr>
          <w:rFonts w:asciiTheme="minorEastAsia" w:hAnsiTheme="minorEastAsia"/>
        </w:rPr>
        <w:t>(23)</w:t>
      </w:r>
      <w:r w:rsidR="005A033D" w:rsidRPr="00661284">
        <w:rPr>
          <w:rFonts w:asciiTheme="minorEastAsia" w:hAnsiTheme="minorEastAsia" w:hint="eastAsia"/>
        </w:rPr>
        <w:t>、</w:t>
      </w:r>
      <w:r w:rsidRPr="00661284">
        <w:rPr>
          <w:rFonts w:asciiTheme="minorEastAsia" w:hAnsiTheme="minorEastAsia"/>
        </w:rPr>
        <w:t>条約に沿</w:t>
      </w:r>
      <w:r w:rsidR="005A033D" w:rsidRPr="00661284">
        <w:rPr>
          <w:rFonts w:asciiTheme="minorEastAsia" w:hAnsiTheme="minorEastAsia" w:hint="eastAsia"/>
        </w:rPr>
        <w:t>ったものである</w:t>
      </w:r>
      <w:r w:rsidRPr="00661284">
        <w:rPr>
          <w:rFonts w:asciiTheme="minorEastAsia" w:hAnsiTheme="minorEastAsia"/>
        </w:rPr>
        <w:t>ためには、自立した生活を送るための支援サービスは、</w:t>
      </w:r>
      <w:r w:rsidRPr="00661284">
        <w:rPr>
          <w:rFonts w:asciiTheme="minorEastAsia" w:hAnsiTheme="minorEastAsia"/>
          <w:color w:val="FF0000"/>
        </w:rPr>
        <w:t>小児期や老年期を含むその人の全生涯にわたって、</w:t>
      </w:r>
      <w:r w:rsidR="005A033D" w:rsidRPr="00661284">
        <w:rPr>
          <w:rFonts w:asciiTheme="minorEastAsia" w:hAnsiTheme="minorEastAsia" w:hint="eastAsia"/>
        </w:rPr>
        <w:t>利用可能で、アクセシブル</w:t>
      </w:r>
      <w:r w:rsidRPr="00661284">
        <w:rPr>
          <w:rFonts w:asciiTheme="minorEastAsia" w:hAnsiTheme="minorEastAsia"/>
        </w:rPr>
        <w:t>で、</w:t>
      </w:r>
      <w:r w:rsidR="005A033D" w:rsidRPr="00661284">
        <w:rPr>
          <w:rFonts w:asciiTheme="minorEastAsia" w:hAnsiTheme="minorEastAsia" w:hint="eastAsia"/>
        </w:rPr>
        <w:t>受け入れやすく</w:t>
      </w:r>
      <w:r w:rsidRPr="00661284">
        <w:rPr>
          <w:rFonts w:asciiTheme="minorEastAsia" w:hAnsiTheme="minorEastAsia"/>
        </w:rPr>
        <w:t>、手頃な価格で、適応可能でなければならない。</w:t>
      </w:r>
    </w:p>
    <w:p w14:paraId="138E9EBF" w14:textId="77777777" w:rsidR="00661284" w:rsidRPr="00661284" w:rsidRDefault="00661284" w:rsidP="00FF573C">
      <w:pPr>
        <w:rPr>
          <w:rFonts w:asciiTheme="minorEastAsia" w:hAnsiTheme="minorEastAsia"/>
        </w:rPr>
      </w:pPr>
    </w:p>
    <w:p w14:paraId="64385DCE" w14:textId="091B0B97" w:rsidR="00FF573C" w:rsidRPr="00661284" w:rsidRDefault="00FF573C" w:rsidP="00FF573C">
      <w:pPr>
        <w:rPr>
          <w:rFonts w:asciiTheme="minorEastAsia" w:hAnsiTheme="minorEastAsia"/>
        </w:rPr>
      </w:pPr>
      <w:r w:rsidRPr="00661284">
        <w:rPr>
          <w:rFonts w:asciiTheme="minorEastAsia" w:hAnsiTheme="minorEastAsia" w:hint="eastAsia"/>
        </w:rPr>
        <w:t>パラグラフ</w:t>
      </w:r>
      <w:r w:rsidRPr="00661284">
        <w:rPr>
          <w:rFonts w:asciiTheme="minorEastAsia" w:hAnsiTheme="minorEastAsia"/>
        </w:rPr>
        <w:t>(24)。</w:t>
      </w:r>
      <w:r w:rsidR="00AC43DA" w:rsidRPr="00661284">
        <w:rPr>
          <w:rFonts w:asciiTheme="minorEastAsia" w:hAnsiTheme="minorEastAsia" w:hint="eastAsia"/>
        </w:rPr>
        <w:t>自立した生活及び地域社会への</w:t>
      </w:r>
      <w:r w:rsidR="00CD73EF">
        <w:rPr>
          <w:rFonts w:asciiTheme="minorEastAsia" w:hAnsiTheme="minorEastAsia" w:hint="eastAsia"/>
        </w:rPr>
        <w:t>包摂</w:t>
      </w:r>
      <w:r w:rsidR="00AC43DA" w:rsidRPr="00661284">
        <w:rPr>
          <w:rFonts w:asciiTheme="minorEastAsia" w:hAnsiTheme="minorEastAsia" w:hint="eastAsia"/>
        </w:rPr>
        <w:t>のための支援サービスには、パーソナル・アシスタンス、ピアサポート、緊急支援、コミュニケーション支援、移動、住宅確保、家事援助などの支援、その他の地域に密着したサービスなどがある。また、障害のある人が教育、雇用、</w:t>
      </w:r>
      <w:r w:rsidR="00AC43DA" w:rsidRPr="00661284">
        <w:rPr>
          <w:rFonts w:asciiTheme="minorEastAsia" w:hAnsiTheme="minorEastAsia" w:hint="eastAsia"/>
          <w:color w:val="FF0000"/>
        </w:rPr>
        <w:t>医療、</w:t>
      </w:r>
      <w:r w:rsidR="00AC43DA" w:rsidRPr="00661284">
        <w:rPr>
          <w:rFonts w:asciiTheme="minorEastAsia" w:hAnsiTheme="minorEastAsia" w:hint="eastAsia"/>
        </w:rPr>
        <w:t>司法制度などのメインストリームのサービスにアクセスでき、利用可能になるように支援すべきである。</w:t>
      </w:r>
    </w:p>
    <w:p w14:paraId="21E314A2" w14:textId="77777777" w:rsidR="00661284" w:rsidRPr="00661284" w:rsidRDefault="00661284" w:rsidP="00FF573C">
      <w:pPr>
        <w:rPr>
          <w:rFonts w:asciiTheme="minorEastAsia" w:hAnsiTheme="minorEastAsia"/>
        </w:rPr>
      </w:pPr>
    </w:p>
    <w:p w14:paraId="3FFF3F6B" w14:textId="3D50CB7E" w:rsidR="00AC43DA" w:rsidRPr="00661284" w:rsidRDefault="00FF573C" w:rsidP="00FF573C">
      <w:pPr>
        <w:rPr>
          <w:rFonts w:asciiTheme="minorEastAsia" w:hAnsiTheme="minorEastAsia"/>
        </w:rPr>
      </w:pPr>
      <w:r w:rsidRPr="00661284">
        <w:rPr>
          <w:rFonts w:asciiTheme="minorEastAsia" w:hAnsiTheme="minorEastAsia" w:hint="eastAsia"/>
        </w:rPr>
        <w:t>パラグラフ（</w:t>
      </w:r>
      <w:r w:rsidRPr="00661284">
        <w:rPr>
          <w:rFonts w:asciiTheme="minorEastAsia" w:hAnsiTheme="minorEastAsia"/>
        </w:rPr>
        <w:t>37）</w:t>
      </w:r>
      <w:r w:rsidR="00AC43DA" w:rsidRPr="00661284">
        <w:rPr>
          <w:rFonts w:asciiTheme="minorEastAsia" w:hAnsiTheme="minorEastAsia" w:hint="eastAsia"/>
        </w:rPr>
        <w:t>障害のある人が家族から支援を受けることを選択した場合、締約国は、家族が支援の役割を果たすために十分な</w:t>
      </w:r>
      <w:r w:rsidR="00AC43DA" w:rsidRPr="00661284">
        <w:rPr>
          <w:rFonts w:asciiTheme="minorEastAsia" w:hAnsiTheme="minorEastAsia" w:hint="eastAsia"/>
          <w:color w:val="FF0000"/>
        </w:rPr>
        <w:t>医療ケア、</w:t>
      </w:r>
      <w:r w:rsidR="00AC43DA" w:rsidRPr="00661284">
        <w:rPr>
          <w:rFonts w:asciiTheme="minorEastAsia" w:hAnsiTheme="minorEastAsia" w:hint="eastAsia"/>
        </w:rPr>
        <w:t>金銭的、社会的、その他の支援を受けられるようにすべきである。</w:t>
      </w:r>
    </w:p>
    <w:p w14:paraId="22EF2ECC" w14:textId="77777777" w:rsidR="00D441C2" w:rsidRPr="00661284" w:rsidRDefault="00D441C2" w:rsidP="00D441C2">
      <w:pPr>
        <w:pStyle w:val="a3"/>
        <w:spacing w:before="7"/>
        <w:rPr>
          <w:rFonts w:asciiTheme="minorEastAsia" w:eastAsiaTheme="minorEastAsia" w:hAnsiTheme="minorEastAsia"/>
          <w:sz w:val="19"/>
          <w:lang w:eastAsia="ja-JP"/>
        </w:rPr>
      </w:pPr>
    </w:p>
    <w:p w14:paraId="78F0EC7A" w14:textId="045A8327" w:rsidR="00AD0AAD" w:rsidRPr="00661284" w:rsidRDefault="00FF573C" w:rsidP="00FF573C">
      <w:pPr>
        <w:rPr>
          <w:rFonts w:asciiTheme="minorEastAsia" w:hAnsiTheme="minorEastAsia"/>
        </w:rPr>
      </w:pPr>
      <w:r w:rsidRPr="00661284">
        <w:rPr>
          <w:rFonts w:asciiTheme="minorEastAsia" w:hAnsiTheme="minorEastAsia" w:hint="eastAsia"/>
        </w:rPr>
        <w:t>パラグラフ（</w:t>
      </w:r>
      <w:r w:rsidRPr="00661284">
        <w:rPr>
          <w:rFonts w:asciiTheme="minorEastAsia" w:hAnsiTheme="minorEastAsia"/>
        </w:rPr>
        <w:t>39）</w:t>
      </w:r>
      <w:r w:rsidR="00D203B7" w:rsidRPr="00661284">
        <w:rPr>
          <w:rFonts w:asciiTheme="minorEastAsia" w:hAnsiTheme="minorEastAsia" w:hint="eastAsia"/>
        </w:rPr>
        <w:t>障害を理由とする差別は、明確に障害を理由とする施設収容であるか否かにかかわらず起こりうる。多重差別や事実上の差別は、障害者を施設に追いやるような支援サービスの欠如を通じて、地域社会でも起こりうる。例えば、ひとり親、</w:t>
      </w:r>
      <w:r w:rsidR="00D203B7" w:rsidRPr="00661284">
        <w:rPr>
          <w:rFonts w:asciiTheme="minorEastAsia" w:hAnsiTheme="minorEastAsia"/>
          <w:color w:val="FF0000"/>
        </w:rPr>
        <w:t>先天性障害、</w:t>
      </w:r>
      <w:r w:rsidR="00D203B7" w:rsidRPr="00661284">
        <w:rPr>
          <w:rFonts w:asciiTheme="minorEastAsia" w:hAnsiTheme="minorEastAsia" w:hint="eastAsia"/>
        </w:rPr>
        <w:t>セックスワーカーに対するスティグマ、精神医学的診断の押し付け、親権の否定は、障害のある親および</w:t>
      </w:r>
      <w:r w:rsidR="00D203B7" w:rsidRPr="00661284">
        <w:rPr>
          <w:rFonts w:asciiTheme="minorEastAsia" w:hAnsiTheme="minorEastAsia"/>
        </w:rPr>
        <w:t>/または子どもを施設に入れることにつなが</w:t>
      </w:r>
      <w:r w:rsidR="001D2C63" w:rsidRPr="00D418B8">
        <w:rPr>
          <w:rFonts w:asciiTheme="minorEastAsia" w:hAnsiTheme="minorEastAsia" w:hint="eastAsia"/>
        </w:rPr>
        <w:t>りえる</w:t>
      </w:r>
      <w:r w:rsidR="001D2C63" w:rsidRPr="00661284">
        <w:rPr>
          <w:rFonts w:asciiTheme="minorEastAsia" w:hAnsiTheme="minorEastAsia" w:hint="eastAsia"/>
          <w:color w:val="7030A0"/>
        </w:rPr>
        <w:t>。</w:t>
      </w:r>
    </w:p>
    <w:p w14:paraId="24A9CC0C" w14:textId="77777777" w:rsidR="00661284" w:rsidRPr="00661284" w:rsidRDefault="00661284" w:rsidP="00D203B7">
      <w:pPr>
        <w:rPr>
          <w:rFonts w:asciiTheme="minorEastAsia" w:hAnsiTheme="minorEastAsia"/>
        </w:rPr>
      </w:pPr>
    </w:p>
    <w:p w14:paraId="3DB49A51" w14:textId="1F9B521C" w:rsidR="00D441C2" w:rsidRPr="00661284" w:rsidRDefault="00FF573C" w:rsidP="00D203B7">
      <w:pPr>
        <w:rPr>
          <w:rFonts w:asciiTheme="minorEastAsia" w:hAnsiTheme="minorEastAsia"/>
          <w:szCs w:val="21"/>
        </w:rPr>
      </w:pPr>
      <w:r w:rsidRPr="00661284">
        <w:rPr>
          <w:rFonts w:asciiTheme="minorEastAsia" w:hAnsiTheme="minorEastAsia" w:hint="eastAsia"/>
        </w:rPr>
        <w:t>パラグラフ（</w:t>
      </w:r>
      <w:r w:rsidRPr="00661284">
        <w:rPr>
          <w:rFonts w:asciiTheme="minorEastAsia" w:hAnsiTheme="minorEastAsia"/>
        </w:rPr>
        <w:t>49）。</w:t>
      </w:r>
      <w:r w:rsidR="00D203B7" w:rsidRPr="00661284">
        <w:rPr>
          <w:rFonts w:asciiTheme="minorEastAsia" w:hAnsiTheme="minorEastAsia" w:cs="ＭＳ 明朝" w:hint="eastAsia"/>
          <w:szCs w:val="21"/>
        </w:rPr>
        <w:t>締約国は、障害のある子どもと若者のために、必要に応じて、パーソナル・アシスタンスおよびピアサポートを含む地域における支援サービスを発展させ、その利用を確保すべきである。教育制度はインクルーシブであるべきで</w:t>
      </w:r>
      <w:r w:rsidR="00D203B7" w:rsidRPr="00661284">
        <w:rPr>
          <w:rFonts w:asciiTheme="minorEastAsia" w:hAnsiTheme="minorEastAsia" w:cs="ＭＳ 明朝" w:hint="eastAsia"/>
          <w:color w:val="FF0000"/>
          <w:szCs w:val="21"/>
        </w:rPr>
        <w:t>あり、</w:t>
      </w:r>
      <w:r w:rsidR="00D203B7" w:rsidRPr="00661284">
        <w:rPr>
          <w:rFonts w:asciiTheme="minorEastAsia" w:hAnsiTheme="minorEastAsia"/>
          <w:color w:val="FF0000"/>
        </w:rPr>
        <w:t>保健医療は、アクセ</w:t>
      </w:r>
      <w:r w:rsidR="00D203B7" w:rsidRPr="00661284">
        <w:rPr>
          <w:rFonts w:asciiTheme="minorEastAsia" w:hAnsiTheme="minorEastAsia" w:cs="ＭＳ 明朝" w:hint="eastAsia"/>
          <w:color w:val="FF0000"/>
        </w:rPr>
        <w:t>シブル</w:t>
      </w:r>
      <w:r w:rsidR="00D203B7" w:rsidRPr="00661284">
        <w:rPr>
          <w:rFonts w:asciiTheme="minorEastAsia" w:hAnsiTheme="minorEastAsia"/>
          <w:color w:val="FF0000"/>
        </w:rPr>
        <w:t>で適切な支援を可能にするために、社会・教育制度と学際的かつ統合的であるべきで</w:t>
      </w:r>
      <w:r w:rsidR="00D203B7" w:rsidRPr="00661284">
        <w:rPr>
          <w:rFonts w:asciiTheme="minorEastAsia" w:hAnsiTheme="minorEastAsia"/>
        </w:rPr>
        <w:t>ある。</w:t>
      </w:r>
      <w:r w:rsidR="00D203B7" w:rsidRPr="00661284">
        <w:rPr>
          <w:rFonts w:asciiTheme="minorEastAsia" w:hAnsiTheme="minorEastAsia" w:cs="ＭＳ 明朝" w:hint="eastAsia"/>
          <w:szCs w:val="21"/>
        </w:rPr>
        <w:t>締約国は、障害のある子どもをメインストリーム学校に入れ、地域のインクルージョンを徐々に傷つける、また、子どもを施設に入れる圧力の増大につながる分離教育への措置を防止し回避すべきである。</w:t>
      </w:r>
    </w:p>
    <w:p w14:paraId="72D5C8C5" w14:textId="77777777" w:rsidR="00661284" w:rsidRPr="00661284" w:rsidRDefault="00661284" w:rsidP="00D203B7">
      <w:pPr>
        <w:rPr>
          <w:rFonts w:asciiTheme="minorEastAsia" w:hAnsiTheme="minorEastAsia"/>
        </w:rPr>
      </w:pPr>
    </w:p>
    <w:p w14:paraId="27AB691C" w14:textId="2105B3F7" w:rsidR="00D441C2" w:rsidRPr="00661284" w:rsidRDefault="00FF573C" w:rsidP="00D203B7">
      <w:pPr>
        <w:rPr>
          <w:rFonts w:asciiTheme="minorEastAsia" w:hAnsiTheme="minorEastAsia"/>
          <w:sz w:val="19"/>
        </w:rPr>
      </w:pPr>
      <w:r w:rsidRPr="00661284">
        <w:rPr>
          <w:rFonts w:asciiTheme="minorEastAsia" w:hAnsiTheme="minorEastAsia" w:hint="eastAsia"/>
        </w:rPr>
        <w:t>パラグラフ（</w:t>
      </w:r>
      <w:r w:rsidRPr="00661284">
        <w:rPr>
          <w:rFonts w:asciiTheme="minorEastAsia" w:hAnsiTheme="minorEastAsia"/>
        </w:rPr>
        <w:t>97）。</w:t>
      </w:r>
      <w:r w:rsidR="00D203B7" w:rsidRPr="00661284">
        <w:rPr>
          <w:rFonts w:asciiTheme="minorEastAsia" w:hAnsiTheme="minorEastAsia" w:cs="ＭＳ 明朝" w:hint="eastAsia"/>
          <w:szCs w:val="21"/>
        </w:rPr>
        <w:t>施設を退所する人は、日常生活の可能性、人生経験、地域でうまくやっていける機会について、よりしっかりとした展望をもつことを経験的に学ぶ必要がある。締約国の一般的義務である、アクセシビリティ、個人の移動、プライバシー、心身のそのままの状態での尊重、法的能力、自由、暴力・虐待・搾取および拷問その他の虐待からの自由、文化・娯楽、</w:t>
      </w:r>
      <w:r w:rsidR="00D203B7" w:rsidRPr="00661284">
        <w:rPr>
          <w:rFonts w:asciiTheme="minorEastAsia" w:hAnsiTheme="minorEastAsia"/>
          <w:color w:val="FF0000"/>
          <w:szCs w:val="21"/>
        </w:rPr>
        <w:t>保健医療</w:t>
      </w:r>
      <w:r w:rsidR="00D203B7" w:rsidRPr="00661284">
        <w:rPr>
          <w:rFonts w:asciiTheme="minorEastAsia" w:hAnsiTheme="minorEastAsia" w:cs="ＭＳ 明朝" w:hint="eastAsia"/>
          <w:szCs w:val="21"/>
        </w:rPr>
        <w:t>へのアクセス、政治参加の権利は、他の人々と同等に確保されるべきである。</w:t>
      </w:r>
    </w:p>
    <w:p w14:paraId="7C675824" w14:textId="77777777" w:rsidR="00661284" w:rsidRPr="00661284" w:rsidRDefault="00661284" w:rsidP="008C3EC7">
      <w:pPr>
        <w:rPr>
          <w:rFonts w:asciiTheme="minorEastAsia" w:hAnsiTheme="minorEastAsia"/>
        </w:rPr>
      </w:pPr>
    </w:p>
    <w:p w14:paraId="7BC03302" w14:textId="0E8416B2" w:rsidR="005A49FF" w:rsidRPr="00661284" w:rsidRDefault="00FF573C" w:rsidP="008C3EC7">
      <w:pPr>
        <w:rPr>
          <w:rFonts w:asciiTheme="minorEastAsia" w:hAnsiTheme="minorEastAsia" w:cs="ＭＳ 明朝"/>
          <w:color w:val="7030A0"/>
          <w:lang w:val="en-GB"/>
        </w:rPr>
      </w:pPr>
      <w:r w:rsidRPr="00661284">
        <w:rPr>
          <w:rFonts w:asciiTheme="minorEastAsia" w:hAnsiTheme="minorEastAsia" w:hint="eastAsia"/>
        </w:rPr>
        <w:t>パラグラフ（</w:t>
      </w:r>
      <w:r w:rsidRPr="00661284">
        <w:rPr>
          <w:rFonts w:asciiTheme="minorEastAsia" w:hAnsiTheme="minorEastAsia"/>
        </w:rPr>
        <w:t>101）。</w:t>
      </w:r>
      <w:r w:rsidR="008373CC" w:rsidRPr="00661284">
        <w:rPr>
          <w:rFonts w:asciiTheme="minorEastAsia" w:hAnsiTheme="minorEastAsia" w:cs="ＭＳ 明朝" w:hint="eastAsia"/>
          <w:lang w:val="en-GB"/>
        </w:rPr>
        <w:t>締約国は、施設を退所する人に対し、他の人と平等に、プライマリーヘルスケア（</w:t>
      </w:r>
      <w:r w:rsidR="008373CC" w:rsidRPr="00661284">
        <w:rPr>
          <w:rFonts w:asciiTheme="minorEastAsia" w:hAnsiTheme="minorEastAsia"/>
          <w:lang w:val="en-GB"/>
        </w:rPr>
        <w:t>primary health care</w:t>
      </w:r>
      <w:r w:rsidR="008373CC" w:rsidRPr="00661284">
        <w:rPr>
          <w:rFonts w:asciiTheme="minorEastAsia" w:hAnsiTheme="minorEastAsia" w:cs="ＭＳ 明朝" w:hint="eastAsia"/>
          <w:lang w:val="en-GB"/>
        </w:rPr>
        <w:t xml:space="preserve">　訳注　健康を基本的な人権として認め、その達成過程に住民の主体的な参加や自己決定権を保障する理念）を含む総合的な医療を確保すべきである。医療サービスは、施設を退所する障害のある人の選択、意志および好みを尊重し、必要に応じてさらなる支援を提供しなければならない。例えば、</w:t>
      </w:r>
      <w:r w:rsidR="005A49FF" w:rsidRPr="00661284">
        <w:rPr>
          <w:rFonts w:asciiTheme="minorEastAsia" w:hAnsiTheme="minorEastAsia" w:cs="ＭＳ 明朝" w:hint="eastAsia"/>
          <w:lang w:val="en-GB"/>
        </w:rPr>
        <w:t>以下の</w:t>
      </w:r>
      <w:r w:rsidR="00895AA0" w:rsidRPr="00661284">
        <w:rPr>
          <w:rFonts w:asciiTheme="minorEastAsia" w:hAnsiTheme="minorEastAsia" w:cs="ＭＳ 明朝" w:hint="eastAsia"/>
          <w:lang w:val="en-GB"/>
        </w:rPr>
        <w:t>観点から、常に自由意志によるインフォームド・コンセント基づいて、医療支援を提供しなければならない。</w:t>
      </w:r>
    </w:p>
    <w:p w14:paraId="2198F9E6" w14:textId="77777777" w:rsidR="005A49FF" w:rsidRPr="00661284" w:rsidRDefault="008373CC" w:rsidP="005A49FF">
      <w:pPr>
        <w:pStyle w:val="ae"/>
        <w:numPr>
          <w:ilvl w:val="0"/>
          <w:numId w:val="1"/>
        </w:numPr>
        <w:rPr>
          <w:rFonts w:asciiTheme="minorEastAsia" w:hAnsiTheme="minorEastAsia"/>
          <w:lang w:val="en-GB"/>
        </w:rPr>
      </w:pPr>
      <w:r w:rsidRPr="00661284">
        <w:rPr>
          <w:rFonts w:asciiTheme="minorEastAsia" w:hAnsiTheme="minorEastAsia" w:cs="ＭＳ 明朝" w:hint="eastAsia"/>
          <w:lang w:val="en-GB"/>
        </w:rPr>
        <w:t>精神科の投薬を止めるため</w:t>
      </w:r>
    </w:p>
    <w:p w14:paraId="0E20E137" w14:textId="19717DBD" w:rsidR="00A46982" w:rsidRPr="00661284" w:rsidRDefault="00A46982" w:rsidP="005A49FF">
      <w:pPr>
        <w:pStyle w:val="ae"/>
        <w:numPr>
          <w:ilvl w:val="0"/>
          <w:numId w:val="1"/>
        </w:numPr>
        <w:rPr>
          <w:rFonts w:asciiTheme="minorEastAsia" w:hAnsiTheme="minorEastAsia"/>
          <w:lang w:val="en-GB"/>
        </w:rPr>
      </w:pPr>
      <w:r w:rsidRPr="00661284">
        <w:rPr>
          <w:rFonts w:asciiTheme="minorEastAsia" w:hAnsiTheme="minorEastAsia"/>
          <w:lang w:val="en-GB"/>
        </w:rPr>
        <w:t>施設退所者およびその支援ネットワークに対する</w:t>
      </w:r>
      <w:r w:rsidRPr="00661284">
        <w:rPr>
          <w:rFonts w:asciiTheme="minorEastAsia" w:hAnsiTheme="minorEastAsia" w:hint="eastAsia"/>
          <w:lang w:val="en-GB"/>
        </w:rPr>
        <w:t>、</w:t>
      </w:r>
      <w:r w:rsidRPr="00661284">
        <w:rPr>
          <w:rFonts w:asciiTheme="minorEastAsia" w:hAnsiTheme="minorEastAsia"/>
          <w:lang w:val="en-GB"/>
        </w:rPr>
        <w:t>保健ニーズの管理</w:t>
      </w:r>
      <w:r w:rsidRPr="00661284">
        <w:rPr>
          <w:rFonts w:asciiTheme="minorEastAsia" w:hAnsiTheme="minorEastAsia" w:hint="eastAsia"/>
          <w:lang w:val="en-GB"/>
        </w:rPr>
        <w:t>と（必要に応じて専門医療を含む）医療へのアクセスに関する訓練のため、</w:t>
      </w:r>
    </w:p>
    <w:p w14:paraId="3A266BCA" w14:textId="7BCD4D71" w:rsidR="00895AA0" w:rsidRPr="00661284" w:rsidRDefault="008373CC" w:rsidP="005A49FF">
      <w:pPr>
        <w:pStyle w:val="ae"/>
        <w:numPr>
          <w:ilvl w:val="0"/>
          <w:numId w:val="1"/>
        </w:numPr>
        <w:rPr>
          <w:rFonts w:asciiTheme="minorEastAsia" w:hAnsiTheme="minorEastAsia"/>
          <w:lang w:val="en-GB"/>
        </w:rPr>
      </w:pPr>
      <w:r w:rsidRPr="00661284">
        <w:rPr>
          <w:rFonts w:asciiTheme="minorEastAsia" w:hAnsiTheme="minorEastAsia" w:cs="ＭＳ 明朝" w:hint="eastAsia"/>
          <w:lang w:val="en-GB"/>
        </w:rPr>
        <w:t>栄養およびフィットネスプログラムを利用するため</w:t>
      </w:r>
    </w:p>
    <w:p w14:paraId="3BCB9F58" w14:textId="2CC967BB" w:rsidR="00D441C2" w:rsidRPr="00661284" w:rsidRDefault="008373CC" w:rsidP="005A49FF">
      <w:pPr>
        <w:pStyle w:val="ae"/>
        <w:numPr>
          <w:ilvl w:val="0"/>
          <w:numId w:val="1"/>
        </w:numPr>
        <w:rPr>
          <w:rFonts w:asciiTheme="minorEastAsia" w:hAnsiTheme="minorEastAsia"/>
          <w:lang w:val="en-GB"/>
        </w:rPr>
      </w:pPr>
      <w:r w:rsidRPr="00661284">
        <w:rPr>
          <w:rFonts w:asciiTheme="minorEastAsia" w:hAnsiTheme="minorEastAsia" w:cs="ＭＳ 明朝" w:hint="eastAsia"/>
          <w:lang w:val="en-GB"/>
        </w:rPr>
        <w:t>全体的な健康および福祉を回復する</w:t>
      </w:r>
      <w:r w:rsidR="00927813" w:rsidRPr="00661284">
        <w:rPr>
          <w:rFonts w:asciiTheme="minorEastAsia" w:hAnsiTheme="minorEastAsia" w:cs="ＭＳ 明朝" w:hint="eastAsia"/>
          <w:lang w:val="en-GB"/>
        </w:rPr>
        <w:t>ため</w:t>
      </w:r>
    </w:p>
    <w:p w14:paraId="5D8EAF18" w14:textId="77777777" w:rsidR="00D441C2" w:rsidRPr="00661284" w:rsidRDefault="00D441C2">
      <w:pPr>
        <w:rPr>
          <w:rFonts w:asciiTheme="minorEastAsia" w:hAnsiTheme="minorEastAsia"/>
        </w:rPr>
      </w:pPr>
    </w:p>
    <w:p w14:paraId="7E7DAAE9" w14:textId="31D26EC1" w:rsidR="00525C6B" w:rsidRPr="00661284" w:rsidRDefault="00525C6B" w:rsidP="00FF573C">
      <w:pPr>
        <w:jc w:val="right"/>
        <w:rPr>
          <w:rFonts w:asciiTheme="minorEastAsia" w:hAnsiTheme="minorEastAsia"/>
        </w:rPr>
      </w:pPr>
      <w:r w:rsidRPr="00661284">
        <w:rPr>
          <w:rFonts w:asciiTheme="minorEastAsia" w:hAnsiTheme="minorEastAsia" w:hint="eastAsia"/>
        </w:rPr>
        <w:t>（翻訳：佐藤久夫、</w:t>
      </w:r>
      <w:r w:rsidR="00A46982" w:rsidRPr="00661284">
        <w:rPr>
          <w:rFonts w:asciiTheme="minorEastAsia" w:hAnsiTheme="minorEastAsia" w:hint="eastAsia"/>
        </w:rPr>
        <w:t>尾上裕介</w:t>
      </w:r>
      <w:r w:rsidRPr="00661284">
        <w:rPr>
          <w:rFonts w:asciiTheme="minorEastAsia" w:hAnsiTheme="minorEastAsia" w:hint="eastAsia"/>
        </w:rPr>
        <w:t>）</w:t>
      </w:r>
    </w:p>
    <w:sectPr w:rsidR="00525C6B" w:rsidRPr="0066128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5373" w14:textId="77777777" w:rsidR="00906CAA" w:rsidRDefault="00906CAA" w:rsidP="00053B0A">
      <w:r>
        <w:separator/>
      </w:r>
    </w:p>
  </w:endnote>
  <w:endnote w:type="continuationSeparator" w:id="0">
    <w:p w14:paraId="40910AF1" w14:textId="77777777" w:rsidR="00906CAA" w:rsidRDefault="00906CAA" w:rsidP="0005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80697"/>
      <w:docPartObj>
        <w:docPartGallery w:val="Page Numbers (Bottom of Page)"/>
        <w:docPartUnique/>
      </w:docPartObj>
    </w:sdtPr>
    <w:sdtEndPr/>
    <w:sdtContent>
      <w:p w14:paraId="4B9A1885" w14:textId="5B9F8D5B" w:rsidR="00053B0A" w:rsidRDefault="00053B0A">
        <w:pPr>
          <w:pStyle w:val="a7"/>
        </w:pPr>
        <w:r>
          <w:fldChar w:fldCharType="begin"/>
        </w:r>
        <w:r>
          <w:instrText>PAGE   \* MERGEFORMAT</w:instrText>
        </w:r>
        <w:r>
          <w:fldChar w:fldCharType="separate"/>
        </w:r>
        <w:r>
          <w:rPr>
            <w:lang w:val="ja-JP"/>
          </w:rPr>
          <w:t>2</w:t>
        </w:r>
        <w:r>
          <w:fldChar w:fldCharType="end"/>
        </w:r>
      </w:p>
    </w:sdtContent>
  </w:sdt>
  <w:p w14:paraId="55BAF1A6" w14:textId="65AD7CD0" w:rsidR="00101354" w:rsidRDefault="0010135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4F7B" w14:textId="77777777" w:rsidR="00906CAA" w:rsidRDefault="00906CAA" w:rsidP="00053B0A">
      <w:r>
        <w:separator/>
      </w:r>
    </w:p>
  </w:footnote>
  <w:footnote w:type="continuationSeparator" w:id="0">
    <w:p w14:paraId="08676820" w14:textId="77777777" w:rsidR="00906CAA" w:rsidRDefault="00906CAA" w:rsidP="00053B0A">
      <w:r>
        <w:continuationSeparator/>
      </w:r>
    </w:p>
  </w:footnote>
  <w:footnote w:id="1">
    <w:p w14:paraId="173494B8" w14:textId="77777777" w:rsidR="000B18E3" w:rsidRPr="00E90A7D" w:rsidRDefault="000B18E3" w:rsidP="000B18E3">
      <w:pPr>
        <w:pStyle w:val="a9"/>
        <w:rPr>
          <w:sz w:val="18"/>
          <w:szCs w:val="18"/>
        </w:rPr>
      </w:pPr>
      <w:r>
        <w:rPr>
          <w:rStyle w:val="ab"/>
        </w:rPr>
        <w:footnoteRef/>
      </w:r>
      <w:r>
        <w:t xml:space="preserve"> </w:t>
      </w:r>
      <w:r w:rsidRPr="00E90A7D">
        <w:rPr>
          <w:sz w:val="18"/>
          <w:szCs w:val="18"/>
        </w:rPr>
        <w:t>IF International Youth Group (2021). IF Statement on Mental Physical and Sexual Health for Youth with SBH. International Federation for Spina Bifida and Hydrocephalus: https://www.ifglobal.org/publications/if-statement- on-mental-physical-and-sexual-health-for-youth-with-</w:t>
      </w:r>
      <w:proofErr w:type="spellStart"/>
      <w:r w:rsidRPr="00E90A7D">
        <w:rPr>
          <w:sz w:val="18"/>
          <w:szCs w:val="18"/>
        </w:rPr>
        <w:t>sbh</w:t>
      </w:r>
      <w:proofErr w:type="spellEnd"/>
      <w:r w:rsidRPr="00E90A7D">
        <w:rPr>
          <w:sz w:val="18"/>
          <w:szCs w:val="18"/>
        </w:rPr>
        <w:t>/</w:t>
      </w:r>
    </w:p>
    <w:p w14:paraId="573A1389" w14:textId="77777777" w:rsidR="000B18E3" w:rsidRPr="00E90A7D" w:rsidRDefault="000B18E3" w:rsidP="000B18E3">
      <w:pPr>
        <w:pStyle w:val="a9"/>
        <w:rPr>
          <w:sz w:val="18"/>
          <w:szCs w:val="18"/>
        </w:rPr>
      </w:pPr>
      <w:r w:rsidRPr="00E90A7D">
        <w:rPr>
          <w:sz w:val="18"/>
          <w:szCs w:val="18"/>
        </w:rPr>
        <w:t xml:space="preserve"> IF</w:t>
      </w:r>
      <w:r>
        <w:rPr>
          <w:rFonts w:hint="eastAsia"/>
          <w:sz w:val="18"/>
          <w:szCs w:val="18"/>
        </w:rPr>
        <w:t>国際青少年グループ</w:t>
      </w:r>
      <w:r w:rsidRPr="00E90A7D">
        <w:rPr>
          <w:sz w:val="18"/>
          <w:szCs w:val="18"/>
        </w:rPr>
        <w:t>（2021年）。SBHの青少年の精神的身体的および性的健康に関するIF声明。国際二分脊椎・水頭症連盟: https://www.ifglobal.org/publications/if-statement- on-mental-physical-and-sexual-health-for-youth-with-</w:t>
      </w:r>
      <w:proofErr w:type="spellStart"/>
      <w:r w:rsidRPr="00E90A7D">
        <w:rPr>
          <w:sz w:val="18"/>
          <w:szCs w:val="18"/>
        </w:rPr>
        <w:t>sbh</w:t>
      </w:r>
      <w:proofErr w:type="spellEnd"/>
      <w:r w:rsidRPr="00E90A7D">
        <w:rPr>
          <w:sz w:val="18"/>
          <w:szCs w:val="18"/>
        </w:rPr>
        <w:t>/.</w:t>
      </w:r>
    </w:p>
  </w:footnote>
  <w:footnote w:id="2">
    <w:p w14:paraId="1819601E" w14:textId="77777777" w:rsidR="00FE1DE8" w:rsidRDefault="00FE1DE8" w:rsidP="00FE1DE8">
      <w:pPr>
        <w:pStyle w:val="a9"/>
        <w:rPr>
          <w:sz w:val="18"/>
          <w:szCs w:val="18"/>
        </w:rPr>
      </w:pPr>
      <w:r>
        <w:rPr>
          <w:rStyle w:val="ab"/>
        </w:rPr>
        <w:footnoteRef/>
      </w:r>
      <w:r>
        <w:t xml:space="preserve"> </w:t>
      </w:r>
      <w:r w:rsidRPr="009532A6">
        <w:rPr>
          <w:sz w:val="18"/>
          <w:szCs w:val="18"/>
        </w:rPr>
        <w:t xml:space="preserve">International Federation for Spina Bifida and Hydrocephalus (2016). IF Report Right to Health: Reality of Persons with Spina Bifida and Hydrocephalus: </w:t>
      </w:r>
      <w:hyperlink r:id="rId1" w:history="1">
        <w:r w:rsidRPr="00A623CD">
          <w:rPr>
            <w:rStyle w:val="ac"/>
            <w:sz w:val="18"/>
            <w:szCs w:val="18"/>
          </w:rPr>
          <w:t>https://www.ifglobal.org/publications/if-report-right-to-health-reality-of-persons-with-spina-bifida-and-hydrocephalus/</w:t>
        </w:r>
      </w:hyperlink>
    </w:p>
    <w:p w14:paraId="20891CF1" w14:textId="77777777" w:rsidR="00FE1DE8" w:rsidRPr="00B6174E" w:rsidRDefault="00FE1DE8" w:rsidP="00FE1DE8">
      <w:pPr>
        <w:pStyle w:val="a9"/>
        <w:rPr>
          <w:sz w:val="18"/>
          <w:szCs w:val="18"/>
        </w:rPr>
      </w:pPr>
      <w:r w:rsidRPr="00B6174E">
        <w:rPr>
          <w:rFonts w:hint="eastAsia"/>
          <w:sz w:val="18"/>
          <w:szCs w:val="18"/>
        </w:rPr>
        <w:t>国際二分脊椎・水頭症連盟（</w:t>
      </w:r>
      <w:r w:rsidRPr="00B6174E">
        <w:rPr>
          <w:sz w:val="18"/>
          <w:szCs w:val="18"/>
        </w:rPr>
        <w:t>2016）。IF報告書 健康への権利： 二分脊椎と水頭症患者の現実:</w:t>
      </w:r>
    </w:p>
  </w:footnote>
  <w:footnote w:id="3">
    <w:p w14:paraId="3F927DBB" w14:textId="77777777" w:rsidR="00FE1DE8" w:rsidRDefault="00FE1DE8" w:rsidP="00FE1DE8">
      <w:pPr>
        <w:pStyle w:val="a9"/>
        <w:rPr>
          <w:color w:val="0462C1"/>
          <w:sz w:val="18"/>
          <w:szCs w:val="18"/>
          <w:u w:val="single" w:color="0462C1"/>
        </w:rPr>
      </w:pPr>
      <w:r>
        <w:rPr>
          <w:rStyle w:val="ab"/>
        </w:rPr>
        <w:footnoteRef/>
      </w:r>
      <w:r>
        <w:t xml:space="preserve"> </w:t>
      </w:r>
      <w:r w:rsidRPr="007E11B3">
        <w:rPr>
          <w:sz w:val="18"/>
          <w:szCs w:val="18"/>
        </w:rPr>
        <w:t>IF Working Group on Ageing (2021). IF Report on Ageing with Spina Bifida and Hydrocephalus – Findings from</w:t>
      </w:r>
      <w:r w:rsidRPr="007E11B3">
        <w:rPr>
          <w:spacing w:val="-43"/>
          <w:sz w:val="18"/>
          <w:szCs w:val="18"/>
        </w:rPr>
        <w:t xml:space="preserve"> </w:t>
      </w:r>
      <w:r w:rsidRPr="007E11B3">
        <w:rPr>
          <w:sz w:val="18"/>
          <w:szCs w:val="18"/>
        </w:rPr>
        <w:t>Online Focus Group Discussions. International Federation for Spina Bifida and Hydrocephalus:</w:t>
      </w:r>
      <w:r w:rsidRPr="007E11B3">
        <w:rPr>
          <w:spacing w:val="1"/>
          <w:sz w:val="18"/>
          <w:szCs w:val="18"/>
        </w:rPr>
        <w:t xml:space="preserve"> </w:t>
      </w:r>
      <w:hyperlink r:id="rId2">
        <w:r w:rsidRPr="007E11B3">
          <w:rPr>
            <w:color w:val="0462C1"/>
            <w:spacing w:val="-1"/>
            <w:sz w:val="18"/>
            <w:szCs w:val="18"/>
            <w:u w:val="single" w:color="0462C1"/>
          </w:rPr>
          <w:t>https://www.ifglobal.org/publications/if-report-on-ageing-with-spina-bifida-and-hydrocephalus-findings-from-</w:t>
        </w:r>
      </w:hyperlink>
      <w:r w:rsidRPr="007E11B3">
        <w:rPr>
          <w:color w:val="0462C1"/>
          <w:sz w:val="18"/>
          <w:szCs w:val="18"/>
        </w:rPr>
        <w:t xml:space="preserve"> </w:t>
      </w:r>
      <w:hyperlink r:id="rId3">
        <w:r w:rsidRPr="007E11B3">
          <w:rPr>
            <w:color w:val="0462C1"/>
            <w:sz w:val="18"/>
            <w:szCs w:val="18"/>
            <w:u w:val="single" w:color="0462C1"/>
          </w:rPr>
          <w:t>online-focus-group-discussions/</w:t>
        </w:r>
      </w:hyperlink>
    </w:p>
    <w:p w14:paraId="71EE3D3B" w14:textId="77777777" w:rsidR="00FE1DE8" w:rsidRDefault="00FE1DE8" w:rsidP="00FE1DE8">
      <w:pPr>
        <w:pStyle w:val="a9"/>
      </w:pPr>
      <w:r w:rsidRPr="007E11B3">
        <w:rPr>
          <w:sz w:val="18"/>
          <w:szCs w:val="18"/>
        </w:rPr>
        <w:t>高齢化に関するIF作業部会（2021年）。二分脊椎と水頭症のある人の高齢化に関するIF報告書-オンライン・フォーカス・グループ・ディスカッションからの知見. 国際二分脊椎・水頭症連盟：</w:t>
      </w:r>
    </w:p>
  </w:footnote>
  <w:footnote w:id="4">
    <w:p w14:paraId="06A132B6" w14:textId="77777777" w:rsidR="00FE1DE8" w:rsidRDefault="00FE1DE8" w:rsidP="00FE1DE8">
      <w:pPr>
        <w:pStyle w:val="a9"/>
        <w:rPr>
          <w:color w:val="0462C1"/>
          <w:sz w:val="18"/>
          <w:szCs w:val="18"/>
          <w:u w:val="single" w:color="0462C1"/>
        </w:rPr>
      </w:pPr>
      <w:r>
        <w:rPr>
          <w:rStyle w:val="ab"/>
        </w:rPr>
        <w:footnoteRef/>
      </w:r>
      <w:r>
        <w:t xml:space="preserve"> </w:t>
      </w:r>
      <w:r w:rsidRPr="005B6889">
        <w:rPr>
          <w:sz w:val="18"/>
          <w:szCs w:val="18"/>
        </w:rPr>
        <w:t>International Federation for Spina Bifida and Hydrocephalus (2021). IF Statement on Multidisciplinary Care for</w:t>
      </w:r>
      <w:r w:rsidRPr="005B6889">
        <w:rPr>
          <w:spacing w:val="1"/>
          <w:sz w:val="18"/>
          <w:szCs w:val="18"/>
        </w:rPr>
        <w:t xml:space="preserve"> </w:t>
      </w:r>
      <w:r w:rsidRPr="005B6889">
        <w:rPr>
          <w:sz w:val="18"/>
          <w:szCs w:val="18"/>
        </w:rPr>
        <w:t xml:space="preserve">Spina Bifida and Hydrocephalus: </w:t>
      </w:r>
      <w:hyperlink r:id="rId4">
        <w:r w:rsidRPr="005B6889">
          <w:rPr>
            <w:color w:val="0462C1"/>
            <w:sz w:val="18"/>
            <w:szCs w:val="18"/>
            <w:u w:val="single" w:color="0462C1"/>
          </w:rPr>
          <w:t>https://www.ifglobal.org/publications/if-statement-on-multidisciplinary-care-for-</w:t>
        </w:r>
      </w:hyperlink>
      <w:r w:rsidRPr="005B6889">
        <w:rPr>
          <w:color w:val="0462C1"/>
          <w:spacing w:val="-43"/>
          <w:sz w:val="18"/>
          <w:szCs w:val="18"/>
        </w:rPr>
        <w:t xml:space="preserve"> </w:t>
      </w:r>
      <w:hyperlink r:id="rId5">
        <w:r w:rsidRPr="005B6889">
          <w:rPr>
            <w:color w:val="0462C1"/>
            <w:sz w:val="18"/>
            <w:szCs w:val="18"/>
            <w:u w:val="single" w:color="0462C1"/>
          </w:rPr>
          <w:t>spina-bifida-and-hydrocephalus/</w:t>
        </w:r>
      </w:hyperlink>
    </w:p>
    <w:p w14:paraId="7123228B" w14:textId="77777777" w:rsidR="00FE1DE8" w:rsidRDefault="00FE1DE8" w:rsidP="00FE1DE8">
      <w:pPr>
        <w:pStyle w:val="a9"/>
      </w:pPr>
      <w:r w:rsidRPr="005B6889">
        <w:rPr>
          <w:sz w:val="18"/>
          <w:szCs w:val="18"/>
        </w:rPr>
        <w:t>国際二分脊椎・水頭症連盟(2021).二分脊椎と水頭症の集学的ケアに関する IF 声明.</w:t>
      </w:r>
    </w:p>
  </w:footnote>
  <w:footnote w:id="5">
    <w:p w14:paraId="05BCC4E0" w14:textId="77777777" w:rsidR="00EF7108" w:rsidRDefault="00EF7108" w:rsidP="00EF7108">
      <w:pPr>
        <w:pStyle w:val="a9"/>
        <w:rPr>
          <w:color w:val="0462C1"/>
          <w:sz w:val="18"/>
          <w:szCs w:val="18"/>
          <w:u w:val="single" w:color="0462C1"/>
        </w:rPr>
      </w:pPr>
      <w:r>
        <w:rPr>
          <w:rStyle w:val="ab"/>
        </w:rPr>
        <w:footnoteRef/>
      </w:r>
      <w:r>
        <w:t xml:space="preserve"> </w:t>
      </w:r>
      <w:r w:rsidRPr="005B6889">
        <w:rPr>
          <w:sz w:val="18"/>
          <w:szCs w:val="18"/>
        </w:rPr>
        <w:t>International Federation for Spina Bifida and Hydrocephalus (2021). IF Statement on COVID-19:</w:t>
      </w:r>
      <w:r w:rsidRPr="005B6889">
        <w:rPr>
          <w:spacing w:val="-43"/>
          <w:sz w:val="18"/>
          <w:szCs w:val="18"/>
        </w:rPr>
        <w:t xml:space="preserve"> </w:t>
      </w:r>
      <w:hyperlink r:id="rId6">
        <w:r w:rsidRPr="005B6889">
          <w:rPr>
            <w:color w:val="0462C1"/>
            <w:sz w:val="18"/>
            <w:szCs w:val="18"/>
            <w:u w:val="single" w:color="0462C1"/>
          </w:rPr>
          <w:t>https://www.ifglobal.org/publications/if-statement-on-covid-19/</w:t>
        </w:r>
      </w:hyperlink>
    </w:p>
    <w:p w14:paraId="35D976C1" w14:textId="77777777" w:rsidR="00EF7108" w:rsidRDefault="00EF7108" w:rsidP="00EF7108">
      <w:pPr>
        <w:pStyle w:val="a9"/>
      </w:pPr>
      <w:r w:rsidRPr="005A033D">
        <w:rPr>
          <w:sz w:val="18"/>
          <w:szCs w:val="18"/>
        </w:rPr>
        <w:t>国際二分脊椎・水頭症連盟（2021）。COVID-19 に関する IF 声明：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AACF" w14:textId="77777777" w:rsidR="00101354" w:rsidRDefault="00A46982">
    <w:pPr>
      <w:pStyle w:val="a3"/>
      <w:spacing w:line="14" w:lineRule="auto"/>
      <w:rPr>
        <w:sz w:val="20"/>
      </w:rPr>
    </w:pPr>
    <w:r>
      <w:rPr>
        <w:noProof/>
        <w:lang w:val="en-GB" w:eastAsia="en-GB"/>
      </w:rPr>
      <mc:AlternateContent>
        <mc:Choice Requires="wpg">
          <w:drawing>
            <wp:anchor distT="0" distB="0" distL="114300" distR="114300" simplePos="0" relativeHeight="251659264" behindDoc="1" locked="0" layoutInCell="1" allowOverlap="1" wp14:anchorId="37951FE5" wp14:editId="6EF55DFE">
              <wp:simplePos x="0" y="0"/>
              <wp:positionH relativeFrom="page">
                <wp:posOffset>-6350</wp:posOffset>
              </wp:positionH>
              <wp:positionV relativeFrom="page">
                <wp:posOffset>-6350</wp:posOffset>
              </wp:positionV>
              <wp:extent cx="7762240" cy="19558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195580"/>
                        <a:chOff x="-10" y="-10"/>
                        <a:chExt cx="12224" cy="308"/>
                      </a:xfrm>
                    </wpg:grpSpPr>
                    <wps:wsp>
                      <wps:cNvPr id="7" name="Rectangle 6"/>
                      <wps:cNvSpPr>
                        <a:spLocks noChangeArrowheads="1"/>
                      </wps:cNvSpPr>
                      <wps:spPr bwMode="auto">
                        <a:xfrm>
                          <a:off x="0" y="0"/>
                          <a:ext cx="12204" cy="288"/>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5"/>
                      <wps:cNvSpPr>
                        <a:spLocks/>
                      </wps:cNvSpPr>
                      <wps:spPr bwMode="auto">
                        <a:xfrm>
                          <a:off x="0" y="0"/>
                          <a:ext cx="12204" cy="288"/>
                        </a:xfrm>
                        <a:custGeom>
                          <a:avLst/>
                          <a:gdLst>
                            <a:gd name="T0" fmla="*/ 0 w 12204"/>
                            <a:gd name="T1" fmla="*/ 288 h 288"/>
                            <a:gd name="T2" fmla="*/ 12204 w 12204"/>
                            <a:gd name="T3" fmla="*/ 288 h 288"/>
                            <a:gd name="T4" fmla="*/ 12204 w 12204"/>
                            <a:gd name="T5" fmla="*/ 0 h 288"/>
                            <a:gd name="T6" fmla="*/ 0 w 12204"/>
                            <a:gd name="T7" fmla="*/ 0 h 288"/>
                            <a:gd name="T8" fmla="*/ 0 w 12204"/>
                            <a:gd name="T9" fmla="*/ 288 h 288"/>
                          </a:gdLst>
                          <a:ahLst/>
                          <a:cxnLst>
                            <a:cxn ang="0">
                              <a:pos x="T0" y="T1"/>
                            </a:cxn>
                            <a:cxn ang="0">
                              <a:pos x="T2" y="T3"/>
                            </a:cxn>
                            <a:cxn ang="0">
                              <a:pos x="T4" y="T5"/>
                            </a:cxn>
                            <a:cxn ang="0">
                              <a:pos x="T6" y="T7"/>
                            </a:cxn>
                            <a:cxn ang="0">
                              <a:pos x="T8" y="T9"/>
                            </a:cxn>
                          </a:cxnLst>
                          <a:rect l="0" t="0" r="r" b="b"/>
                          <a:pathLst>
                            <a:path w="12204" h="288">
                              <a:moveTo>
                                <a:pt x="0" y="288"/>
                              </a:moveTo>
                              <a:lnTo>
                                <a:pt x="12204" y="288"/>
                              </a:lnTo>
                              <a:lnTo>
                                <a:pt x="12204" y="0"/>
                              </a:lnTo>
                              <a:moveTo>
                                <a:pt x="0" y="0"/>
                              </a:moveTo>
                              <a:lnTo>
                                <a:pt x="0" y="288"/>
                              </a:lnTo>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BD64C" id="Group 4" o:spid="_x0000_s1026" style="position:absolute;left:0;text-align:left;margin-left:-.5pt;margin-top:-.5pt;width:611.2pt;height:15.4pt;z-index:-251657216;mso-position-horizontal-relative:page;mso-position-vertical-relative:page" coordorigin="-10,-10" coordsize="1222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">
              <v:rect id="Rectangle 6" o:spid="_x0000_s1027" style="position:absolute;width:122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" fillcolor="#001f5f" stroked="f"/>
              <v:shape id="AutoShape 5" o:spid="_x0000_s1028" style="position:absolute;width:12204;height:288;visibility:visible;mso-wrap-style:square;v-text-anchor:top" coordsize="1220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" path="m,288r12204,l12204,m,l,288e" filled="f" strokecolor="#41709c" strokeweight=".96pt">
                <v:path arrowok="t" o:connecttype="custom" o:connectlocs="0,288;12204,288;12204,0;0,0;0,288"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F4C68"/>
    <w:multiLevelType w:val="hybridMultilevel"/>
    <w:tmpl w:val="CDC6A08E"/>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num w:numId="1" w16cid:durableId="74102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tzAzNzU1MzI0MjFR0lEKTi0uzszPAykwqgUAkucCYywAAAA="/>
  </w:docVars>
  <w:rsids>
    <w:rsidRoot w:val="001401F4"/>
    <w:rsid w:val="00053B0A"/>
    <w:rsid w:val="000B18E3"/>
    <w:rsid w:val="00101354"/>
    <w:rsid w:val="001401F4"/>
    <w:rsid w:val="001D2C63"/>
    <w:rsid w:val="001D4538"/>
    <w:rsid w:val="001E0FC4"/>
    <w:rsid w:val="0046177B"/>
    <w:rsid w:val="00470D2E"/>
    <w:rsid w:val="004E5531"/>
    <w:rsid w:val="00525C6B"/>
    <w:rsid w:val="005A033D"/>
    <w:rsid w:val="005A49FF"/>
    <w:rsid w:val="005B6889"/>
    <w:rsid w:val="005C17AC"/>
    <w:rsid w:val="00623F74"/>
    <w:rsid w:val="00661284"/>
    <w:rsid w:val="007A3A23"/>
    <w:rsid w:val="007D2A54"/>
    <w:rsid w:val="007E11B3"/>
    <w:rsid w:val="008373CC"/>
    <w:rsid w:val="00892798"/>
    <w:rsid w:val="00895AA0"/>
    <w:rsid w:val="008C3EC7"/>
    <w:rsid w:val="00906CAA"/>
    <w:rsid w:val="00927813"/>
    <w:rsid w:val="00931888"/>
    <w:rsid w:val="009532A6"/>
    <w:rsid w:val="00A11465"/>
    <w:rsid w:val="00A46982"/>
    <w:rsid w:val="00AC43DA"/>
    <w:rsid w:val="00AD0AAD"/>
    <w:rsid w:val="00B6174E"/>
    <w:rsid w:val="00BA10EB"/>
    <w:rsid w:val="00C06A96"/>
    <w:rsid w:val="00C55969"/>
    <w:rsid w:val="00C836EB"/>
    <w:rsid w:val="00CB568D"/>
    <w:rsid w:val="00CD73EF"/>
    <w:rsid w:val="00CF366D"/>
    <w:rsid w:val="00D203B7"/>
    <w:rsid w:val="00D418B8"/>
    <w:rsid w:val="00D441C2"/>
    <w:rsid w:val="00D55B7F"/>
    <w:rsid w:val="00D82DD7"/>
    <w:rsid w:val="00E5566E"/>
    <w:rsid w:val="00E90A7D"/>
    <w:rsid w:val="00EF7108"/>
    <w:rsid w:val="00F2273D"/>
    <w:rsid w:val="00FE1DE8"/>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21E7E7"/>
  <w15:chartTrackingRefBased/>
  <w15:docId w15:val="{F3DB496F-3843-4D1B-827F-E49689D9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441C2"/>
    <w:pPr>
      <w:autoSpaceDE w:val="0"/>
      <w:autoSpaceDN w:val="0"/>
      <w:jc w:val="left"/>
    </w:pPr>
    <w:rPr>
      <w:rFonts w:ascii="Calibri" w:eastAsia="Calibri" w:hAnsi="Calibri" w:cs="Calibri"/>
      <w:kern w:val="0"/>
      <w:sz w:val="22"/>
      <w:lang w:eastAsia="en-US"/>
    </w:rPr>
  </w:style>
  <w:style w:type="character" w:customStyle="1" w:styleId="a4">
    <w:name w:val="本文 (文字)"/>
    <w:basedOn w:val="a0"/>
    <w:link w:val="a3"/>
    <w:uiPriority w:val="1"/>
    <w:rsid w:val="00D441C2"/>
    <w:rPr>
      <w:rFonts w:ascii="Calibri" w:eastAsia="Calibri" w:hAnsi="Calibri" w:cs="Calibri"/>
      <w:kern w:val="0"/>
      <w:sz w:val="22"/>
      <w:lang w:eastAsia="en-US"/>
    </w:rPr>
  </w:style>
  <w:style w:type="paragraph" w:styleId="a5">
    <w:name w:val="header"/>
    <w:basedOn w:val="a"/>
    <w:link w:val="a6"/>
    <w:uiPriority w:val="99"/>
    <w:unhideWhenUsed/>
    <w:rsid w:val="00053B0A"/>
    <w:pPr>
      <w:tabs>
        <w:tab w:val="center" w:pos="4252"/>
        <w:tab w:val="right" w:pos="8504"/>
      </w:tabs>
      <w:snapToGrid w:val="0"/>
    </w:pPr>
  </w:style>
  <w:style w:type="character" w:customStyle="1" w:styleId="a6">
    <w:name w:val="ヘッダー (文字)"/>
    <w:basedOn w:val="a0"/>
    <w:link w:val="a5"/>
    <w:uiPriority w:val="99"/>
    <w:rsid w:val="00053B0A"/>
  </w:style>
  <w:style w:type="paragraph" w:styleId="a7">
    <w:name w:val="footer"/>
    <w:basedOn w:val="a"/>
    <w:link w:val="a8"/>
    <w:uiPriority w:val="99"/>
    <w:unhideWhenUsed/>
    <w:rsid w:val="00053B0A"/>
    <w:pPr>
      <w:tabs>
        <w:tab w:val="center" w:pos="4252"/>
        <w:tab w:val="right" w:pos="8504"/>
      </w:tabs>
      <w:snapToGrid w:val="0"/>
    </w:pPr>
  </w:style>
  <w:style w:type="character" w:customStyle="1" w:styleId="a8">
    <w:name w:val="フッター (文字)"/>
    <w:basedOn w:val="a0"/>
    <w:link w:val="a7"/>
    <w:uiPriority w:val="99"/>
    <w:rsid w:val="00053B0A"/>
  </w:style>
  <w:style w:type="paragraph" w:styleId="a9">
    <w:name w:val="footnote text"/>
    <w:basedOn w:val="a"/>
    <w:link w:val="aa"/>
    <w:uiPriority w:val="99"/>
    <w:semiHidden/>
    <w:unhideWhenUsed/>
    <w:rsid w:val="00C836EB"/>
    <w:pPr>
      <w:snapToGrid w:val="0"/>
      <w:jc w:val="left"/>
    </w:pPr>
  </w:style>
  <w:style w:type="character" w:customStyle="1" w:styleId="aa">
    <w:name w:val="脚注文字列 (文字)"/>
    <w:basedOn w:val="a0"/>
    <w:link w:val="a9"/>
    <w:uiPriority w:val="99"/>
    <w:semiHidden/>
    <w:rsid w:val="00C836EB"/>
  </w:style>
  <w:style w:type="character" w:styleId="ab">
    <w:name w:val="footnote reference"/>
    <w:basedOn w:val="a0"/>
    <w:uiPriority w:val="99"/>
    <w:semiHidden/>
    <w:unhideWhenUsed/>
    <w:rsid w:val="00C836EB"/>
    <w:rPr>
      <w:vertAlign w:val="superscript"/>
    </w:rPr>
  </w:style>
  <w:style w:type="character" w:styleId="ac">
    <w:name w:val="Hyperlink"/>
    <w:basedOn w:val="a0"/>
    <w:uiPriority w:val="99"/>
    <w:unhideWhenUsed/>
    <w:rsid w:val="00B6174E"/>
    <w:rPr>
      <w:color w:val="0563C1" w:themeColor="hyperlink"/>
      <w:u w:val="single"/>
    </w:rPr>
  </w:style>
  <w:style w:type="character" w:styleId="ad">
    <w:name w:val="Unresolved Mention"/>
    <w:basedOn w:val="a0"/>
    <w:uiPriority w:val="99"/>
    <w:semiHidden/>
    <w:unhideWhenUsed/>
    <w:rsid w:val="00B6174E"/>
    <w:rPr>
      <w:color w:val="605E5C"/>
      <w:shd w:val="clear" w:color="auto" w:fill="E1DFDD"/>
    </w:rPr>
  </w:style>
  <w:style w:type="paragraph" w:styleId="ae">
    <w:name w:val="List Paragraph"/>
    <w:basedOn w:val="a"/>
    <w:uiPriority w:val="34"/>
    <w:qFormat/>
    <w:rsid w:val="005A4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fglobal.org/publications/if-report-on-ageing-with-spina-bifida-and-hydrocephalus-findings-from-online-focus-group-discussions/" TargetMode="External"/><Relationship Id="rId2" Type="http://schemas.openxmlformats.org/officeDocument/2006/relationships/hyperlink" Target="https://www.ifglobal.org/publications/if-report-on-ageing-with-spina-bifida-and-hydrocephalus-findings-from-online-focus-group-discussions/" TargetMode="External"/><Relationship Id="rId1" Type="http://schemas.openxmlformats.org/officeDocument/2006/relationships/hyperlink" Target="https://www.ifglobal.org/publications/if-report-right-to-health-reality-of-persons-with-spina-bifida-and-hydrocephalus/" TargetMode="External"/><Relationship Id="rId6" Type="http://schemas.openxmlformats.org/officeDocument/2006/relationships/hyperlink" Target="https://www.ifglobal.org/publications/if-statement-on-covid-19/" TargetMode="External"/><Relationship Id="rId5" Type="http://schemas.openxmlformats.org/officeDocument/2006/relationships/hyperlink" Target="https://www.ifglobal.org/publications/if-statement-on-multidisciplinary-care-for-spina-bifida-and-hydrocephalus/" TargetMode="External"/><Relationship Id="rId4" Type="http://schemas.openxmlformats.org/officeDocument/2006/relationships/hyperlink" Target="https://www.ifglobal.org/publications/if-statement-on-multidisciplinary-care-for-spina-bifida-and-hydrocephalu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8DF1-1583-47D7-AC4E-E984D0F8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2024-03-04T04:27:00Z</dcterms:created>
  <dcterms:modified xsi:type="dcterms:W3CDTF">2024-03-04T04:27:00Z</dcterms:modified>
</cp:coreProperties>
</file>