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95AAA" w14:textId="34689EF9" w:rsidR="00846B5B" w:rsidRDefault="00846B5B" w:rsidP="00846B5B">
      <w:pPr>
        <w:spacing w:after="0"/>
        <w:rPr>
          <w:rFonts w:ascii="ＭＳ 明朝" w:eastAsia="ＭＳ 明朝" w:hAnsi="ＭＳ 明朝"/>
          <w:color w:val="0070C0"/>
          <w:lang w:eastAsia="ja-JP"/>
        </w:rPr>
      </w:pPr>
      <w:r w:rsidRPr="1FE8FFBB">
        <w:rPr>
          <w:rFonts w:ascii="ＭＳ 明朝" w:eastAsia="ＭＳ 明朝" w:hAnsi="ＭＳ 明朝" w:cs="ＭＳ 明朝"/>
          <w:color w:val="0070C0"/>
          <w:lang w:eastAsia="zh-CN"/>
        </w:rPr>
        <w:t>脱施設化ガイドライン案への世界のコメント（2022年6月）　No.</w:t>
      </w:r>
      <w:r>
        <w:rPr>
          <w:rFonts w:ascii="ＭＳ 明朝" w:eastAsia="ＭＳ 明朝" w:hAnsi="ＭＳ 明朝" w:cs="ＭＳ 明朝" w:hint="eastAsia"/>
          <w:color w:val="0070C0"/>
          <w:lang w:eastAsia="ja-JP"/>
        </w:rPr>
        <w:t>62</w:t>
      </w:r>
    </w:p>
    <w:p w14:paraId="1022EF12" w14:textId="77777777" w:rsidR="00D34696" w:rsidRPr="00846B5B" w:rsidRDefault="00D34696" w:rsidP="00D54284">
      <w:pPr>
        <w:pBdr>
          <w:top w:val="nil"/>
          <w:left w:val="nil"/>
          <w:bottom w:val="nil"/>
          <w:right w:val="nil"/>
          <w:between w:val="nil"/>
          <w:bar w:val="nil"/>
        </w:pBdr>
        <w:tabs>
          <w:tab w:val="left" w:pos="3840"/>
        </w:tabs>
        <w:suppressAutoHyphens/>
        <w:spacing w:after="0" w:line="240" w:lineRule="auto"/>
        <w:jc w:val="both"/>
        <w:rPr>
          <w:rFonts w:ascii="Century Gothic" w:hAnsi="Century Gothic"/>
          <w:b/>
          <w:bCs/>
          <w:sz w:val="21"/>
          <w:szCs w:val="21"/>
          <w:u w:color="000000"/>
          <w:bdr w:val="nil"/>
          <w:lang w:eastAsia="cs-CZ"/>
        </w:rPr>
      </w:pPr>
    </w:p>
    <w:p w14:paraId="446E49E0" w14:textId="6A09AC46" w:rsidR="00D54284" w:rsidRPr="00B0209D" w:rsidRDefault="00D54284" w:rsidP="00D54284">
      <w:pPr>
        <w:pBdr>
          <w:top w:val="nil"/>
          <w:left w:val="nil"/>
          <w:bottom w:val="nil"/>
          <w:right w:val="nil"/>
          <w:between w:val="nil"/>
          <w:bar w:val="nil"/>
        </w:pBdr>
        <w:tabs>
          <w:tab w:val="left" w:pos="3840"/>
        </w:tabs>
        <w:suppressAutoHyphens/>
        <w:spacing w:after="0" w:line="240" w:lineRule="auto"/>
        <w:jc w:val="both"/>
        <w:rPr>
          <w:rFonts w:ascii="Century Gothic" w:hAnsi="Century Gothic"/>
          <w:b/>
          <w:bCs/>
          <w:sz w:val="21"/>
          <w:szCs w:val="21"/>
          <w:u w:color="000000"/>
          <w:bdr w:val="nil"/>
          <w:lang w:eastAsia="cs-CZ"/>
        </w:rPr>
      </w:pPr>
      <w:r w:rsidRPr="00B0209D">
        <w:rPr>
          <w:rFonts w:ascii="Century Gothic" w:hAnsi="Century Gothic"/>
          <w:b/>
          <w:bCs/>
          <w:noProof/>
          <w:sz w:val="21"/>
          <w:szCs w:val="21"/>
          <w:u w:color="000000"/>
          <w:bdr w:val="nil"/>
          <w:lang w:val="en-GB" w:eastAsia="en-GB"/>
        </w:rPr>
        <w:drawing>
          <wp:inline distT="0" distB="0" distL="0" distR="0" wp14:anchorId="16A8073D" wp14:editId="472A5FB7">
            <wp:extent cx="2065020" cy="585089"/>
            <wp:effectExtent l="0" t="0" r="0" b="5715"/>
            <wp:docPr id="3" name="Picture 3" descr="C:\Users\Lenovo\Downloads\thumbnail_KHS_Logo2019_Moldova_Horozonal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thumbnail_KHS_Logo2019_Moldova_Horozonal_Blu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8143" cy="602974"/>
                    </a:xfrm>
                    <a:prstGeom prst="rect">
                      <a:avLst/>
                    </a:prstGeom>
                    <a:noFill/>
                    <a:ln>
                      <a:noFill/>
                    </a:ln>
                  </pic:spPr>
                </pic:pic>
              </a:graphicData>
            </a:graphic>
          </wp:inline>
        </w:drawing>
      </w:r>
      <w:r w:rsidRPr="00B0209D">
        <w:rPr>
          <w:rFonts w:ascii="Century Gothic" w:hAnsi="Century Gothic"/>
          <w:b/>
          <w:bCs/>
          <w:sz w:val="21"/>
          <w:szCs w:val="21"/>
          <w:u w:color="000000"/>
          <w:bdr w:val="nil"/>
          <w:lang w:eastAsia="cs-CZ"/>
        </w:rPr>
        <w:tab/>
      </w:r>
      <w:r w:rsidRPr="00B0209D">
        <w:rPr>
          <w:rFonts w:ascii="Century Gothic" w:hAnsi="Century Gothic"/>
          <w:b/>
          <w:bCs/>
          <w:sz w:val="21"/>
          <w:szCs w:val="21"/>
          <w:bdr w:val="nil"/>
          <w:lang w:eastAsia="cs-CZ"/>
        </w:rPr>
        <w:t xml:space="preserve">                </w:t>
      </w:r>
      <w:r w:rsidRPr="00B0209D">
        <w:rPr>
          <w:rFonts w:ascii="Century Gothic" w:hAnsi="Century Gothic" w:cs="Times New Roman"/>
          <w:b/>
          <w:bCs/>
          <w:noProof/>
          <w:sz w:val="21"/>
          <w:szCs w:val="21"/>
          <w:lang w:val="en-GB" w:eastAsia="en-GB"/>
        </w:rPr>
        <w:drawing>
          <wp:inline distT="0" distB="0" distL="0" distR="0" wp14:anchorId="3FA6BDEE" wp14:editId="7AD1341D">
            <wp:extent cx="2028825" cy="640716"/>
            <wp:effectExtent l="0" t="0" r="0" b="0"/>
            <wp:docPr id="1073741826" name="officeArt object" descr="C:\Users\Steven\Documents\Validity Logos\Validity Logo AW\Digital\Validity Logo\Validity Logo RGB IRIS.png"/>
            <wp:cNvGraphicFramePr/>
            <a:graphic xmlns:a="http://schemas.openxmlformats.org/drawingml/2006/main">
              <a:graphicData uri="http://schemas.openxmlformats.org/drawingml/2006/picture">
                <pic:pic xmlns:pic="http://schemas.openxmlformats.org/drawingml/2006/picture">
                  <pic:nvPicPr>
                    <pic:cNvPr id="1073741826" name="image2.png" descr="C:\Users\Steven\Documents\Validity Logos\Validity Logo AW\Digital\Validity Logo\Validity Logo RGB IRIS.png"/>
                    <pic:cNvPicPr>
                      <a:picLocks noChangeAspect="1"/>
                    </pic:cNvPicPr>
                  </pic:nvPicPr>
                  <pic:blipFill>
                    <a:blip r:embed="rId9"/>
                    <a:stretch>
                      <a:fillRect/>
                    </a:stretch>
                  </pic:blipFill>
                  <pic:spPr>
                    <a:xfrm>
                      <a:off x="0" y="0"/>
                      <a:ext cx="2028825" cy="640716"/>
                    </a:xfrm>
                    <a:prstGeom prst="rect">
                      <a:avLst/>
                    </a:prstGeom>
                    <a:ln w="12700" cap="flat">
                      <a:noFill/>
                      <a:miter lim="400000"/>
                    </a:ln>
                    <a:effectLst/>
                  </pic:spPr>
                </pic:pic>
              </a:graphicData>
            </a:graphic>
          </wp:inline>
        </w:drawing>
      </w:r>
    </w:p>
    <w:p w14:paraId="1B35877F" w14:textId="77777777" w:rsidR="00D54284" w:rsidRPr="00B0209D" w:rsidRDefault="00D54284" w:rsidP="00266A12">
      <w:pPr>
        <w:spacing w:after="0"/>
        <w:jc w:val="center"/>
        <w:rPr>
          <w:rFonts w:ascii="Times New Roman" w:eastAsia="Times New Roman" w:hAnsi="Times New Roman" w:cs="Times New Roman"/>
          <w:b/>
          <w:sz w:val="21"/>
          <w:szCs w:val="21"/>
          <w:lang w:eastAsia="en-GB"/>
        </w:rPr>
      </w:pPr>
      <w:r w:rsidRPr="00B0209D">
        <w:rPr>
          <w:rFonts w:ascii="Times New Roman" w:eastAsia="Times New Roman" w:hAnsi="Times New Roman" w:cs="Times New Roman"/>
          <w:b/>
          <w:sz w:val="21"/>
          <w:szCs w:val="21"/>
          <w:lang w:eastAsia="en-GB"/>
        </w:rPr>
        <w:t>Written Submission</w:t>
      </w:r>
    </w:p>
    <w:p w14:paraId="6F9BDD9D" w14:textId="77777777" w:rsidR="00D54284" w:rsidRPr="00B0209D" w:rsidRDefault="00D54284" w:rsidP="00266A12">
      <w:pPr>
        <w:pBdr>
          <w:top w:val="nil"/>
          <w:left w:val="nil"/>
          <w:bottom w:val="nil"/>
          <w:right w:val="nil"/>
          <w:between w:val="nil"/>
        </w:pBdr>
        <w:spacing w:after="0" w:line="240" w:lineRule="auto"/>
        <w:jc w:val="center"/>
        <w:rPr>
          <w:rFonts w:ascii="Times New Roman" w:eastAsia="Times New Roman" w:hAnsi="Times New Roman" w:cs="Times New Roman"/>
          <w:b/>
          <w:sz w:val="21"/>
          <w:szCs w:val="21"/>
          <w:lang w:eastAsia="en-GB"/>
        </w:rPr>
      </w:pPr>
      <w:r w:rsidRPr="00B0209D">
        <w:rPr>
          <w:rFonts w:ascii="Times New Roman" w:eastAsia="Times New Roman" w:hAnsi="Times New Roman" w:cs="Times New Roman"/>
          <w:b/>
          <w:sz w:val="21"/>
          <w:szCs w:val="21"/>
          <w:lang w:eastAsia="en-GB"/>
        </w:rPr>
        <w:t>to the UN Committee on the Rights of Persons with Disabilities</w:t>
      </w:r>
    </w:p>
    <w:p w14:paraId="26B3500C" w14:textId="1CF6401F" w:rsidR="00D54284" w:rsidRPr="00B0209D" w:rsidRDefault="00D54284" w:rsidP="00266A12">
      <w:pPr>
        <w:spacing w:after="0"/>
        <w:jc w:val="center"/>
        <w:rPr>
          <w:rFonts w:ascii="Times New Roman" w:eastAsia="Times New Roman" w:hAnsi="Times New Roman" w:cs="Times New Roman"/>
          <w:b/>
          <w:sz w:val="21"/>
          <w:szCs w:val="21"/>
          <w:lang w:eastAsia="en-GB"/>
        </w:rPr>
      </w:pPr>
      <w:r w:rsidRPr="00B0209D">
        <w:rPr>
          <w:rFonts w:ascii="Times New Roman" w:eastAsia="Times New Roman" w:hAnsi="Times New Roman" w:cs="Times New Roman"/>
          <w:b/>
          <w:sz w:val="21"/>
          <w:szCs w:val="21"/>
          <w:lang w:eastAsia="en-GB"/>
        </w:rPr>
        <w:t>on the Draft Guidelines on Deinstitutionalization,</w:t>
      </w:r>
      <w:r w:rsidR="00B0209D" w:rsidRPr="00B0209D">
        <w:rPr>
          <w:rFonts w:ascii="Times New Roman" w:eastAsia="Times New Roman" w:hAnsi="Times New Roman" w:cs="Times New Roman"/>
          <w:b/>
          <w:sz w:val="21"/>
          <w:szCs w:val="21"/>
          <w:lang w:eastAsia="en-GB"/>
        </w:rPr>
        <w:t xml:space="preserve"> </w:t>
      </w:r>
      <w:r w:rsidRPr="00B0209D">
        <w:rPr>
          <w:rFonts w:ascii="Times New Roman" w:eastAsia="Times New Roman" w:hAnsi="Times New Roman" w:cs="Times New Roman"/>
          <w:b/>
          <w:sz w:val="21"/>
          <w:szCs w:val="21"/>
          <w:lang w:eastAsia="en-GB"/>
        </w:rPr>
        <w:t>including in emergencies</w:t>
      </w:r>
    </w:p>
    <w:p w14:paraId="278B6D34" w14:textId="4C930E32" w:rsidR="00D54284" w:rsidRPr="00B0209D" w:rsidRDefault="00D54284" w:rsidP="00D54284">
      <w:pPr>
        <w:pBdr>
          <w:top w:val="nil"/>
          <w:left w:val="nil"/>
          <w:bottom w:val="nil"/>
          <w:right w:val="nil"/>
          <w:between w:val="nil"/>
        </w:pBdr>
        <w:spacing w:after="0" w:line="240" w:lineRule="auto"/>
        <w:jc w:val="center"/>
        <w:rPr>
          <w:rFonts w:ascii="Times New Roman" w:eastAsia="Times New Roman" w:hAnsi="Times New Roman" w:cs="Times New Roman"/>
          <w:b/>
          <w:bCs/>
          <w:sz w:val="21"/>
          <w:szCs w:val="21"/>
          <w:lang w:eastAsia="en-GB"/>
        </w:rPr>
      </w:pPr>
      <w:r w:rsidRPr="00B0209D">
        <w:rPr>
          <w:rFonts w:ascii="Times New Roman" w:eastAsia="Times New Roman" w:hAnsi="Times New Roman" w:cs="Times New Roman"/>
          <w:sz w:val="21"/>
          <w:szCs w:val="21"/>
          <w:lang w:eastAsia="en-GB"/>
        </w:rPr>
        <w:t>Submitted by:</w:t>
      </w:r>
      <w:r w:rsidR="00B0209D" w:rsidRPr="00B0209D">
        <w:rPr>
          <w:rFonts w:ascii="Times New Roman" w:eastAsia="Times New Roman" w:hAnsi="Times New Roman" w:cs="Times New Roman"/>
          <w:sz w:val="21"/>
          <w:szCs w:val="21"/>
          <w:lang w:eastAsia="en-GB"/>
        </w:rPr>
        <w:t xml:space="preserve"> </w:t>
      </w:r>
      <w:bookmarkStart w:id="0" w:name="_Hlk150163532"/>
      <w:r w:rsidRPr="00B0209D">
        <w:rPr>
          <w:rFonts w:ascii="Times New Roman" w:eastAsia="Times New Roman" w:hAnsi="Times New Roman" w:cs="Times New Roman"/>
          <w:b/>
          <w:bCs/>
          <w:sz w:val="21"/>
          <w:szCs w:val="21"/>
          <w:lang w:eastAsia="en-GB"/>
        </w:rPr>
        <w:t>KEYSTONE MOLDOVA</w:t>
      </w:r>
    </w:p>
    <w:bookmarkEnd w:id="0"/>
    <w:p w14:paraId="19A2BFC6" w14:textId="62252AEB" w:rsidR="00D54284" w:rsidRPr="00B0209D" w:rsidRDefault="00D54284" w:rsidP="00B0209D">
      <w:pPr>
        <w:pBdr>
          <w:top w:val="nil"/>
          <w:left w:val="nil"/>
          <w:bottom w:val="nil"/>
          <w:right w:val="nil"/>
          <w:between w:val="nil"/>
        </w:pBdr>
        <w:spacing w:after="0" w:line="240" w:lineRule="auto"/>
        <w:jc w:val="center"/>
        <w:rPr>
          <w:rFonts w:ascii="Times New Roman" w:eastAsia="Times New Roman" w:hAnsi="Times New Roman" w:cs="Times New Roman"/>
          <w:sz w:val="21"/>
          <w:szCs w:val="21"/>
          <w:u w:val="single"/>
          <w:lang w:eastAsia="en-GB"/>
        </w:rPr>
      </w:pPr>
      <w:r w:rsidRPr="00B0209D">
        <w:rPr>
          <w:rFonts w:ascii="Times New Roman" w:eastAsia="Times New Roman" w:hAnsi="Times New Roman" w:cs="Times New Roman"/>
          <w:sz w:val="21"/>
          <w:szCs w:val="21"/>
          <w:lang w:eastAsia="en-GB"/>
        </w:rPr>
        <w:t>With the support of</w:t>
      </w:r>
      <w:r w:rsidR="00B0209D" w:rsidRPr="00B0209D">
        <w:rPr>
          <w:rFonts w:ascii="Times New Roman" w:eastAsia="Times New Roman" w:hAnsi="Times New Roman" w:cs="Times New Roman"/>
          <w:sz w:val="21"/>
          <w:szCs w:val="21"/>
          <w:lang w:eastAsia="en-GB"/>
        </w:rPr>
        <w:t xml:space="preserve">  </w:t>
      </w:r>
      <w:hyperlink r:id="rId10" w:history="1">
        <w:r w:rsidRPr="00B0209D">
          <w:rPr>
            <w:rStyle w:val="a3"/>
            <w:rFonts w:ascii="Times New Roman" w:eastAsia="Times New Roman" w:hAnsi="Times New Roman" w:cs="Times New Roman"/>
            <w:color w:val="auto"/>
            <w:sz w:val="21"/>
            <w:szCs w:val="21"/>
            <w:lang w:eastAsia="en-GB"/>
          </w:rPr>
          <w:t>Validity Foundation – Mental Disability Advocacy Centre</w:t>
        </w:r>
      </w:hyperlink>
    </w:p>
    <w:p w14:paraId="13A3C40F" w14:textId="77777777" w:rsidR="00D54284" w:rsidRPr="00B0209D" w:rsidRDefault="00D54284" w:rsidP="00D54284">
      <w:pPr>
        <w:pBdr>
          <w:top w:val="nil"/>
          <w:left w:val="nil"/>
          <w:bottom w:val="nil"/>
          <w:right w:val="nil"/>
          <w:between w:val="nil"/>
        </w:pBdr>
        <w:spacing w:after="0" w:line="240" w:lineRule="auto"/>
        <w:jc w:val="center"/>
        <w:rPr>
          <w:rFonts w:ascii="Times New Roman" w:eastAsia="Times New Roman" w:hAnsi="Times New Roman" w:cs="Times New Roman"/>
          <w:sz w:val="21"/>
          <w:szCs w:val="21"/>
          <w:lang w:eastAsia="ja-JP"/>
        </w:rPr>
      </w:pPr>
      <w:r w:rsidRPr="00B0209D">
        <w:rPr>
          <w:rFonts w:ascii="Times New Roman" w:eastAsia="Times New Roman" w:hAnsi="Times New Roman" w:cs="Times New Roman"/>
          <w:sz w:val="21"/>
          <w:szCs w:val="21"/>
          <w:lang w:eastAsia="ja-JP"/>
        </w:rPr>
        <w:t xml:space="preserve">Email: </w:t>
      </w:r>
      <w:hyperlink r:id="rId11" w:history="1">
        <w:r w:rsidRPr="00B0209D">
          <w:rPr>
            <w:rStyle w:val="a3"/>
            <w:rFonts w:ascii="Times New Roman" w:eastAsia="Times New Roman" w:hAnsi="Times New Roman" w:cs="Times New Roman"/>
            <w:color w:val="auto"/>
            <w:sz w:val="21"/>
            <w:szCs w:val="21"/>
            <w:lang w:eastAsia="ja-JP"/>
          </w:rPr>
          <w:t>validity@validity.ngo</w:t>
        </w:r>
      </w:hyperlink>
      <w:r w:rsidRPr="00B0209D">
        <w:rPr>
          <w:rFonts w:ascii="Times New Roman" w:eastAsia="Times New Roman" w:hAnsi="Times New Roman" w:cs="Times New Roman"/>
          <w:sz w:val="21"/>
          <w:szCs w:val="21"/>
          <w:lang w:eastAsia="ja-JP"/>
        </w:rPr>
        <w:t xml:space="preserve"> </w:t>
      </w:r>
    </w:p>
    <w:p w14:paraId="39A99171" w14:textId="5E3CFD50" w:rsidR="00D12977" w:rsidRPr="00B0209D" w:rsidRDefault="00D12977" w:rsidP="00B0209D">
      <w:pPr>
        <w:jc w:val="center"/>
        <w:rPr>
          <w:rFonts w:ascii="ＭＳ 明朝" w:hAnsi="ＭＳ 明朝" w:cs="ＭＳ 明朝"/>
          <w:b/>
          <w:bCs/>
          <w:lang w:eastAsia="ja-JP"/>
        </w:rPr>
      </w:pPr>
      <w:r w:rsidRPr="00B0209D">
        <w:rPr>
          <w:rFonts w:hint="eastAsia"/>
          <w:b/>
          <w:bCs/>
          <w:sz w:val="24"/>
          <w:szCs w:val="24"/>
          <w:lang w:eastAsia="ja-JP"/>
        </w:rPr>
        <w:t>緊急時を含む脱施設化ガイドラインについての</w:t>
      </w:r>
      <w:r w:rsidRPr="00B0209D">
        <w:rPr>
          <w:rFonts w:ascii="ＭＳ 明朝" w:eastAsia="ＭＳ 明朝" w:hAnsi="ＭＳ 明朝" w:cs="ＭＳ 明朝" w:hint="eastAsia"/>
          <w:b/>
          <w:bCs/>
          <w:lang w:eastAsia="ja-JP"/>
        </w:rPr>
        <w:t>障</w:t>
      </w:r>
      <w:r w:rsidRPr="00B0209D">
        <w:rPr>
          <w:rFonts w:ascii="ＭＳ 明朝" w:hAnsi="ＭＳ 明朝" w:cs="ＭＳ 明朝" w:hint="eastAsia"/>
          <w:b/>
          <w:bCs/>
          <w:lang w:eastAsia="ja-JP"/>
        </w:rPr>
        <w:t>害者権利委員会への書類提出</w:t>
      </w:r>
    </w:p>
    <w:p w14:paraId="64EE7A33" w14:textId="61AFF21A" w:rsidR="00D12977" w:rsidRPr="00B0209D" w:rsidRDefault="00D12977" w:rsidP="00857E18">
      <w:pPr>
        <w:pStyle w:val="a4"/>
        <w:widowControl/>
        <w:pBdr>
          <w:top w:val="nil"/>
          <w:left w:val="nil"/>
          <w:bottom w:val="nil"/>
          <w:right w:val="nil"/>
          <w:between w:val="nil"/>
        </w:pBdr>
        <w:wordWrap/>
        <w:autoSpaceDE/>
        <w:autoSpaceDN/>
        <w:spacing w:after="0" w:line="240" w:lineRule="auto"/>
        <w:jc w:val="center"/>
        <w:rPr>
          <w:rFonts w:ascii="ＭＳ 明朝" w:hAnsi="ＭＳ 明朝" w:cs="ＭＳ 明朝"/>
          <w:lang w:eastAsia="ja-JP"/>
        </w:rPr>
      </w:pPr>
      <w:r w:rsidRPr="00B0209D">
        <w:rPr>
          <w:rFonts w:ascii="ＭＳ 明朝" w:eastAsia="ＭＳ 明朝" w:hAnsi="ＭＳ 明朝" w:cs="ＭＳ 明朝" w:hint="eastAsia"/>
          <w:lang w:eastAsia="ja-JP"/>
        </w:rPr>
        <w:t>提出者</w:t>
      </w:r>
      <w:r w:rsidR="00D34696" w:rsidRPr="00B0209D">
        <w:rPr>
          <w:rFonts w:ascii="ＭＳ 明朝" w:eastAsia="ＭＳ 明朝" w:hAnsi="ＭＳ 明朝" w:cs="ＭＳ 明朝" w:hint="eastAsia"/>
          <w:lang w:eastAsia="ja-JP"/>
        </w:rPr>
        <w:t>:</w:t>
      </w:r>
      <w:r w:rsidR="00D34696" w:rsidRPr="00B0209D">
        <w:rPr>
          <w:rFonts w:ascii="ＭＳ 明朝" w:eastAsia="ＭＳ 明朝" w:hAnsi="ＭＳ 明朝" w:cs="ＭＳ 明朝"/>
          <w:lang w:eastAsia="ja-JP"/>
        </w:rPr>
        <w:t xml:space="preserve"> </w:t>
      </w:r>
      <w:r w:rsidR="00857E18" w:rsidRPr="00B0209D">
        <w:rPr>
          <w:rFonts w:ascii="ＭＳ 明朝" w:eastAsia="ＭＳ 明朝" w:hAnsi="ＭＳ 明朝" w:cs="ＭＳ 明朝" w:hint="eastAsia"/>
          <w:lang w:eastAsia="ja-JP"/>
        </w:rPr>
        <w:t>キーストーン・モルドバ</w:t>
      </w:r>
      <w:r w:rsidR="00273634" w:rsidRPr="00B0209D">
        <w:rPr>
          <w:rFonts w:ascii="ＭＳ 明朝" w:eastAsia="ＭＳ 明朝" w:hAnsi="ＭＳ 明朝" w:cs="ＭＳ 明朝"/>
          <w:lang w:eastAsia="ja-JP"/>
        </w:rPr>
        <w:t>(Keystone Moldova)</w:t>
      </w:r>
    </w:p>
    <w:p w14:paraId="5D17C9A8" w14:textId="1ABCEFA8" w:rsidR="00D12977" w:rsidRPr="00B0209D" w:rsidRDefault="00D12977" w:rsidP="00857E18">
      <w:pPr>
        <w:pStyle w:val="a4"/>
        <w:spacing w:after="0" w:line="276" w:lineRule="auto"/>
        <w:jc w:val="center"/>
        <w:rPr>
          <w:rFonts w:ascii="ＭＳ Ｐ明朝" w:eastAsia="ＭＳ Ｐ明朝" w:hAnsi="ＭＳ Ｐ明朝"/>
          <w:sz w:val="24"/>
          <w:szCs w:val="24"/>
          <w:u w:color="000000"/>
          <w:bdr w:val="nil"/>
        </w:rPr>
      </w:pPr>
      <w:r w:rsidRPr="00B0209D">
        <w:rPr>
          <w:rFonts w:ascii="ＭＳ Ｐ明朝" w:eastAsia="ＭＳ Ｐ明朝" w:hAnsi="ＭＳ Ｐ明朝" w:hint="eastAsia"/>
          <w:sz w:val="24"/>
          <w:szCs w:val="24"/>
          <w:u w:color="000000"/>
          <w:bdr w:val="nil"/>
        </w:rPr>
        <w:t>サポート</w:t>
      </w:r>
      <w:r w:rsidR="00D34696" w:rsidRPr="00B0209D">
        <w:rPr>
          <w:rFonts w:ascii="ＭＳ Ｐ明朝" w:eastAsia="ＭＳ Ｐ明朝" w:hAnsi="ＭＳ Ｐ明朝" w:hint="eastAsia"/>
          <w:sz w:val="24"/>
          <w:szCs w:val="24"/>
          <w:u w:color="000000"/>
          <w:bdr w:val="nil"/>
          <w:lang w:eastAsia="ja-JP"/>
        </w:rPr>
        <w:t>:</w:t>
      </w:r>
      <w:r w:rsidR="00D34696" w:rsidRPr="00B0209D">
        <w:rPr>
          <w:rFonts w:ascii="ＭＳ Ｐ明朝" w:eastAsia="ＭＳ Ｐ明朝" w:hAnsi="ＭＳ Ｐ明朝"/>
          <w:sz w:val="24"/>
          <w:szCs w:val="24"/>
          <w:u w:color="000000"/>
          <w:bdr w:val="nil"/>
          <w:lang w:eastAsia="ja-JP"/>
        </w:rPr>
        <w:t xml:space="preserve"> </w:t>
      </w:r>
      <w:r w:rsidRPr="00B0209D">
        <w:rPr>
          <w:rFonts w:ascii="ＭＳ Ｐ明朝" w:eastAsia="ＭＳ Ｐ明朝" w:hAnsi="ＭＳ Ｐ明朝"/>
          <w:sz w:val="24"/>
          <w:szCs w:val="24"/>
          <w:u w:color="000000"/>
          <w:bdr w:val="nil"/>
          <w:lang w:eastAsia="cs-CZ"/>
        </w:rPr>
        <w:t>Validity</w:t>
      </w:r>
      <w:r w:rsidR="00857E18" w:rsidRPr="00B0209D">
        <w:rPr>
          <w:rFonts w:ascii="ＭＳ Ｐ明朝" w:eastAsia="ＭＳ Ｐ明朝" w:hAnsi="ＭＳ Ｐ明朝" w:hint="eastAsia"/>
          <w:sz w:val="24"/>
          <w:szCs w:val="24"/>
          <w:u w:color="000000"/>
          <w:bdr w:val="nil"/>
          <w:lang w:eastAsia="ja-JP"/>
        </w:rPr>
        <w:t>財団</w:t>
      </w:r>
      <w:r w:rsidRPr="00B0209D">
        <w:rPr>
          <w:rFonts w:ascii="ＭＳ Ｐ明朝" w:eastAsia="ＭＳ Ｐ明朝" w:hAnsi="ＭＳ Ｐ明朝"/>
          <w:sz w:val="24"/>
          <w:szCs w:val="24"/>
          <w:u w:color="000000"/>
          <w:bdr w:val="nil"/>
          <w:lang w:eastAsia="cs-CZ"/>
        </w:rPr>
        <w:t xml:space="preserve"> -</w:t>
      </w:r>
      <w:r w:rsidRPr="00B0209D">
        <w:rPr>
          <w:rFonts w:ascii="ＭＳ Ｐ明朝" w:eastAsia="ＭＳ Ｐ明朝" w:hAnsi="ＭＳ Ｐ明朝" w:hint="eastAsia"/>
          <w:sz w:val="24"/>
          <w:szCs w:val="24"/>
          <w:u w:color="000000"/>
          <w:bdr w:val="nil"/>
        </w:rPr>
        <w:t>精神障害権利擁護センター</w:t>
      </w:r>
    </w:p>
    <w:p w14:paraId="0D096389" w14:textId="1E1FC18C" w:rsidR="00D12977" w:rsidRPr="00B0209D" w:rsidRDefault="00273634" w:rsidP="00D12977">
      <w:pPr>
        <w:pBdr>
          <w:top w:val="nil"/>
          <w:left w:val="nil"/>
          <w:bottom w:val="nil"/>
          <w:right w:val="nil"/>
          <w:between w:val="nil"/>
        </w:pBdr>
        <w:spacing w:after="0" w:line="240" w:lineRule="auto"/>
        <w:ind w:left="360"/>
        <w:jc w:val="center"/>
        <w:rPr>
          <w:rFonts w:ascii="Times New Roman" w:eastAsia="Times New Roman" w:hAnsi="Times New Roman" w:cs="Times New Roman"/>
          <w:sz w:val="21"/>
          <w:szCs w:val="21"/>
          <w:lang w:eastAsia="ja-JP"/>
        </w:rPr>
      </w:pPr>
      <w:r w:rsidRPr="00B0209D">
        <w:rPr>
          <w:rFonts w:ascii="ＭＳ Ｐゴシック" w:eastAsia="ＭＳ Ｐゴシック" w:hAnsi="ＭＳ Ｐゴシック" w:cs="Calibri" w:hint="eastAsia"/>
          <w:sz w:val="24"/>
          <w:szCs w:val="24"/>
          <w:lang w:val="en-GB" w:eastAsia="ja-JP"/>
        </w:rPr>
        <w:t>2022年6月30日</w:t>
      </w:r>
    </w:p>
    <w:p w14:paraId="189607CD" w14:textId="77777777" w:rsidR="00D54284" w:rsidRPr="00B0209D" w:rsidRDefault="00D54284" w:rsidP="00D54284">
      <w:pPr>
        <w:rPr>
          <w:rFonts w:ascii="Times New Roman" w:eastAsia="Times New Roman" w:hAnsi="Times New Roman" w:cs="Times New Roman"/>
          <w:sz w:val="21"/>
          <w:szCs w:val="21"/>
          <w:lang w:eastAsia="ja-JP"/>
        </w:rPr>
      </w:pPr>
    </w:p>
    <w:p w14:paraId="3A599565" w14:textId="38567154" w:rsidR="00A565D3" w:rsidRPr="00B0209D" w:rsidRDefault="00A565D3" w:rsidP="00273634">
      <w:pPr>
        <w:ind w:firstLineChars="100" w:firstLine="210"/>
        <w:rPr>
          <w:sz w:val="21"/>
          <w:szCs w:val="21"/>
          <w:lang w:eastAsia="ja-JP"/>
        </w:rPr>
      </w:pPr>
      <w:r w:rsidRPr="00B0209D">
        <w:rPr>
          <w:sz w:val="21"/>
          <w:szCs w:val="21"/>
          <w:lang w:eastAsia="ja-JP"/>
        </w:rPr>
        <w:t>2022年6月25日、</w:t>
      </w:r>
      <w:r w:rsidRPr="00B0209D">
        <w:rPr>
          <w:rFonts w:hint="eastAsia"/>
          <w:sz w:val="21"/>
          <w:szCs w:val="21"/>
          <w:lang w:eastAsia="ja-JP"/>
        </w:rPr>
        <w:t>「モルドバの礎石」(</w:t>
      </w:r>
      <w:r w:rsidRPr="00B0209D">
        <w:rPr>
          <w:sz w:val="21"/>
          <w:szCs w:val="21"/>
          <w:lang w:eastAsia="ja-JP"/>
        </w:rPr>
        <w:t>Keystone Moldova</w:t>
      </w:r>
      <w:r w:rsidRPr="00B0209D">
        <w:rPr>
          <w:rFonts w:hint="eastAsia"/>
          <w:sz w:val="21"/>
          <w:szCs w:val="21"/>
          <w:lang w:eastAsia="ja-JP"/>
        </w:rPr>
        <w:t>)</w:t>
      </w:r>
      <w:r w:rsidRPr="00B0209D">
        <w:rPr>
          <w:sz w:val="21"/>
          <w:szCs w:val="21"/>
          <w:lang w:eastAsia="ja-JP"/>
        </w:rPr>
        <w:t>は、緊急</w:t>
      </w:r>
      <w:r w:rsidRPr="00B0209D">
        <w:rPr>
          <w:rFonts w:hint="eastAsia"/>
          <w:sz w:val="21"/>
          <w:szCs w:val="21"/>
          <w:lang w:eastAsia="ja-JP"/>
        </w:rPr>
        <w:t>時</w:t>
      </w:r>
      <w:r w:rsidRPr="00B0209D">
        <w:rPr>
          <w:sz w:val="21"/>
          <w:szCs w:val="21"/>
          <w:lang w:eastAsia="ja-JP"/>
        </w:rPr>
        <w:t>を含む</w:t>
      </w:r>
      <w:r w:rsidRPr="00B0209D">
        <w:rPr>
          <w:rFonts w:hint="eastAsia"/>
          <w:sz w:val="21"/>
          <w:szCs w:val="21"/>
          <w:lang w:eastAsia="ja-JP"/>
        </w:rPr>
        <w:t>脱施設化</w:t>
      </w:r>
      <w:r w:rsidRPr="00B0209D">
        <w:rPr>
          <w:sz w:val="21"/>
          <w:szCs w:val="21"/>
          <w:lang w:eastAsia="ja-JP"/>
        </w:rPr>
        <w:t>に関するガイドライン草案の協議に関するワークショップを開催した。このガイドラインは、自立して生活し、地域社会に</w:t>
      </w:r>
      <w:r w:rsidRPr="00B0209D">
        <w:rPr>
          <w:rFonts w:hint="eastAsia"/>
          <w:sz w:val="21"/>
          <w:szCs w:val="21"/>
          <w:lang w:eastAsia="ja-JP"/>
        </w:rPr>
        <w:t>包摂される</w:t>
      </w:r>
      <w:r w:rsidRPr="00B0209D">
        <w:rPr>
          <w:sz w:val="21"/>
          <w:szCs w:val="21"/>
          <w:lang w:eastAsia="ja-JP"/>
        </w:rPr>
        <w:t>権利</w:t>
      </w:r>
      <w:r w:rsidR="00273634" w:rsidRPr="00B0209D">
        <w:rPr>
          <w:rFonts w:hint="eastAsia"/>
          <w:sz w:val="21"/>
          <w:szCs w:val="21"/>
          <w:lang w:eastAsia="ja-JP"/>
        </w:rPr>
        <w:t>を述べた</w:t>
      </w:r>
      <w:r w:rsidRPr="00B0209D">
        <w:rPr>
          <w:sz w:val="21"/>
          <w:szCs w:val="21"/>
          <w:lang w:eastAsia="ja-JP"/>
        </w:rPr>
        <w:t>第19条に関する障害者権利委員会の一般的意見第5号（2017年）と、障害者の自由と安全の権利に関する第14条</w:t>
      </w:r>
      <w:r w:rsidRPr="00B0209D">
        <w:rPr>
          <w:rFonts w:hint="eastAsia"/>
          <w:sz w:val="21"/>
          <w:szCs w:val="21"/>
          <w:lang w:eastAsia="ja-JP"/>
        </w:rPr>
        <w:t>の</w:t>
      </w:r>
      <w:r w:rsidRPr="00B0209D">
        <w:rPr>
          <w:sz w:val="21"/>
          <w:szCs w:val="21"/>
          <w:lang w:eastAsia="ja-JP"/>
        </w:rPr>
        <w:t>ガイドラインを補完するものである。これらのガイドラインは、条約締約国、市民社会組織、その他の利害関係者に指針を提供し、障害者が社会に</w:t>
      </w:r>
      <w:r w:rsidRPr="00B0209D">
        <w:rPr>
          <w:rFonts w:hint="eastAsia"/>
          <w:sz w:val="21"/>
          <w:szCs w:val="21"/>
          <w:lang w:eastAsia="ja-JP"/>
        </w:rPr>
        <w:t>包摂される</w:t>
      </w:r>
      <w:r w:rsidRPr="00B0209D">
        <w:rPr>
          <w:sz w:val="21"/>
          <w:szCs w:val="21"/>
          <w:lang w:eastAsia="ja-JP"/>
        </w:rPr>
        <w:t>権利を実施するための努力を支援する。</w:t>
      </w:r>
    </w:p>
    <w:p w14:paraId="359036A3" w14:textId="6F1625FD" w:rsidR="00A565D3" w:rsidRPr="00B0209D" w:rsidRDefault="00A565D3" w:rsidP="00A565D3">
      <w:pPr>
        <w:ind w:firstLineChars="100" w:firstLine="210"/>
        <w:rPr>
          <w:sz w:val="21"/>
          <w:szCs w:val="21"/>
          <w:lang w:eastAsia="ja-JP"/>
        </w:rPr>
      </w:pPr>
      <w:r w:rsidRPr="00B0209D">
        <w:rPr>
          <w:rFonts w:hint="eastAsia"/>
          <w:sz w:val="21"/>
          <w:szCs w:val="21"/>
          <w:lang w:eastAsia="ja-JP"/>
        </w:rPr>
        <w:t>ワークショップはキシナウで対面で開催された。この活動には、国内のさまざまな地域（カンテミール、オルヘイ、ラプシュナ、ファレスティ）から</w:t>
      </w:r>
      <w:r w:rsidRPr="00B0209D">
        <w:rPr>
          <w:sz w:val="21"/>
          <w:szCs w:val="21"/>
          <w:lang w:eastAsia="ja-JP"/>
        </w:rPr>
        <w:t>10人の</w:t>
      </w:r>
      <w:r w:rsidRPr="00B0209D">
        <w:rPr>
          <w:b/>
          <w:bCs/>
          <w:sz w:val="21"/>
          <w:szCs w:val="21"/>
          <w:lang w:eastAsia="ja-JP"/>
        </w:rPr>
        <w:t>セルフ・アドボ</w:t>
      </w:r>
      <w:r w:rsidRPr="00B0209D">
        <w:rPr>
          <w:rFonts w:hint="eastAsia"/>
          <w:b/>
          <w:bCs/>
          <w:sz w:val="21"/>
          <w:szCs w:val="21"/>
          <w:lang w:eastAsia="ja-JP"/>
        </w:rPr>
        <w:t>ケ</w:t>
      </w:r>
      <w:r w:rsidRPr="00B0209D">
        <w:rPr>
          <w:b/>
          <w:bCs/>
          <w:sz w:val="21"/>
          <w:szCs w:val="21"/>
          <w:lang w:eastAsia="ja-JP"/>
        </w:rPr>
        <w:t>ート</w:t>
      </w:r>
      <w:r w:rsidRPr="00B0209D">
        <w:rPr>
          <w:rFonts w:hint="eastAsia"/>
          <w:sz w:val="21"/>
          <w:szCs w:val="21"/>
          <w:lang w:eastAsia="ja-JP"/>
        </w:rPr>
        <w:t>（自己権利擁護者。障害当事者のこと）</w:t>
      </w:r>
      <w:r w:rsidRPr="00B0209D">
        <w:rPr>
          <w:sz w:val="21"/>
          <w:szCs w:val="21"/>
          <w:lang w:eastAsia="ja-JP"/>
        </w:rPr>
        <w:t>が参加した。</w:t>
      </w:r>
      <w:r w:rsidRPr="00B0209D">
        <w:rPr>
          <w:rFonts w:hint="eastAsia"/>
          <w:sz w:val="21"/>
          <w:szCs w:val="21"/>
          <w:lang w:eastAsia="ja-JP"/>
        </w:rPr>
        <w:t>参加した</w:t>
      </w:r>
      <w:r w:rsidRPr="00B0209D">
        <w:rPr>
          <w:sz w:val="21"/>
          <w:szCs w:val="21"/>
          <w:lang w:eastAsia="ja-JP"/>
        </w:rPr>
        <w:t>若者の中には元入所施設の</w:t>
      </w:r>
      <w:r w:rsidRPr="00B0209D">
        <w:rPr>
          <w:rFonts w:hint="eastAsia"/>
          <w:sz w:val="21"/>
          <w:szCs w:val="21"/>
          <w:lang w:eastAsia="ja-JP"/>
        </w:rPr>
        <w:t>居住者</w:t>
      </w:r>
      <w:r w:rsidRPr="00B0209D">
        <w:rPr>
          <w:sz w:val="21"/>
          <w:szCs w:val="21"/>
          <w:lang w:eastAsia="ja-JP"/>
        </w:rPr>
        <w:t>であり、脱施設化のプロセスを経た者もおり、ガイドライン</w:t>
      </w:r>
      <w:r w:rsidRPr="00B0209D">
        <w:rPr>
          <w:rFonts w:hint="eastAsia"/>
          <w:sz w:val="21"/>
          <w:szCs w:val="21"/>
          <w:lang w:eastAsia="ja-JP"/>
        </w:rPr>
        <w:t>について協議</w:t>
      </w:r>
      <w:r w:rsidRPr="00B0209D">
        <w:rPr>
          <w:sz w:val="21"/>
          <w:szCs w:val="21"/>
          <w:lang w:eastAsia="ja-JP"/>
        </w:rPr>
        <w:t>する上で最も推奨される人々</w:t>
      </w:r>
      <w:r w:rsidRPr="00B0209D">
        <w:rPr>
          <w:rFonts w:hint="eastAsia"/>
          <w:sz w:val="21"/>
          <w:szCs w:val="21"/>
          <w:lang w:eastAsia="ja-JP"/>
        </w:rPr>
        <w:t>といえ</w:t>
      </w:r>
      <w:r w:rsidRPr="00B0209D">
        <w:rPr>
          <w:sz w:val="21"/>
          <w:szCs w:val="21"/>
          <w:lang w:eastAsia="ja-JP"/>
        </w:rPr>
        <w:t>る。</w:t>
      </w:r>
    </w:p>
    <w:p w14:paraId="6E3EC524" w14:textId="2F1CC06C" w:rsidR="008D6843" w:rsidRPr="00B0209D" w:rsidRDefault="00D54284" w:rsidP="00B0209D">
      <w:pPr>
        <w:jc w:val="both"/>
        <w:rPr>
          <w:rFonts w:ascii="Times New Roman" w:hAnsi="Times New Roman" w:cs="Times New Roman"/>
          <w:sz w:val="21"/>
          <w:szCs w:val="21"/>
          <w:lang w:val="ro-MD" w:eastAsia="ja-JP"/>
        </w:rPr>
      </w:pPr>
      <w:r w:rsidRPr="00B0209D">
        <w:rPr>
          <w:rFonts w:ascii="Times New Roman" w:hAnsi="Times New Roman" w:cs="Times New Roman"/>
          <w:sz w:val="21"/>
          <w:szCs w:val="21"/>
          <w:lang w:val="ro-MD" w:eastAsia="ja-JP"/>
        </w:rPr>
        <w:lastRenderedPageBreak/>
        <w:t xml:space="preserve"> </w:t>
      </w:r>
    </w:p>
    <w:p w14:paraId="0CCBC1ED" w14:textId="04543FB5" w:rsidR="008D6843" w:rsidRPr="00B0209D" w:rsidRDefault="00976002" w:rsidP="00D54284">
      <w:pPr>
        <w:rPr>
          <w:rFonts w:ascii="Times New Roman" w:hAnsi="Times New Roman" w:cs="Times New Roman"/>
          <w:sz w:val="21"/>
          <w:szCs w:val="21"/>
          <w:lang w:val="ro-MD"/>
        </w:rPr>
      </w:pPr>
      <w:r w:rsidRPr="00B0209D">
        <w:rPr>
          <w:noProof/>
        </w:rPr>
        <w:drawing>
          <wp:inline distT="0" distB="0" distL="0" distR="0" wp14:anchorId="61177C65" wp14:editId="3DE7FE85">
            <wp:extent cx="5400040" cy="3275965"/>
            <wp:effectExtent l="0" t="0" r="0" b="635"/>
            <wp:docPr id="1934658712" name="図 1"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658712" name="図 1" descr="グラフ, 円グラフ&#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5400040" cy="3275965"/>
                    </a:xfrm>
                    <a:prstGeom prst="rect">
                      <a:avLst/>
                    </a:prstGeom>
                  </pic:spPr>
                </pic:pic>
              </a:graphicData>
            </a:graphic>
          </wp:inline>
        </w:drawing>
      </w:r>
    </w:p>
    <w:p w14:paraId="229180D7" w14:textId="7329C857" w:rsidR="00A565D3" w:rsidRPr="00B0209D" w:rsidRDefault="00A565D3" w:rsidP="00A565D3">
      <w:pPr>
        <w:rPr>
          <w:sz w:val="21"/>
          <w:szCs w:val="21"/>
          <w:lang w:eastAsia="ja-JP"/>
        </w:rPr>
      </w:pPr>
      <w:r w:rsidRPr="00B0209D">
        <w:rPr>
          <w:sz w:val="21"/>
          <w:szCs w:val="21"/>
          <w:lang w:eastAsia="ja-JP"/>
        </w:rPr>
        <w:t xml:space="preserve">   </w:t>
      </w:r>
      <w:r w:rsidRPr="00B0209D">
        <w:rPr>
          <w:rFonts w:hint="eastAsia"/>
          <w:sz w:val="21"/>
          <w:szCs w:val="21"/>
          <w:lang w:eastAsia="ja-JP"/>
        </w:rPr>
        <w:t>ワークショップの進行は、この分野に精通したコンサルタントが担当した。彼はその後、ワークショップで確認された提案事項を含む報告書を作成し</w:t>
      </w:r>
      <w:r w:rsidR="00F74899" w:rsidRPr="00B0209D">
        <w:rPr>
          <w:rFonts w:hint="eastAsia"/>
          <w:sz w:val="21"/>
          <w:szCs w:val="21"/>
          <w:lang w:eastAsia="ja-JP"/>
        </w:rPr>
        <w:t>た</w:t>
      </w:r>
      <w:r w:rsidRPr="00B0209D">
        <w:rPr>
          <w:rFonts w:hint="eastAsia"/>
          <w:sz w:val="21"/>
          <w:szCs w:val="21"/>
          <w:lang w:eastAsia="ja-JP"/>
        </w:rPr>
        <w:t>。報告書は英語に翻訳され、障害者権利委員会に送られ</w:t>
      </w:r>
      <w:r w:rsidR="00F74899" w:rsidRPr="00B0209D">
        <w:rPr>
          <w:rFonts w:hint="eastAsia"/>
          <w:sz w:val="21"/>
          <w:szCs w:val="21"/>
          <w:lang w:eastAsia="ja-JP"/>
        </w:rPr>
        <w:t>た</w:t>
      </w:r>
      <w:r w:rsidRPr="00B0209D">
        <w:rPr>
          <w:rFonts w:hint="eastAsia"/>
          <w:sz w:val="21"/>
          <w:szCs w:val="21"/>
          <w:lang w:eastAsia="ja-JP"/>
        </w:rPr>
        <w:t>。</w:t>
      </w:r>
    </w:p>
    <w:p w14:paraId="63F8D403" w14:textId="72A997CA" w:rsidR="00A565D3" w:rsidRPr="00B0209D" w:rsidRDefault="00A565D3" w:rsidP="00A565D3">
      <w:pPr>
        <w:ind w:firstLineChars="100" w:firstLine="210"/>
        <w:rPr>
          <w:sz w:val="21"/>
          <w:szCs w:val="21"/>
          <w:lang w:eastAsia="ja-JP"/>
        </w:rPr>
      </w:pPr>
      <w:r w:rsidRPr="00B0209D">
        <w:rPr>
          <w:rFonts w:hint="eastAsia"/>
          <w:sz w:val="21"/>
          <w:szCs w:val="21"/>
          <w:lang w:eastAsia="ja-JP"/>
        </w:rPr>
        <w:t>緊急時を含む</w:t>
      </w:r>
      <w:r w:rsidR="00D72772" w:rsidRPr="00B0209D">
        <w:rPr>
          <w:rFonts w:hint="eastAsia"/>
          <w:sz w:val="21"/>
          <w:szCs w:val="21"/>
          <w:lang w:eastAsia="ja-JP"/>
        </w:rPr>
        <w:t>脱施設化</w:t>
      </w:r>
      <w:r w:rsidRPr="00B0209D">
        <w:rPr>
          <w:rFonts w:hint="eastAsia"/>
          <w:sz w:val="21"/>
          <w:szCs w:val="21"/>
          <w:lang w:eastAsia="ja-JP"/>
        </w:rPr>
        <w:t>に関するガイドライン草案について、モルドバの若年障害者で構成される当事者グループのメンバーと協議する過程で、以下の提言が出された。</w:t>
      </w:r>
    </w:p>
    <w:p w14:paraId="6A03D7ED" w14:textId="4C77F2CB" w:rsidR="00A565D3" w:rsidRPr="00B0209D" w:rsidRDefault="00A565D3" w:rsidP="00A565D3">
      <w:pPr>
        <w:rPr>
          <w:sz w:val="21"/>
          <w:szCs w:val="21"/>
          <w:lang w:eastAsia="ja-JP"/>
        </w:rPr>
      </w:pPr>
      <w:r w:rsidRPr="00B0209D">
        <w:rPr>
          <w:sz w:val="21"/>
          <w:szCs w:val="21"/>
          <w:lang w:eastAsia="ja-JP"/>
        </w:rPr>
        <w:t>1. COVID 19のパンデミックや隣国ウクライナでの戦争のような危機的状況においても、国は</w:t>
      </w:r>
      <w:r w:rsidRPr="00B0209D">
        <w:rPr>
          <w:rFonts w:hint="eastAsia"/>
          <w:sz w:val="21"/>
          <w:szCs w:val="21"/>
          <w:lang w:eastAsia="ja-JP"/>
        </w:rPr>
        <w:t>脱施設化</w:t>
      </w:r>
      <w:r w:rsidRPr="00B0209D">
        <w:rPr>
          <w:sz w:val="21"/>
          <w:szCs w:val="21"/>
          <w:lang w:eastAsia="ja-JP"/>
        </w:rPr>
        <w:t>のプロセスを止めてはならない。現在入所施設で生活している障害者のための社会サービス開発の資源を確保しなければならない。予防措置や緊急事態を口実に、入所施設</w:t>
      </w:r>
      <w:r w:rsidRPr="00B0209D">
        <w:rPr>
          <w:rFonts w:hint="eastAsia"/>
          <w:sz w:val="21"/>
          <w:szCs w:val="21"/>
          <w:lang w:eastAsia="ja-JP"/>
        </w:rPr>
        <w:t>の</w:t>
      </w:r>
      <w:r w:rsidR="00E94257" w:rsidRPr="00B0209D">
        <w:rPr>
          <w:rFonts w:hint="eastAsia"/>
          <w:sz w:val="21"/>
          <w:szCs w:val="21"/>
          <w:lang w:eastAsia="ja-JP"/>
        </w:rPr>
        <w:t>居住</w:t>
      </w:r>
      <w:r w:rsidRPr="00B0209D">
        <w:rPr>
          <w:rFonts w:hint="eastAsia"/>
          <w:sz w:val="21"/>
          <w:szCs w:val="21"/>
          <w:lang w:eastAsia="ja-JP"/>
        </w:rPr>
        <w:t>者</w:t>
      </w:r>
      <w:r w:rsidRPr="00B0209D">
        <w:rPr>
          <w:sz w:val="21"/>
          <w:szCs w:val="21"/>
          <w:lang w:eastAsia="ja-JP"/>
        </w:rPr>
        <w:t>たちは、隔離され、施設を出て地域社会に入ることを許されず、</w:t>
      </w:r>
      <w:r w:rsidRPr="00B0209D">
        <w:rPr>
          <w:rFonts w:hint="eastAsia"/>
          <w:sz w:val="21"/>
          <w:szCs w:val="21"/>
          <w:lang w:eastAsia="ja-JP"/>
        </w:rPr>
        <w:t>代わりに行う</w:t>
      </w:r>
      <w:r w:rsidRPr="00B0209D">
        <w:rPr>
          <w:sz w:val="21"/>
          <w:szCs w:val="21"/>
          <w:lang w:eastAsia="ja-JP"/>
        </w:rPr>
        <w:t>活動の欠如に直面していると報告している。パンデミック期間中、入所施設で提供されるサービスの質は低下し、</w:t>
      </w:r>
      <w:r w:rsidR="0028415F" w:rsidRPr="00B0209D">
        <w:rPr>
          <w:rFonts w:hint="eastAsia"/>
          <w:sz w:val="21"/>
          <w:szCs w:val="21"/>
          <w:lang w:eastAsia="ja-JP"/>
        </w:rPr>
        <w:t>利用者</w:t>
      </w:r>
      <w:r w:rsidRPr="00B0209D">
        <w:rPr>
          <w:sz w:val="21"/>
          <w:szCs w:val="21"/>
          <w:lang w:eastAsia="ja-JP"/>
        </w:rPr>
        <w:t>と職員との間の対立状況は増加している。</w:t>
      </w:r>
    </w:p>
    <w:p w14:paraId="042A04D7" w14:textId="77777777" w:rsidR="00A565D3" w:rsidRPr="00B0209D" w:rsidRDefault="00A565D3" w:rsidP="00A565D3">
      <w:pPr>
        <w:rPr>
          <w:sz w:val="21"/>
          <w:szCs w:val="21"/>
          <w:lang w:eastAsia="ja-JP"/>
        </w:rPr>
      </w:pPr>
      <w:r w:rsidRPr="00B0209D">
        <w:rPr>
          <w:sz w:val="21"/>
          <w:szCs w:val="21"/>
          <w:lang w:eastAsia="ja-JP"/>
        </w:rPr>
        <w:t>2. 国は、入所施設の整備に資金を投入するのではなく、障害者の</w:t>
      </w:r>
      <w:r w:rsidRPr="00B0209D">
        <w:rPr>
          <w:rFonts w:hint="eastAsia"/>
          <w:sz w:val="21"/>
          <w:szCs w:val="21"/>
          <w:lang w:eastAsia="ja-JP"/>
        </w:rPr>
        <w:t>地域</w:t>
      </w:r>
      <w:r w:rsidRPr="00B0209D">
        <w:rPr>
          <w:sz w:val="21"/>
          <w:szCs w:val="21"/>
          <w:lang w:eastAsia="ja-JP"/>
        </w:rPr>
        <w:t>サービスの発展のための資源を特定すべきである。入所施設に財源を投じると、脱施設化のプロセスが止まってしまう。</w:t>
      </w:r>
    </w:p>
    <w:p w14:paraId="5FFAFF23" w14:textId="77777777" w:rsidR="00A565D3" w:rsidRPr="00B0209D" w:rsidRDefault="00A565D3" w:rsidP="00A565D3">
      <w:pPr>
        <w:rPr>
          <w:sz w:val="21"/>
          <w:szCs w:val="21"/>
          <w:lang w:eastAsia="ja-JP"/>
        </w:rPr>
      </w:pPr>
      <w:r w:rsidRPr="00B0209D">
        <w:rPr>
          <w:sz w:val="21"/>
          <w:szCs w:val="21"/>
          <w:lang w:eastAsia="ja-JP"/>
        </w:rPr>
        <w:lastRenderedPageBreak/>
        <w:t>3. 現在入所施設で生活しているすべての障害者を脱施設化し、地域サービスに移行させる必要がある。入所施設の建物内に、障害者のためのデイセンター、レスピロ</w:t>
      </w:r>
      <w:r w:rsidRPr="00B0209D">
        <w:rPr>
          <w:rFonts w:hint="eastAsia"/>
          <w:sz w:val="21"/>
          <w:szCs w:val="21"/>
          <w:lang w:eastAsia="ja-JP"/>
        </w:rPr>
        <w:t>（息抜き）</w:t>
      </w:r>
      <w:r w:rsidRPr="00B0209D">
        <w:rPr>
          <w:sz w:val="21"/>
          <w:szCs w:val="21"/>
          <w:lang w:eastAsia="ja-JP"/>
        </w:rPr>
        <w:t>サービスを設置することが推奨される。</w:t>
      </w:r>
    </w:p>
    <w:p w14:paraId="016F4415" w14:textId="77777777" w:rsidR="00A565D3" w:rsidRPr="00B0209D" w:rsidRDefault="00A565D3" w:rsidP="00A565D3">
      <w:pPr>
        <w:rPr>
          <w:sz w:val="21"/>
          <w:szCs w:val="21"/>
          <w:lang w:eastAsia="ja-JP"/>
        </w:rPr>
      </w:pPr>
      <w:r w:rsidRPr="00B0209D">
        <w:rPr>
          <w:sz w:val="21"/>
          <w:szCs w:val="21"/>
          <w:lang w:eastAsia="ja-JP"/>
        </w:rPr>
        <w:t>4. 施設入所者の数を減らすため、入所施設への障害者の入所を一時停止する。</w:t>
      </w:r>
    </w:p>
    <w:p w14:paraId="1CCC3555" w14:textId="77777777" w:rsidR="00A565D3" w:rsidRPr="00B0209D" w:rsidRDefault="00A565D3" w:rsidP="00A565D3">
      <w:pPr>
        <w:rPr>
          <w:sz w:val="21"/>
          <w:szCs w:val="21"/>
          <w:lang w:eastAsia="ja-JP"/>
        </w:rPr>
      </w:pPr>
      <w:r w:rsidRPr="00B0209D">
        <w:rPr>
          <w:sz w:val="21"/>
          <w:szCs w:val="21"/>
          <w:lang w:eastAsia="ja-JP"/>
        </w:rPr>
        <w:t>5. 小規模な入所施設の設立を避けるため、障害者のための地域社会サービスが入所施設によって開発・運営されている全国脱施設化プログラムを見直すこと。同様に、地域福祉サービス</w:t>
      </w:r>
      <w:r w:rsidRPr="00B0209D">
        <w:rPr>
          <w:rFonts w:hint="eastAsia"/>
          <w:sz w:val="21"/>
          <w:szCs w:val="21"/>
          <w:lang w:eastAsia="ja-JP"/>
        </w:rPr>
        <w:t>で</w:t>
      </w:r>
      <w:r w:rsidRPr="00B0209D">
        <w:rPr>
          <w:sz w:val="21"/>
          <w:szCs w:val="21"/>
          <w:lang w:eastAsia="ja-JP"/>
        </w:rPr>
        <w:t>雇用される専門職も、かつて入所施設で働いていたような専門職であってはならない。なぜなら、ほとんどの場合、入所施設で働いていた職員が、入所施設で一般的なパターンに従って働き、人々とコミュニケーションをとっているからである。このようなやり方は、サービスの質を著しく低下させ、その人の地域社会への参加に悪影響を及ぼす。</w:t>
      </w:r>
    </w:p>
    <w:p w14:paraId="3538CDE0" w14:textId="77777777" w:rsidR="00A565D3" w:rsidRPr="00B0209D" w:rsidRDefault="00A565D3" w:rsidP="00A565D3">
      <w:pPr>
        <w:rPr>
          <w:sz w:val="21"/>
          <w:szCs w:val="21"/>
          <w:lang w:eastAsia="ja-JP"/>
        </w:rPr>
      </w:pPr>
      <w:r w:rsidRPr="00B0209D">
        <w:rPr>
          <w:sz w:val="21"/>
          <w:szCs w:val="21"/>
          <w:lang w:eastAsia="ja-JP"/>
        </w:rPr>
        <w:t xml:space="preserve">6. </w:t>
      </w:r>
      <w:r w:rsidRPr="00B0209D">
        <w:rPr>
          <w:rFonts w:hint="eastAsia"/>
          <w:sz w:val="21"/>
          <w:szCs w:val="21"/>
          <w:lang w:eastAsia="ja-JP"/>
        </w:rPr>
        <w:t>私的及び公的な</w:t>
      </w:r>
      <w:r w:rsidRPr="00B0209D">
        <w:rPr>
          <w:sz w:val="21"/>
          <w:szCs w:val="21"/>
          <w:lang w:eastAsia="ja-JP"/>
        </w:rPr>
        <w:t>サービス提供者の公的資金への平等なアクセスを確保することによって、脱施設化と地域社会サービスへの投資を増やすこと。</w:t>
      </w:r>
    </w:p>
    <w:p w14:paraId="38D8BAAA" w14:textId="77777777" w:rsidR="00A565D3" w:rsidRPr="00B0209D" w:rsidRDefault="00A565D3" w:rsidP="00A565D3">
      <w:pPr>
        <w:rPr>
          <w:sz w:val="21"/>
          <w:szCs w:val="21"/>
          <w:lang w:eastAsia="ja-JP"/>
        </w:rPr>
      </w:pPr>
      <w:r w:rsidRPr="00B0209D">
        <w:rPr>
          <w:sz w:val="21"/>
          <w:szCs w:val="21"/>
          <w:lang w:eastAsia="ja-JP"/>
        </w:rPr>
        <w:t>7. 障害者の社会的役割の向上と権利の尊重を中心とした地域サービスにおいて、障害者とともに働く専門職のための研修プログラムが必要である。</w:t>
      </w:r>
    </w:p>
    <w:p w14:paraId="76920BF3" w14:textId="021E7EF2" w:rsidR="00A565D3" w:rsidRPr="00B0209D" w:rsidRDefault="00A565D3" w:rsidP="00A565D3">
      <w:pPr>
        <w:rPr>
          <w:sz w:val="21"/>
          <w:szCs w:val="21"/>
          <w:lang w:eastAsia="ja-JP"/>
        </w:rPr>
      </w:pPr>
      <w:r w:rsidRPr="00B0209D">
        <w:rPr>
          <w:sz w:val="21"/>
          <w:szCs w:val="21"/>
          <w:lang w:eastAsia="ja-JP"/>
        </w:rPr>
        <w:t>8. 障害者の権利について国民に知らせることは、</w:t>
      </w:r>
      <w:r w:rsidR="00692486" w:rsidRPr="00B0209D">
        <w:rPr>
          <w:rFonts w:hint="eastAsia"/>
          <w:sz w:val="21"/>
          <w:szCs w:val="21"/>
          <w:lang w:eastAsia="ja-JP"/>
        </w:rPr>
        <w:t>国の優先事項のひとつ</w:t>
      </w:r>
      <w:r w:rsidRPr="00B0209D">
        <w:rPr>
          <w:sz w:val="21"/>
          <w:szCs w:val="21"/>
          <w:lang w:eastAsia="ja-JP"/>
        </w:rPr>
        <w:t>であるべきである。</w:t>
      </w:r>
      <w:r w:rsidRPr="00B0209D">
        <w:rPr>
          <w:rFonts w:hint="eastAsia"/>
          <w:sz w:val="21"/>
          <w:szCs w:val="21"/>
          <w:lang w:eastAsia="ja-JP"/>
        </w:rPr>
        <w:t>同様に、</w:t>
      </w:r>
      <w:r w:rsidRPr="00B0209D">
        <w:rPr>
          <w:sz w:val="21"/>
          <w:szCs w:val="21"/>
          <w:lang w:eastAsia="ja-JP"/>
        </w:rPr>
        <w:t>地域社会における障害者の権利の尊重を保証し、地域社会における障害者の包摂を</w:t>
      </w:r>
      <w:r w:rsidR="00692486" w:rsidRPr="00B0209D">
        <w:rPr>
          <w:rFonts w:hint="eastAsia"/>
          <w:sz w:val="21"/>
          <w:szCs w:val="21"/>
          <w:lang w:eastAsia="ja-JP"/>
        </w:rPr>
        <w:t>育む</w:t>
      </w:r>
      <w:r w:rsidRPr="00B0209D">
        <w:rPr>
          <w:sz w:val="21"/>
          <w:szCs w:val="21"/>
          <w:lang w:eastAsia="ja-JP"/>
        </w:rPr>
        <w:t>ために、地域社会サービスが展開される地域を準備することも重要である。</w:t>
      </w:r>
    </w:p>
    <w:p w14:paraId="7C3CB297" w14:textId="0EE7BA73" w:rsidR="00A565D3" w:rsidRPr="00B0209D" w:rsidRDefault="00A565D3" w:rsidP="00A565D3">
      <w:pPr>
        <w:rPr>
          <w:sz w:val="21"/>
          <w:szCs w:val="21"/>
          <w:lang w:eastAsia="ja-JP"/>
        </w:rPr>
      </w:pPr>
      <w:r w:rsidRPr="00B0209D">
        <w:rPr>
          <w:sz w:val="21"/>
          <w:szCs w:val="21"/>
          <w:lang w:eastAsia="ja-JP"/>
        </w:rPr>
        <w:t>9. 入所施設に入</w:t>
      </w:r>
      <w:r w:rsidR="00E94257" w:rsidRPr="00B0209D">
        <w:rPr>
          <w:rFonts w:hint="eastAsia"/>
          <w:sz w:val="21"/>
          <w:szCs w:val="21"/>
          <w:lang w:eastAsia="ja-JP"/>
        </w:rPr>
        <w:t>って</w:t>
      </w:r>
      <w:r w:rsidRPr="00B0209D">
        <w:rPr>
          <w:sz w:val="21"/>
          <w:szCs w:val="21"/>
          <w:lang w:eastAsia="ja-JP"/>
        </w:rPr>
        <w:t>いる人が地域社会で生活できるようにするための研修プログラムをもっと充実させるべきである。地域社会に適応できず施設に戻る人がいるのは、地域社会で生活するための十分な準備がなされていないからである。</w:t>
      </w:r>
    </w:p>
    <w:p w14:paraId="3DC3DC09" w14:textId="77777777" w:rsidR="00A565D3" w:rsidRPr="00B0209D" w:rsidRDefault="00A565D3" w:rsidP="00A565D3">
      <w:pPr>
        <w:rPr>
          <w:sz w:val="21"/>
          <w:szCs w:val="21"/>
          <w:lang w:eastAsia="ja-JP"/>
        </w:rPr>
      </w:pPr>
      <w:r w:rsidRPr="00B0209D">
        <w:rPr>
          <w:sz w:val="21"/>
          <w:szCs w:val="21"/>
          <w:lang w:eastAsia="ja-JP"/>
        </w:rPr>
        <w:t>10. 障害者自身が脱施設化計画の作成に参加し、一緒に住む人を選んだり、</w:t>
      </w:r>
      <w:r w:rsidRPr="00B0209D">
        <w:rPr>
          <w:rFonts w:hint="eastAsia"/>
          <w:sz w:val="21"/>
          <w:szCs w:val="21"/>
          <w:lang w:eastAsia="ja-JP"/>
        </w:rPr>
        <w:t>居住の場</w:t>
      </w:r>
      <w:r w:rsidRPr="00B0209D">
        <w:rPr>
          <w:sz w:val="21"/>
          <w:szCs w:val="21"/>
          <w:lang w:eastAsia="ja-JP"/>
        </w:rPr>
        <w:t>の選択、家具や</w:t>
      </w:r>
      <w:r w:rsidRPr="00B0209D">
        <w:rPr>
          <w:rFonts w:hint="eastAsia"/>
          <w:sz w:val="21"/>
          <w:szCs w:val="21"/>
          <w:lang w:eastAsia="ja-JP"/>
        </w:rPr>
        <w:t>機器</w:t>
      </w:r>
      <w:r w:rsidRPr="00B0209D">
        <w:rPr>
          <w:sz w:val="21"/>
          <w:szCs w:val="21"/>
          <w:lang w:eastAsia="ja-JP"/>
        </w:rPr>
        <w:t>設備の購入に参加したりできるようにすべきである。</w:t>
      </w:r>
    </w:p>
    <w:p w14:paraId="06145356" w14:textId="6CC49689" w:rsidR="00A565D3" w:rsidRPr="00B0209D" w:rsidRDefault="00A565D3" w:rsidP="00A565D3">
      <w:pPr>
        <w:rPr>
          <w:sz w:val="21"/>
          <w:szCs w:val="21"/>
          <w:lang w:eastAsia="ja-JP"/>
        </w:rPr>
      </w:pPr>
      <w:r w:rsidRPr="00B0209D">
        <w:rPr>
          <w:sz w:val="21"/>
          <w:szCs w:val="21"/>
          <w:lang w:eastAsia="ja-JP"/>
        </w:rPr>
        <w:t>11. 脱施設化とは、運動</w:t>
      </w:r>
      <w:r w:rsidR="00AA1695" w:rsidRPr="00B0209D">
        <w:rPr>
          <w:rFonts w:hint="eastAsia"/>
          <w:sz w:val="21"/>
          <w:szCs w:val="21"/>
          <w:lang w:eastAsia="ja-JP"/>
        </w:rPr>
        <w:t>機能の</w:t>
      </w:r>
      <w:r w:rsidRPr="00B0209D">
        <w:rPr>
          <w:sz w:val="21"/>
          <w:szCs w:val="21"/>
          <w:lang w:eastAsia="ja-JP"/>
        </w:rPr>
        <w:t>障害者や運動機能が低下した人が利用しやすい環境を整えることでもある。国営施設も民間施設もアクセシブルでなければならない。また、その人のニーズに応じて、理解しやすい言語や形式で情報を提供することも必要である。</w:t>
      </w:r>
    </w:p>
    <w:p w14:paraId="221DD943" w14:textId="77777777" w:rsidR="00A565D3" w:rsidRPr="00B0209D" w:rsidRDefault="00A565D3" w:rsidP="00A565D3">
      <w:pPr>
        <w:rPr>
          <w:sz w:val="21"/>
          <w:szCs w:val="21"/>
          <w:lang w:eastAsia="ja-JP"/>
        </w:rPr>
      </w:pPr>
      <w:r w:rsidRPr="00B0209D">
        <w:rPr>
          <w:sz w:val="21"/>
          <w:szCs w:val="21"/>
          <w:lang w:eastAsia="ja-JP"/>
        </w:rPr>
        <w:t>12. 職業指導プログラム、職業訓練を通じて、脱施設者の就職、自営業の支援サービスを提供すること。現在、入所施設にいる障害者には（たとえ小中学校を卒業している者がいたとしても）卒業証書が与えられておらず、この資格の欠如の結果、脱施設者は</w:t>
      </w:r>
      <w:r w:rsidRPr="00B0209D">
        <w:rPr>
          <w:rFonts w:hint="eastAsia"/>
          <w:sz w:val="21"/>
          <w:szCs w:val="21"/>
          <w:lang w:eastAsia="ja-JP"/>
        </w:rPr>
        <w:t>国家</w:t>
      </w:r>
      <w:r w:rsidRPr="00B0209D">
        <w:rPr>
          <w:sz w:val="21"/>
          <w:szCs w:val="21"/>
          <w:lang w:eastAsia="ja-JP"/>
        </w:rPr>
        <w:t>雇用庁が提供する職業訓練プログラムの恩恵を受けることができない。</w:t>
      </w:r>
    </w:p>
    <w:p w14:paraId="42720DB8" w14:textId="77777777" w:rsidR="00A565D3" w:rsidRPr="00B0209D" w:rsidRDefault="00A565D3" w:rsidP="00A565D3">
      <w:pPr>
        <w:rPr>
          <w:sz w:val="21"/>
          <w:szCs w:val="21"/>
          <w:lang w:eastAsia="ja-JP"/>
        </w:rPr>
      </w:pPr>
      <w:r w:rsidRPr="00B0209D">
        <w:rPr>
          <w:sz w:val="21"/>
          <w:szCs w:val="21"/>
          <w:lang w:eastAsia="ja-JP"/>
        </w:rPr>
        <w:lastRenderedPageBreak/>
        <w:t xml:space="preserve">13. </w:t>
      </w:r>
      <w:r w:rsidRPr="00B0209D">
        <w:rPr>
          <w:rFonts w:hint="eastAsia"/>
          <w:sz w:val="21"/>
          <w:szCs w:val="21"/>
          <w:lang w:eastAsia="ja-JP"/>
        </w:rPr>
        <w:t>脱</w:t>
      </w:r>
      <w:r w:rsidRPr="00B0209D">
        <w:rPr>
          <w:sz w:val="21"/>
          <w:szCs w:val="21"/>
          <w:lang w:eastAsia="ja-JP"/>
        </w:rPr>
        <w:t>施設者は、入所施設において奪われた特定の学業（一定の学校サイクルでの学業修了証の取得）を希望する場合、教育を受けることができるべきである。このような人々の教育へのアクセスは、法律によって規制されるべきである。</w:t>
      </w:r>
    </w:p>
    <w:p w14:paraId="251ECEDB" w14:textId="77777777" w:rsidR="00A565D3" w:rsidRPr="00B0209D" w:rsidRDefault="00A565D3" w:rsidP="00A565D3">
      <w:pPr>
        <w:rPr>
          <w:sz w:val="21"/>
          <w:szCs w:val="21"/>
          <w:lang w:eastAsia="ja-JP"/>
        </w:rPr>
      </w:pPr>
      <w:r w:rsidRPr="00B0209D">
        <w:rPr>
          <w:sz w:val="21"/>
          <w:szCs w:val="21"/>
          <w:lang w:eastAsia="ja-JP"/>
        </w:rPr>
        <w:t>14. 退所した障害者が</w:t>
      </w:r>
      <w:r w:rsidRPr="00B0209D">
        <w:rPr>
          <w:rFonts w:hint="eastAsia"/>
          <w:sz w:val="21"/>
          <w:szCs w:val="21"/>
          <w:lang w:eastAsia="ja-JP"/>
        </w:rPr>
        <w:t>、</w:t>
      </w:r>
      <w:r w:rsidRPr="00B0209D">
        <w:rPr>
          <w:sz w:val="21"/>
          <w:szCs w:val="21"/>
          <w:lang w:eastAsia="ja-JP"/>
        </w:rPr>
        <w:t>金銭給付（障害者手当）を受ける権利を行使</w:t>
      </w:r>
      <w:r w:rsidRPr="00B0209D">
        <w:rPr>
          <w:rFonts w:hint="eastAsia"/>
          <w:sz w:val="21"/>
          <w:szCs w:val="21"/>
          <w:lang w:eastAsia="ja-JP"/>
        </w:rPr>
        <w:t>でき</w:t>
      </w:r>
      <w:r w:rsidRPr="00B0209D">
        <w:rPr>
          <w:sz w:val="21"/>
          <w:szCs w:val="21"/>
          <w:lang w:eastAsia="ja-JP"/>
        </w:rPr>
        <w:t>なければならない。経済的資源のない人々は、地域社会で自立して生活し、家庭を築くことが困難である。経済的資源がなければ、人々は金銭管理の方法</w:t>
      </w:r>
      <w:r w:rsidRPr="00B0209D">
        <w:rPr>
          <w:rFonts w:hint="eastAsia"/>
          <w:sz w:val="21"/>
          <w:szCs w:val="21"/>
          <w:lang w:eastAsia="ja-JP"/>
        </w:rPr>
        <w:t>も</w:t>
      </w:r>
      <w:r w:rsidRPr="00B0209D">
        <w:rPr>
          <w:sz w:val="21"/>
          <w:szCs w:val="21"/>
          <w:lang w:eastAsia="ja-JP"/>
        </w:rPr>
        <w:t>、食料やエネルギーの効率的な利用も</w:t>
      </w:r>
      <w:r w:rsidRPr="00B0209D">
        <w:rPr>
          <w:rFonts w:hint="eastAsia"/>
          <w:sz w:val="21"/>
          <w:szCs w:val="21"/>
          <w:lang w:eastAsia="ja-JP"/>
        </w:rPr>
        <w:t>学べない</w:t>
      </w:r>
      <w:r w:rsidRPr="00B0209D">
        <w:rPr>
          <w:sz w:val="21"/>
          <w:szCs w:val="21"/>
          <w:lang w:eastAsia="ja-JP"/>
        </w:rPr>
        <w:t>。</w:t>
      </w:r>
    </w:p>
    <w:p w14:paraId="429908C0" w14:textId="1CF69264" w:rsidR="00A565D3" w:rsidRPr="00B0209D" w:rsidRDefault="00A565D3" w:rsidP="00A565D3">
      <w:pPr>
        <w:rPr>
          <w:sz w:val="21"/>
          <w:szCs w:val="21"/>
          <w:lang w:eastAsia="ja-JP"/>
        </w:rPr>
      </w:pPr>
      <w:r w:rsidRPr="00B0209D">
        <w:rPr>
          <w:sz w:val="21"/>
          <w:szCs w:val="21"/>
          <w:lang w:eastAsia="ja-JP"/>
        </w:rPr>
        <w:t xml:space="preserve">15. </w:t>
      </w:r>
      <w:r w:rsidRPr="00B0209D">
        <w:rPr>
          <w:rFonts w:hint="eastAsia"/>
          <w:sz w:val="21"/>
          <w:szCs w:val="21"/>
          <w:lang w:eastAsia="ja-JP"/>
        </w:rPr>
        <w:t>地域</w:t>
      </w:r>
      <w:r w:rsidRPr="00B0209D">
        <w:rPr>
          <w:sz w:val="21"/>
          <w:szCs w:val="21"/>
          <w:lang w:eastAsia="ja-JP"/>
        </w:rPr>
        <w:t>サービスの障害者は、自立して生活する障害者と同じように、</w:t>
      </w:r>
      <w:r w:rsidRPr="00B0209D">
        <w:rPr>
          <w:rFonts w:hint="eastAsia"/>
          <w:sz w:val="21"/>
          <w:szCs w:val="21"/>
          <w:lang w:eastAsia="ja-JP"/>
        </w:rPr>
        <w:t>温泉療法</w:t>
      </w:r>
      <w:r w:rsidRPr="00B0209D">
        <w:rPr>
          <w:sz w:val="21"/>
          <w:szCs w:val="21"/>
          <w:lang w:eastAsia="ja-JP"/>
        </w:rPr>
        <w:t>サービスを利用する権利を持つべきである。現在のところ、</w:t>
      </w:r>
      <w:r w:rsidRPr="00B0209D">
        <w:rPr>
          <w:rFonts w:hint="eastAsia"/>
          <w:sz w:val="21"/>
          <w:szCs w:val="21"/>
          <w:lang w:eastAsia="ja-JP"/>
        </w:rPr>
        <w:t>地域</w:t>
      </w:r>
      <w:r w:rsidRPr="00B0209D">
        <w:rPr>
          <w:sz w:val="21"/>
          <w:szCs w:val="21"/>
          <w:lang w:eastAsia="ja-JP"/>
        </w:rPr>
        <w:t>サービスの人々は、国に従属する</w:t>
      </w:r>
      <w:r w:rsidRPr="00B0209D">
        <w:rPr>
          <w:rFonts w:hint="eastAsia"/>
          <w:sz w:val="21"/>
          <w:szCs w:val="21"/>
          <w:lang w:eastAsia="ja-JP"/>
        </w:rPr>
        <w:t>温泉療法</w:t>
      </w:r>
      <w:r w:rsidRPr="00B0209D">
        <w:rPr>
          <w:sz w:val="21"/>
          <w:szCs w:val="21"/>
          <w:lang w:eastAsia="ja-JP"/>
        </w:rPr>
        <w:t>施設でのリハビリテーションサービスの恩恵を受けることができない。</w:t>
      </w:r>
    </w:p>
    <w:p w14:paraId="03CDCC17" w14:textId="77777777" w:rsidR="00A565D3" w:rsidRPr="00B0209D" w:rsidRDefault="00A565D3" w:rsidP="00A565D3">
      <w:pPr>
        <w:rPr>
          <w:sz w:val="21"/>
          <w:szCs w:val="21"/>
          <w:lang w:eastAsia="ja-JP"/>
        </w:rPr>
      </w:pPr>
      <w:r w:rsidRPr="00B0209D">
        <w:rPr>
          <w:sz w:val="21"/>
          <w:szCs w:val="21"/>
          <w:lang w:eastAsia="ja-JP"/>
        </w:rPr>
        <w:t xml:space="preserve">16. </w:t>
      </w:r>
      <w:r w:rsidRPr="00B0209D">
        <w:rPr>
          <w:rFonts w:hint="eastAsia"/>
          <w:sz w:val="21"/>
          <w:szCs w:val="21"/>
          <w:lang w:eastAsia="ja-JP"/>
        </w:rPr>
        <w:t>地域社会への包摂に役立たせるために、</w:t>
      </w:r>
      <w:r w:rsidRPr="00B0209D">
        <w:rPr>
          <w:sz w:val="21"/>
          <w:szCs w:val="21"/>
          <w:lang w:eastAsia="ja-JP"/>
        </w:rPr>
        <w:t>脱施設者のための地域支援サービス（心理的支援、法的支援、社会的支援）を発展させることが推奨される。</w:t>
      </w:r>
    </w:p>
    <w:p w14:paraId="5B224407" w14:textId="77777777" w:rsidR="00A565D3" w:rsidRPr="00B0209D" w:rsidRDefault="00A565D3" w:rsidP="00A565D3">
      <w:pPr>
        <w:rPr>
          <w:sz w:val="21"/>
          <w:szCs w:val="21"/>
          <w:lang w:eastAsia="ja-JP"/>
        </w:rPr>
      </w:pPr>
      <w:r w:rsidRPr="00B0209D">
        <w:rPr>
          <w:sz w:val="21"/>
          <w:szCs w:val="21"/>
          <w:lang w:eastAsia="ja-JP"/>
        </w:rPr>
        <w:t>17. 脱施設者は、施設の医師によるケア（付き添い）ではなく、地域社会の医療サービスを利用できなければならない（現在、これは入所施設が</w:t>
      </w:r>
      <w:r w:rsidRPr="00B0209D">
        <w:rPr>
          <w:rFonts w:hint="eastAsia"/>
          <w:sz w:val="21"/>
          <w:szCs w:val="21"/>
          <w:lang w:eastAsia="ja-JP"/>
        </w:rPr>
        <w:t>行う</w:t>
      </w:r>
      <w:r w:rsidRPr="00B0209D">
        <w:rPr>
          <w:sz w:val="21"/>
          <w:szCs w:val="21"/>
          <w:lang w:eastAsia="ja-JP"/>
        </w:rPr>
        <w:t>社会サービス</w:t>
      </w:r>
      <w:r w:rsidRPr="00B0209D">
        <w:rPr>
          <w:rFonts w:hint="eastAsia"/>
          <w:sz w:val="21"/>
          <w:szCs w:val="21"/>
          <w:lang w:eastAsia="ja-JP"/>
        </w:rPr>
        <w:t>とされている</w:t>
      </w:r>
      <w:r w:rsidRPr="00B0209D">
        <w:rPr>
          <w:sz w:val="21"/>
          <w:szCs w:val="21"/>
          <w:lang w:eastAsia="ja-JP"/>
        </w:rPr>
        <w:t>）。</w:t>
      </w:r>
      <w:r w:rsidRPr="00B0209D">
        <w:rPr>
          <w:rFonts w:hint="eastAsia"/>
          <w:sz w:val="21"/>
          <w:szCs w:val="21"/>
          <w:lang w:eastAsia="ja-JP"/>
        </w:rPr>
        <w:t>「保護住居</w:t>
      </w:r>
      <w:r w:rsidRPr="00B0209D">
        <w:rPr>
          <w:sz w:val="21"/>
          <w:szCs w:val="21"/>
          <w:lang w:eastAsia="ja-JP"/>
        </w:rPr>
        <w:t>」と「</w:t>
      </w:r>
      <w:r w:rsidRPr="00B0209D">
        <w:rPr>
          <w:rFonts w:hint="eastAsia"/>
          <w:sz w:val="21"/>
          <w:szCs w:val="21"/>
          <w:lang w:eastAsia="ja-JP"/>
        </w:rPr>
        <w:t>地域</w:t>
      </w:r>
      <w:r w:rsidRPr="00B0209D">
        <w:rPr>
          <w:sz w:val="21"/>
          <w:szCs w:val="21"/>
          <w:lang w:eastAsia="ja-JP"/>
        </w:rPr>
        <w:t>ホーム」という社会サービスを利用している脱施設者の地域精神保健センターへのアクセスが限られていることと、地域レベルでの社会部門と保健部門の連携が不十分であることが、障害者が入所施設の医療スタッフに依存</w:t>
      </w:r>
      <w:r w:rsidRPr="00B0209D">
        <w:rPr>
          <w:rFonts w:hint="eastAsia"/>
          <w:sz w:val="21"/>
          <w:szCs w:val="21"/>
          <w:lang w:eastAsia="ja-JP"/>
        </w:rPr>
        <w:t>す</w:t>
      </w:r>
      <w:r w:rsidRPr="00B0209D">
        <w:rPr>
          <w:sz w:val="21"/>
          <w:szCs w:val="21"/>
          <w:lang w:eastAsia="ja-JP"/>
        </w:rPr>
        <w:t>る理由である。</w:t>
      </w:r>
    </w:p>
    <w:p w14:paraId="03BF98CC" w14:textId="77777777" w:rsidR="00A565D3" w:rsidRPr="00B0209D" w:rsidRDefault="00A565D3" w:rsidP="00A565D3">
      <w:pPr>
        <w:rPr>
          <w:sz w:val="21"/>
          <w:szCs w:val="21"/>
          <w:lang w:eastAsia="ja-JP"/>
        </w:rPr>
      </w:pPr>
      <w:r w:rsidRPr="00B0209D">
        <w:rPr>
          <w:sz w:val="21"/>
          <w:szCs w:val="21"/>
          <w:lang w:eastAsia="ja-JP"/>
        </w:rPr>
        <w:t>18. 脱施設者は、身分証明書とパスポート（旅行する場合）、および障害の程度を証明する書類を持たなければならない。障害の程度を証明する書類があれば、医療被保険者となり、社会手当や障害者向けサービスの恩恵を受けることができる。</w:t>
      </w:r>
    </w:p>
    <w:p w14:paraId="2DDCBA4F" w14:textId="77777777" w:rsidR="00A565D3" w:rsidRPr="00B0209D" w:rsidRDefault="00A565D3" w:rsidP="00A565D3">
      <w:pPr>
        <w:rPr>
          <w:sz w:val="21"/>
          <w:szCs w:val="21"/>
          <w:lang w:eastAsia="ja-JP"/>
        </w:rPr>
      </w:pPr>
      <w:r w:rsidRPr="00B0209D">
        <w:rPr>
          <w:sz w:val="21"/>
          <w:szCs w:val="21"/>
          <w:lang w:eastAsia="ja-JP"/>
        </w:rPr>
        <w:t>19. 入所施設</w:t>
      </w:r>
      <w:r w:rsidRPr="00B0209D">
        <w:rPr>
          <w:rFonts w:hint="eastAsia"/>
          <w:sz w:val="21"/>
          <w:szCs w:val="21"/>
          <w:lang w:eastAsia="ja-JP"/>
        </w:rPr>
        <w:t>の</w:t>
      </w:r>
      <w:r w:rsidRPr="00B0209D">
        <w:rPr>
          <w:sz w:val="21"/>
          <w:szCs w:val="21"/>
          <w:lang w:eastAsia="ja-JP"/>
        </w:rPr>
        <w:t>障害児に、国は何よりもまず、</w:t>
      </w:r>
      <w:r w:rsidRPr="00B0209D">
        <w:rPr>
          <w:rFonts w:hint="eastAsia"/>
          <w:sz w:val="21"/>
          <w:szCs w:val="21"/>
          <w:lang w:eastAsia="ja-JP"/>
        </w:rPr>
        <w:t>利用</w:t>
      </w:r>
      <w:r w:rsidRPr="00B0209D">
        <w:rPr>
          <w:sz w:val="21"/>
          <w:szCs w:val="21"/>
          <w:lang w:eastAsia="ja-JP"/>
        </w:rPr>
        <w:t>できる家族型サービスを開発しなければならない。また、入所施設から</w:t>
      </w:r>
      <w:r w:rsidRPr="00B0209D">
        <w:rPr>
          <w:rFonts w:hint="eastAsia"/>
          <w:sz w:val="21"/>
          <w:szCs w:val="21"/>
          <w:lang w:eastAsia="ja-JP"/>
        </w:rPr>
        <w:t>の</w:t>
      </w:r>
      <w:r w:rsidRPr="00B0209D">
        <w:rPr>
          <w:sz w:val="21"/>
          <w:szCs w:val="21"/>
          <w:lang w:eastAsia="ja-JP"/>
        </w:rPr>
        <w:t>養子縁組を希望する家族のための動機付けプログラムも開発しなければならない。</w:t>
      </w:r>
      <w:r w:rsidRPr="00B0209D">
        <w:rPr>
          <w:rFonts w:hint="eastAsia"/>
          <w:sz w:val="21"/>
          <w:szCs w:val="21"/>
          <w:lang w:eastAsia="ja-JP"/>
        </w:rPr>
        <w:t>どの子も施設で暮らすべきではない。</w:t>
      </w:r>
      <w:r w:rsidRPr="00B0209D">
        <w:rPr>
          <w:sz w:val="21"/>
          <w:szCs w:val="21"/>
          <w:lang w:eastAsia="ja-JP"/>
        </w:rPr>
        <w:t>なぜなら、施設の職員は入所</w:t>
      </w:r>
      <w:r w:rsidRPr="00B0209D">
        <w:rPr>
          <w:rFonts w:hint="eastAsia"/>
          <w:sz w:val="21"/>
          <w:szCs w:val="21"/>
          <w:lang w:eastAsia="ja-JP"/>
        </w:rPr>
        <w:t>児</w:t>
      </w:r>
      <w:r w:rsidRPr="00B0209D">
        <w:rPr>
          <w:sz w:val="21"/>
          <w:szCs w:val="21"/>
          <w:lang w:eastAsia="ja-JP"/>
        </w:rPr>
        <w:t>の面倒を見ておらず、ほとんどの場合、入所している子どもは虐待を経験し、非人間的な扱いを受けるからである。</w:t>
      </w:r>
    </w:p>
    <w:p w14:paraId="194A69AE" w14:textId="77777777" w:rsidR="00A565D3" w:rsidRPr="00B0209D" w:rsidRDefault="00A565D3" w:rsidP="00A565D3">
      <w:pPr>
        <w:rPr>
          <w:sz w:val="21"/>
          <w:szCs w:val="21"/>
          <w:lang w:eastAsia="ja-JP"/>
        </w:rPr>
      </w:pPr>
      <w:r w:rsidRPr="00B0209D">
        <w:rPr>
          <w:sz w:val="21"/>
          <w:szCs w:val="21"/>
          <w:lang w:eastAsia="ja-JP"/>
        </w:rPr>
        <w:t>20. 高齢の障害者を入所施設に入れるべきでない。高齢者が地域社会にとどまり、質の高いケアサービス、心理的支援、社会的支援を家庭で受けられるよう、地域レベルのサービ</w:t>
      </w:r>
      <w:r w:rsidRPr="00B0209D">
        <w:rPr>
          <w:sz w:val="21"/>
          <w:szCs w:val="21"/>
          <w:lang w:eastAsia="ja-JP"/>
        </w:rPr>
        <w:lastRenderedPageBreak/>
        <w:t>スを開発することが必要である。高齢者のための移動チームサービス、在宅ソーシャルケアサービス、デイセンターを開発することが必要である。</w:t>
      </w:r>
    </w:p>
    <w:p w14:paraId="67C4F18F" w14:textId="77777777" w:rsidR="00A565D3" w:rsidRPr="00B0209D" w:rsidRDefault="00A565D3" w:rsidP="00A565D3">
      <w:pPr>
        <w:rPr>
          <w:sz w:val="21"/>
          <w:szCs w:val="21"/>
          <w:lang w:eastAsia="ja-JP"/>
        </w:rPr>
      </w:pPr>
      <w:r w:rsidRPr="00B0209D">
        <w:rPr>
          <w:sz w:val="21"/>
          <w:szCs w:val="21"/>
          <w:lang w:eastAsia="ja-JP"/>
        </w:rPr>
        <w:t>21. 障害者の自立生活を促進するために、国は、障害者への社会住宅の提供や住宅購入のための優遇融資に関するプログラムを策定しなければならない。</w:t>
      </w:r>
    </w:p>
    <w:p w14:paraId="6D54E75E" w14:textId="77777777" w:rsidR="00A565D3" w:rsidRPr="00B0209D" w:rsidRDefault="00A565D3" w:rsidP="00A565D3">
      <w:pPr>
        <w:rPr>
          <w:sz w:val="21"/>
          <w:szCs w:val="21"/>
          <w:lang w:eastAsia="ja-JP"/>
        </w:rPr>
      </w:pPr>
      <w:r w:rsidRPr="00B0209D">
        <w:rPr>
          <w:sz w:val="21"/>
          <w:szCs w:val="21"/>
          <w:lang w:eastAsia="ja-JP"/>
        </w:rPr>
        <w:t>22. 入所サービスで生活し、非人道的な扱いを受けてきた障害者は、国から金銭的補償を受けるべきである。この</w:t>
      </w:r>
      <w:r w:rsidRPr="00B0209D">
        <w:rPr>
          <w:rFonts w:hint="eastAsia"/>
          <w:sz w:val="21"/>
          <w:szCs w:val="21"/>
          <w:lang w:eastAsia="ja-JP"/>
        </w:rPr>
        <w:t>取り組み</w:t>
      </w:r>
      <w:r w:rsidRPr="00B0209D">
        <w:rPr>
          <w:sz w:val="21"/>
          <w:szCs w:val="21"/>
          <w:lang w:eastAsia="ja-JP"/>
        </w:rPr>
        <w:t>は、現在入所施設で生活している障害者に対する入所施設の従業員の差別的で虐待的な態度を減少させるであろう。</w:t>
      </w:r>
    </w:p>
    <w:p w14:paraId="38E78FFE" w14:textId="7F54DF49" w:rsidR="00A565D3" w:rsidRPr="00B0209D" w:rsidRDefault="00A565D3" w:rsidP="00A565D3">
      <w:pPr>
        <w:rPr>
          <w:sz w:val="21"/>
          <w:szCs w:val="21"/>
          <w:lang w:eastAsia="ja-JP"/>
        </w:rPr>
      </w:pPr>
      <w:r w:rsidRPr="00B0209D">
        <w:rPr>
          <w:sz w:val="21"/>
          <w:szCs w:val="21"/>
          <w:lang w:eastAsia="ja-JP"/>
        </w:rPr>
        <w:t>23. 障害</w:t>
      </w:r>
      <w:r w:rsidRPr="00B0209D">
        <w:rPr>
          <w:rFonts w:hint="eastAsia"/>
          <w:sz w:val="21"/>
          <w:szCs w:val="21"/>
          <w:lang w:eastAsia="ja-JP"/>
        </w:rPr>
        <w:t>のある</w:t>
      </w:r>
      <w:r w:rsidRPr="00B0209D">
        <w:rPr>
          <w:sz w:val="21"/>
          <w:szCs w:val="21"/>
          <w:lang w:eastAsia="ja-JP"/>
        </w:rPr>
        <w:t>女性や</w:t>
      </w:r>
      <w:r w:rsidRPr="00B0209D">
        <w:rPr>
          <w:rFonts w:hint="eastAsia"/>
          <w:sz w:val="21"/>
          <w:szCs w:val="21"/>
          <w:lang w:eastAsia="ja-JP"/>
        </w:rPr>
        <w:t>少女</w:t>
      </w:r>
      <w:r w:rsidRPr="00B0209D">
        <w:rPr>
          <w:sz w:val="21"/>
          <w:szCs w:val="21"/>
          <w:lang w:eastAsia="ja-JP"/>
        </w:rPr>
        <w:t>は、特に虐待を受けやすいので、法律で保護されるべきである。虐待を受けた障害</w:t>
      </w:r>
      <w:r w:rsidRPr="00B0209D">
        <w:rPr>
          <w:rFonts w:hint="eastAsia"/>
          <w:sz w:val="21"/>
          <w:szCs w:val="21"/>
          <w:lang w:eastAsia="ja-JP"/>
        </w:rPr>
        <w:t>のある</w:t>
      </w:r>
      <w:r w:rsidRPr="00B0209D">
        <w:rPr>
          <w:sz w:val="21"/>
          <w:szCs w:val="21"/>
          <w:lang w:eastAsia="ja-JP"/>
        </w:rPr>
        <w:t>少女や女性（特に知的障害や</w:t>
      </w:r>
      <w:r w:rsidRPr="00B0209D">
        <w:rPr>
          <w:rFonts w:hint="eastAsia"/>
          <w:sz w:val="21"/>
          <w:szCs w:val="21"/>
          <w:lang w:eastAsia="ja-JP"/>
        </w:rPr>
        <w:t>精神</w:t>
      </w:r>
      <w:r w:rsidRPr="00B0209D">
        <w:rPr>
          <w:sz w:val="21"/>
          <w:szCs w:val="21"/>
          <w:lang w:eastAsia="ja-JP"/>
        </w:rPr>
        <w:t>障害</w:t>
      </w:r>
      <w:r w:rsidRPr="00B0209D">
        <w:rPr>
          <w:rFonts w:hint="eastAsia"/>
          <w:sz w:val="21"/>
          <w:szCs w:val="21"/>
          <w:lang w:eastAsia="ja-JP"/>
        </w:rPr>
        <w:t>のある人</w:t>
      </w:r>
      <w:r w:rsidRPr="00B0209D">
        <w:rPr>
          <w:sz w:val="21"/>
          <w:szCs w:val="21"/>
          <w:lang w:eastAsia="ja-JP"/>
        </w:rPr>
        <w:t>）は、警察や検察庁などの責任ある機関に真剣に取り合ってもらえないことが多い。その結果、その人は</w:t>
      </w:r>
      <w:r w:rsidRPr="00B0209D">
        <w:rPr>
          <w:rFonts w:hint="eastAsia"/>
          <w:sz w:val="21"/>
          <w:szCs w:val="21"/>
          <w:lang w:eastAsia="ja-JP"/>
        </w:rPr>
        <w:t>それら</w:t>
      </w:r>
      <w:r w:rsidRPr="00B0209D">
        <w:rPr>
          <w:sz w:val="21"/>
          <w:szCs w:val="21"/>
          <w:lang w:eastAsia="ja-JP"/>
        </w:rPr>
        <w:t>の機関に対する信頼がないため、問題を報告しない。障害のある女性や少女に対する虐待の防止に関する情報プログラムは、すべての責任ある主体（社会サービス、警察、検察庁）が関与して作成されなければならない。</w:t>
      </w:r>
    </w:p>
    <w:p w14:paraId="2A2B9F7F" w14:textId="4AEBAB0B" w:rsidR="00A565D3" w:rsidRPr="00B0209D" w:rsidRDefault="00A565D3" w:rsidP="00A565D3">
      <w:pPr>
        <w:rPr>
          <w:sz w:val="21"/>
          <w:szCs w:val="21"/>
          <w:lang w:eastAsia="ja-JP"/>
        </w:rPr>
      </w:pPr>
      <w:r w:rsidRPr="00B0209D">
        <w:rPr>
          <w:sz w:val="21"/>
          <w:szCs w:val="21"/>
          <w:lang w:eastAsia="ja-JP"/>
        </w:rPr>
        <w:t>24. 国は、採択する法律と、法律を機能的かつ適用可能なものにするプログラムを通じて、国内における障害者の権利の尊重を保証しなければならない。同時に、法的枠組みを遵守しない者を制裁する</w:t>
      </w:r>
      <w:r w:rsidR="00471659" w:rsidRPr="00B0209D">
        <w:rPr>
          <w:rFonts w:hint="eastAsia"/>
          <w:sz w:val="21"/>
          <w:szCs w:val="21"/>
          <w:lang w:eastAsia="ja-JP"/>
        </w:rPr>
        <w:t>仕組み</w:t>
      </w:r>
      <w:r w:rsidRPr="00B0209D">
        <w:rPr>
          <w:sz w:val="21"/>
          <w:szCs w:val="21"/>
          <w:lang w:eastAsia="ja-JP"/>
        </w:rPr>
        <w:t>が施行されるべきである。</w:t>
      </w:r>
    </w:p>
    <w:p w14:paraId="4594AF09" w14:textId="77777777" w:rsidR="00D54284" w:rsidRPr="00B0209D" w:rsidRDefault="00D54284" w:rsidP="00D54284">
      <w:pPr>
        <w:rPr>
          <w:rFonts w:ascii="Times New Roman" w:eastAsia="Calibri" w:hAnsi="Times New Roman" w:cs="Times New Roman"/>
          <w:sz w:val="21"/>
          <w:szCs w:val="21"/>
          <w:lang w:eastAsia="ja-JP"/>
        </w:rPr>
      </w:pPr>
    </w:p>
    <w:p w14:paraId="261666B1" w14:textId="2243DFC2" w:rsidR="00D54284" w:rsidRPr="00B0209D" w:rsidRDefault="00D54284" w:rsidP="00D54284">
      <w:pPr>
        <w:rPr>
          <w:sz w:val="21"/>
          <w:szCs w:val="21"/>
          <w:lang w:eastAsia="ja-JP"/>
        </w:rPr>
      </w:pPr>
      <w:r w:rsidRPr="00B0209D">
        <w:rPr>
          <w:rFonts w:hint="eastAsia"/>
          <w:sz w:val="21"/>
          <w:szCs w:val="21"/>
          <w:lang w:eastAsia="ja-JP"/>
        </w:rPr>
        <w:t>注：本提出文書に示された見解は著者のものであり、著者が協議プロセスに参加することを可能にした</w:t>
      </w:r>
      <w:r w:rsidR="00A565D3" w:rsidRPr="00B0209D">
        <w:rPr>
          <w:rFonts w:hint="eastAsia"/>
          <w:sz w:val="21"/>
          <w:szCs w:val="21"/>
          <w:lang w:eastAsia="ja-JP"/>
        </w:rPr>
        <w:t>団体</w:t>
      </w:r>
      <w:r w:rsidRPr="00B0209D">
        <w:rPr>
          <w:rFonts w:hint="eastAsia"/>
          <w:sz w:val="21"/>
          <w:szCs w:val="21"/>
          <w:lang w:eastAsia="ja-JP"/>
        </w:rPr>
        <w:t>の意見を必ずしも反映するものではない。</w:t>
      </w:r>
    </w:p>
    <w:p w14:paraId="1EC6D6F5" w14:textId="77777777" w:rsidR="00F46C8B" w:rsidRPr="00B0209D" w:rsidRDefault="00F46C8B" w:rsidP="00D54284">
      <w:pPr>
        <w:rPr>
          <w:sz w:val="21"/>
          <w:szCs w:val="21"/>
          <w:lang w:eastAsia="ja-JP"/>
        </w:rPr>
      </w:pPr>
    </w:p>
    <w:p w14:paraId="74660BC6" w14:textId="179685C9" w:rsidR="00F46C8B" w:rsidRPr="00B0209D" w:rsidRDefault="00F46C8B" w:rsidP="00F46C8B">
      <w:pPr>
        <w:jc w:val="right"/>
        <w:rPr>
          <w:sz w:val="21"/>
          <w:szCs w:val="21"/>
          <w:lang w:eastAsia="ja-JP"/>
        </w:rPr>
      </w:pPr>
      <w:r w:rsidRPr="00B0209D">
        <w:rPr>
          <w:rFonts w:hint="eastAsia"/>
          <w:sz w:val="21"/>
          <w:szCs w:val="21"/>
          <w:lang w:eastAsia="ja-JP"/>
        </w:rPr>
        <w:t>（翻訳：佐藤久夫、</w:t>
      </w:r>
      <w:proofErr w:type="spellStart"/>
      <w:r w:rsidR="00D34696" w:rsidRPr="00B0209D">
        <w:rPr>
          <w:rFonts w:hint="eastAsia"/>
          <w:szCs w:val="21"/>
        </w:rPr>
        <w:t>尾上裕介</w:t>
      </w:r>
      <w:proofErr w:type="spellEnd"/>
      <w:r w:rsidRPr="00B0209D">
        <w:rPr>
          <w:rFonts w:hint="eastAsia"/>
          <w:sz w:val="21"/>
          <w:szCs w:val="21"/>
          <w:lang w:eastAsia="ja-JP"/>
        </w:rPr>
        <w:t>）</w:t>
      </w:r>
    </w:p>
    <w:sectPr w:rsidR="00F46C8B" w:rsidRPr="00B0209D">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D217A" w14:textId="77777777" w:rsidR="0031352D" w:rsidRDefault="0031352D" w:rsidP="00A565D3">
      <w:pPr>
        <w:spacing w:after="0" w:line="240" w:lineRule="auto"/>
      </w:pPr>
      <w:r>
        <w:separator/>
      </w:r>
    </w:p>
  </w:endnote>
  <w:endnote w:type="continuationSeparator" w:id="0">
    <w:p w14:paraId="7EBA09CD" w14:textId="77777777" w:rsidR="0031352D" w:rsidRDefault="0031352D" w:rsidP="00A56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485079"/>
      <w:docPartObj>
        <w:docPartGallery w:val="Page Numbers (Bottom of Page)"/>
        <w:docPartUnique/>
      </w:docPartObj>
    </w:sdtPr>
    <w:sdtEndPr/>
    <w:sdtContent>
      <w:p w14:paraId="72941B2C" w14:textId="4EE50FAA" w:rsidR="00A565D3" w:rsidRDefault="00A565D3">
        <w:pPr>
          <w:pStyle w:val="a7"/>
        </w:pPr>
        <w:r>
          <w:fldChar w:fldCharType="begin"/>
        </w:r>
        <w:r>
          <w:instrText>PAGE   \* MERGEFORMAT</w:instrText>
        </w:r>
        <w:r>
          <w:fldChar w:fldCharType="separate"/>
        </w:r>
        <w:r>
          <w:rPr>
            <w:lang w:val="ja-JP" w:eastAsia="ja-JP"/>
          </w:rPr>
          <w:t>2</w:t>
        </w:r>
        <w:r>
          <w:fldChar w:fldCharType="end"/>
        </w:r>
      </w:p>
    </w:sdtContent>
  </w:sdt>
  <w:p w14:paraId="63183E24" w14:textId="77777777" w:rsidR="00A565D3" w:rsidRDefault="00A565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71747" w14:textId="77777777" w:rsidR="0031352D" w:rsidRDefault="0031352D" w:rsidP="00A565D3">
      <w:pPr>
        <w:spacing w:after="0" w:line="240" w:lineRule="auto"/>
      </w:pPr>
      <w:r>
        <w:separator/>
      </w:r>
    </w:p>
  </w:footnote>
  <w:footnote w:type="continuationSeparator" w:id="0">
    <w:p w14:paraId="4169BE1A" w14:textId="77777777" w:rsidR="0031352D" w:rsidRDefault="0031352D" w:rsidP="00A56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EB05E4"/>
    <w:multiLevelType w:val="hybridMultilevel"/>
    <w:tmpl w:val="C13A5BC4"/>
    <w:lvl w:ilvl="0" w:tplc="F0D23DFE">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1972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284"/>
    <w:rsid w:val="000C2A3E"/>
    <w:rsid w:val="001F6911"/>
    <w:rsid w:val="00266A12"/>
    <w:rsid w:val="00273634"/>
    <w:rsid w:val="0028415F"/>
    <w:rsid w:val="002A7576"/>
    <w:rsid w:val="0031352D"/>
    <w:rsid w:val="00451AE3"/>
    <w:rsid w:val="00464627"/>
    <w:rsid w:val="00471659"/>
    <w:rsid w:val="005433D4"/>
    <w:rsid w:val="005C6ECE"/>
    <w:rsid w:val="0061340B"/>
    <w:rsid w:val="00630A6A"/>
    <w:rsid w:val="00692486"/>
    <w:rsid w:val="007C5734"/>
    <w:rsid w:val="007F622C"/>
    <w:rsid w:val="00815D60"/>
    <w:rsid w:val="00846B5B"/>
    <w:rsid w:val="00857E18"/>
    <w:rsid w:val="008D6843"/>
    <w:rsid w:val="00913ADF"/>
    <w:rsid w:val="00976002"/>
    <w:rsid w:val="009B6E70"/>
    <w:rsid w:val="00A11465"/>
    <w:rsid w:val="00A565D3"/>
    <w:rsid w:val="00A86386"/>
    <w:rsid w:val="00AA1695"/>
    <w:rsid w:val="00AB2295"/>
    <w:rsid w:val="00B0209D"/>
    <w:rsid w:val="00B21F31"/>
    <w:rsid w:val="00BB6DAD"/>
    <w:rsid w:val="00D12977"/>
    <w:rsid w:val="00D34696"/>
    <w:rsid w:val="00D54284"/>
    <w:rsid w:val="00D72772"/>
    <w:rsid w:val="00E026CD"/>
    <w:rsid w:val="00E94257"/>
    <w:rsid w:val="00EF38A7"/>
    <w:rsid w:val="00F46C8B"/>
    <w:rsid w:val="00F748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ABB946"/>
  <w15:chartTrackingRefBased/>
  <w15:docId w15:val="{0A985EF2-87CC-4C0E-A435-7D2BC46C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284"/>
    <w:pPr>
      <w:spacing w:after="160" w:line="259"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4284"/>
    <w:rPr>
      <w:color w:val="0563C1" w:themeColor="hyperlink"/>
      <w:u w:val="single"/>
    </w:rPr>
  </w:style>
  <w:style w:type="paragraph" w:styleId="a4">
    <w:name w:val="List Paragraph"/>
    <w:basedOn w:val="a"/>
    <w:uiPriority w:val="52"/>
    <w:qFormat/>
    <w:rsid w:val="00D54284"/>
    <w:pPr>
      <w:widowControl w:val="0"/>
      <w:wordWrap w:val="0"/>
      <w:autoSpaceDE w:val="0"/>
      <w:autoSpaceDN w:val="0"/>
      <w:ind w:left="720"/>
      <w:contextualSpacing/>
    </w:pPr>
    <w:rPr>
      <w:rFonts w:ascii="Calibri" w:eastAsia="Calibri" w:hAnsi="Calibri" w:cs="Calibri"/>
      <w:lang w:val="en-GB" w:eastAsia="zh-CN"/>
    </w:rPr>
  </w:style>
  <w:style w:type="paragraph" w:styleId="a5">
    <w:name w:val="header"/>
    <w:basedOn w:val="a"/>
    <w:link w:val="a6"/>
    <w:uiPriority w:val="99"/>
    <w:unhideWhenUsed/>
    <w:rsid w:val="00A565D3"/>
    <w:pPr>
      <w:tabs>
        <w:tab w:val="center" w:pos="4252"/>
        <w:tab w:val="right" w:pos="8504"/>
      </w:tabs>
      <w:snapToGrid w:val="0"/>
    </w:pPr>
  </w:style>
  <w:style w:type="character" w:customStyle="1" w:styleId="a6">
    <w:name w:val="ヘッダー (文字)"/>
    <w:basedOn w:val="a0"/>
    <w:link w:val="a5"/>
    <w:uiPriority w:val="99"/>
    <w:rsid w:val="00A565D3"/>
    <w:rPr>
      <w:kern w:val="0"/>
      <w:sz w:val="22"/>
      <w:lang w:eastAsia="en-US"/>
    </w:rPr>
  </w:style>
  <w:style w:type="paragraph" w:styleId="a7">
    <w:name w:val="footer"/>
    <w:basedOn w:val="a"/>
    <w:link w:val="a8"/>
    <w:uiPriority w:val="99"/>
    <w:unhideWhenUsed/>
    <w:rsid w:val="00A565D3"/>
    <w:pPr>
      <w:tabs>
        <w:tab w:val="center" w:pos="4252"/>
        <w:tab w:val="right" w:pos="8504"/>
      </w:tabs>
      <w:snapToGrid w:val="0"/>
    </w:pPr>
  </w:style>
  <w:style w:type="character" w:customStyle="1" w:styleId="a8">
    <w:name w:val="フッター (文字)"/>
    <w:basedOn w:val="a0"/>
    <w:link w:val="a7"/>
    <w:uiPriority w:val="99"/>
    <w:rsid w:val="00A565D3"/>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idity@validity.ng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alidity.ng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43A92-97AD-42EE-AA93-8E35073C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635</Words>
  <Characters>3625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cp:lastPrinted>2023-07-03T03:51:00Z</cp:lastPrinted>
  <dcterms:created xsi:type="dcterms:W3CDTF">2024-03-04T04:37:00Z</dcterms:created>
  <dcterms:modified xsi:type="dcterms:W3CDTF">2024-03-04T04:37:00Z</dcterms:modified>
</cp:coreProperties>
</file>