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5104" w14:textId="07CDD12F" w:rsidR="009C2EF4" w:rsidRDefault="009C2EF4" w:rsidP="009C2EF4">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66</w:t>
      </w:r>
    </w:p>
    <w:p w14:paraId="69466F3B" w14:textId="77777777" w:rsidR="00327038" w:rsidRPr="009C2EF4" w:rsidRDefault="00327038" w:rsidP="007C2204">
      <w:pPr>
        <w:rPr>
          <w:rFonts w:ascii="ＭＳ Ｐゴシック" w:eastAsia="ＭＳ Ｐゴシック" w:hAnsi="ＭＳ Ｐゴシック"/>
          <w:b/>
          <w:bCs/>
          <w:sz w:val="24"/>
          <w:szCs w:val="24"/>
        </w:rPr>
      </w:pPr>
    </w:p>
    <w:p w14:paraId="66C89515" w14:textId="67880C22" w:rsidR="007C2204" w:rsidRPr="00327038" w:rsidRDefault="002B787A" w:rsidP="007C2204">
      <w:pPr>
        <w:rPr>
          <w:rFonts w:ascii="ＭＳ Ｐゴシック" w:eastAsia="ＭＳ Ｐゴシック" w:hAnsi="ＭＳ Ｐゴシック"/>
          <w:b/>
          <w:bCs/>
          <w:sz w:val="24"/>
          <w:szCs w:val="24"/>
        </w:rPr>
      </w:pPr>
      <w:r w:rsidRPr="00327038">
        <w:rPr>
          <w:rFonts w:ascii="ＭＳ Ｐゴシック" w:eastAsia="ＭＳ Ｐゴシック" w:hAnsi="ＭＳ Ｐゴシック" w:hint="eastAsia"/>
          <w:b/>
          <w:bCs/>
          <w:sz w:val="24"/>
          <w:szCs w:val="24"/>
        </w:rPr>
        <w:t>リトアニア共和国</w:t>
      </w:r>
    </w:p>
    <w:p w14:paraId="6212DADB" w14:textId="037D9406" w:rsidR="007C2204" w:rsidRPr="00327038" w:rsidRDefault="007C2204" w:rsidP="007C2204">
      <w:pPr>
        <w:rPr>
          <w:rFonts w:ascii="ＭＳ Ｐゴシック" w:eastAsia="ＭＳ Ｐゴシック" w:hAnsi="ＭＳ Ｐゴシック"/>
          <w:b/>
          <w:bCs/>
          <w:sz w:val="24"/>
          <w:szCs w:val="24"/>
        </w:rPr>
      </w:pPr>
      <w:r w:rsidRPr="00327038">
        <w:rPr>
          <w:rFonts w:ascii="ＭＳ Ｐゴシック" w:eastAsia="ＭＳ Ｐゴシック" w:hAnsi="ＭＳ Ｐゴシック" w:hint="eastAsia"/>
          <w:b/>
          <w:bCs/>
          <w:sz w:val="24"/>
          <w:szCs w:val="24"/>
        </w:rPr>
        <w:t>緊急時を含む脱施設化に関するガイドライン案についての意見提出</w:t>
      </w:r>
    </w:p>
    <w:p w14:paraId="63A80C34" w14:textId="34BBC31E" w:rsidR="007C2204" w:rsidRPr="00327038" w:rsidRDefault="007C2204" w:rsidP="007C2204">
      <w:pPr>
        <w:rPr>
          <w:rFonts w:ascii="ＭＳ Ｐゴシック" w:eastAsia="ＭＳ Ｐゴシック" w:hAnsi="ＭＳ Ｐゴシック"/>
          <w:b/>
          <w:bCs/>
          <w:sz w:val="24"/>
          <w:szCs w:val="24"/>
        </w:rPr>
      </w:pPr>
      <w:r w:rsidRPr="00327038">
        <w:rPr>
          <w:rFonts w:ascii="ＭＳ Ｐゴシック" w:eastAsia="ＭＳ Ｐゴシック" w:hAnsi="ＭＳ Ｐゴシック" w:hint="eastAsia"/>
          <w:b/>
          <w:bCs/>
          <w:sz w:val="24"/>
          <w:szCs w:val="24"/>
        </w:rPr>
        <w:t>（障害者権利委員会宛て）</w:t>
      </w:r>
    </w:p>
    <w:p w14:paraId="7C132554" w14:textId="77777777" w:rsidR="002B787A" w:rsidRPr="00327038" w:rsidRDefault="002B787A" w:rsidP="002B787A">
      <w:pPr>
        <w:jc w:val="left"/>
        <w:rPr>
          <w:szCs w:val="21"/>
        </w:rPr>
      </w:pPr>
    </w:p>
    <w:p w14:paraId="463AD43F" w14:textId="77777777" w:rsidR="002B787A" w:rsidRPr="00327038" w:rsidRDefault="002B787A" w:rsidP="002B787A">
      <w:pPr>
        <w:spacing w:line="276" w:lineRule="auto"/>
        <w:jc w:val="left"/>
        <w:rPr>
          <w:b/>
          <w:bCs/>
          <w:szCs w:val="21"/>
          <w:lang w:eastAsia="en-GB"/>
        </w:rPr>
      </w:pPr>
      <w:r w:rsidRPr="00327038">
        <w:rPr>
          <w:b/>
          <w:bCs/>
          <w:szCs w:val="21"/>
        </w:rPr>
        <w:t xml:space="preserve">Written submissions by the Republic of Lithuania </w:t>
      </w:r>
      <w:r w:rsidRPr="00327038">
        <w:rPr>
          <w:b/>
          <w:szCs w:val="21"/>
          <w:lang w:eastAsia="en-GB"/>
        </w:rPr>
        <w:t xml:space="preserve">on the </w:t>
      </w:r>
      <w:r w:rsidRPr="00327038">
        <w:rPr>
          <w:b/>
          <w:bCs/>
          <w:szCs w:val="21"/>
          <w:lang w:eastAsia="en-GB"/>
        </w:rPr>
        <w:t>Draft Guidelines on Deinstitutionalization, including in emergencies</w:t>
      </w:r>
    </w:p>
    <w:p w14:paraId="59ED5FE2" w14:textId="77777777" w:rsidR="002B787A" w:rsidRPr="00327038" w:rsidRDefault="002B787A" w:rsidP="002B787A">
      <w:pPr>
        <w:spacing w:line="276" w:lineRule="auto"/>
        <w:jc w:val="left"/>
        <w:rPr>
          <w:b/>
          <w:bCs/>
          <w:szCs w:val="21"/>
        </w:rPr>
      </w:pPr>
      <w:r w:rsidRPr="00327038">
        <w:rPr>
          <w:b/>
          <w:szCs w:val="21"/>
          <w:lang w:eastAsia="en-GB"/>
        </w:rPr>
        <w:t>to the United Nations Committee on the Rights of Persons with Disabilities</w:t>
      </w:r>
    </w:p>
    <w:p w14:paraId="65A12BBA" w14:textId="77777777" w:rsidR="002B787A" w:rsidRPr="00327038" w:rsidRDefault="002B787A" w:rsidP="002B787A">
      <w:pPr>
        <w:jc w:val="left"/>
        <w:rPr>
          <w:szCs w:val="21"/>
        </w:rPr>
      </w:pPr>
    </w:p>
    <w:p w14:paraId="553A8DDF" w14:textId="524671ED" w:rsidR="002B787A" w:rsidRPr="00327038" w:rsidRDefault="002B787A" w:rsidP="002B787A">
      <w:pPr>
        <w:jc w:val="left"/>
        <w:rPr>
          <w:b/>
          <w:bCs/>
          <w:szCs w:val="21"/>
          <w:u w:val="single"/>
        </w:rPr>
      </w:pPr>
      <w:r w:rsidRPr="00327038">
        <w:rPr>
          <w:rFonts w:hint="eastAsia"/>
          <w:b/>
          <w:bCs/>
          <w:szCs w:val="21"/>
          <w:u w:val="single"/>
        </w:rPr>
        <w:t>全般的な意見</w:t>
      </w:r>
      <w:r w:rsidRPr="00327038">
        <w:rPr>
          <w:b/>
          <w:bCs/>
          <w:szCs w:val="21"/>
          <w:u w:val="single"/>
        </w:rPr>
        <w:t xml:space="preserve"> </w:t>
      </w:r>
    </w:p>
    <w:p w14:paraId="426179E1" w14:textId="7A9523D7" w:rsidR="002B787A" w:rsidRPr="00327038" w:rsidRDefault="002B787A" w:rsidP="002B787A">
      <w:pPr>
        <w:ind w:firstLineChars="100" w:firstLine="210"/>
        <w:jc w:val="left"/>
        <w:rPr>
          <w:szCs w:val="21"/>
        </w:rPr>
      </w:pPr>
      <w:r w:rsidRPr="00327038">
        <w:rPr>
          <w:szCs w:val="21"/>
        </w:rPr>
        <w:t>一般人口の</w:t>
      </w:r>
      <w:r w:rsidR="00253F6B" w:rsidRPr="00327038">
        <w:rPr>
          <w:rFonts w:hint="eastAsia"/>
          <w:szCs w:val="21"/>
        </w:rPr>
        <w:t>中の</w:t>
      </w:r>
      <w:r w:rsidRPr="00327038">
        <w:rPr>
          <w:szCs w:val="21"/>
        </w:rPr>
        <w:t>高齢人口が増加していることを考慮すると、ガイドラインは、高齢障害者</w:t>
      </w:r>
      <w:r w:rsidR="00253F6B" w:rsidRPr="00327038">
        <w:rPr>
          <w:rFonts w:hint="eastAsia"/>
          <w:szCs w:val="21"/>
        </w:rPr>
        <w:t>の</w:t>
      </w:r>
      <w:r w:rsidRPr="00327038">
        <w:rPr>
          <w:szCs w:val="21"/>
        </w:rPr>
        <w:t>脱施設化の</w:t>
      </w:r>
      <w:r w:rsidR="009E5B71" w:rsidRPr="00327038">
        <w:rPr>
          <w:rFonts w:hint="eastAsia"/>
          <w:szCs w:val="21"/>
        </w:rPr>
        <w:t>意義</w:t>
      </w:r>
      <w:r w:rsidRPr="00327038">
        <w:rPr>
          <w:szCs w:val="21"/>
        </w:rPr>
        <w:t>に対する特別な注意を欠いている。</w:t>
      </w:r>
    </w:p>
    <w:p w14:paraId="7FC84178" w14:textId="77777777" w:rsidR="002B787A" w:rsidRPr="00327038" w:rsidRDefault="002B787A" w:rsidP="002B787A">
      <w:pPr>
        <w:ind w:firstLine="1296"/>
        <w:rPr>
          <w:szCs w:val="24"/>
        </w:rPr>
      </w:pPr>
    </w:p>
    <w:p w14:paraId="2CCECBBE" w14:textId="2AF0DBE4" w:rsidR="002B787A" w:rsidRPr="00327038" w:rsidRDefault="002B787A" w:rsidP="002B787A">
      <w:pPr>
        <w:jc w:val="left"/>
        <w:rPr>
          <w:szCs w:val="21"/>
        </w:rPr>
      </w:pPr>
      <w:r w:rsidRPr="00327038">
        <w:rPr>
          <w:szCs w:val="21"/>
        </w:rPr>
        <w:t>II. 施設</w:t>
      </w:r>
      <w:r w:rsidR="00253F6B" w:rsidRPr="00327038">
        <w:rPr>
          <w:rFonts w:hint="eastAsia"/>
          <w:szCs w:val="21"/>
        </w:rPr>
        <w:t>収容</w:t>
      </w:r>
      <w:r w:rsidR="00B5727A" w:rsidRPr="00327038">
        <w:rPr>
          <w:rFonts w:hint="eastAsia"/>
          <w:szCs w:val="21"/>
        </w:rPr>
        <w:t>を終わらす</w:t>
      </w:r>
      <w:r w:rsidRPr="00327038">
        <w:rPr>
          <w:szCs w:val="21"/>
        </w:rPr>
        <w:t>義務</w:t>
      </w:r>
    </w:p>
    <w:p w14:paraId="146B0414" w14:textId="05DA3EC7" w:rsidR="002B787A" w:rsidRPr="00327038" w:rsidRDefault="002B787A" w:rsidP="002B787A">
      <w:pPr>
        <w:jc w:val="left"/>
        <w:rPr>
          <w:szCs w:val="21"/>
        </w:rPr>
      </w:pPr>
      <w:r w:rsidRPr="00327038">
        <w:rPr>
          <w:szCs w:val="21"/>
        </w:rPr>
        <w:t>5. 委員会は、施設収容のプロセスは条約に準拠しておらず、場合によっては長期にわたって</w:t>
      </w:r>
      <w:r w:rsidR="00253F6B" w:rsidRPr="00327038">
        <w:rPr>
          <w:rFonts w:hint="eastAsia"/>
          <w:szCs w:val="21"/>
        </w:rPr>
        <w:t>遵守違反</w:t>
      </w:r>
      <w:r w:rsidRPr="00327038">
        <w:rPr>
          <w:szCs w:val="21"/>
        </w:rPr>
        <w:t>となっていることを確認している。</w:t>
      </w:r>
      <w:r w:rsidRPr="00327038">
        <w:rPr>
          <w:b/>
          <w:bCs/>
          <w:szCs w:val="21"/>
        </w:rPr>
        <w:t>脱施設化のプロセスには、地域社会で良質なケアが受けられるようにする長期的な戦略が必要であるため、脱施設化プロセスで与えられる支援が適切であることを保証するために、適切な監視メカニズムを導入しなければならない。これには、各締約国のオンブズパースンが重要な役割を果たすことができる。</w:t>
      </w:r>
    </w:p>
    <w:p w14:paraId="182099BC" w14:textId="77777777" w:rsidR="002B787A" w:rsidRPr="00327038" w:rsidRDefault="002B787A" w:rsidP="002B787A">
      <w:pPr>
        <w:ind w:firstLine="1296"/>
        <w:rPr>
          <w:szCs w:val="24"/>
        </w:rPr>
      </w:pPr>
    </w:p>
    <w:p w14:paraId="3CBDFCEC" w14:textId="77777777" w:rsidR="002B787A" w:rsidRPr="00327038" w:rsidRDefault="002B787A" w:rsidP="002B787A">
      <w:pPr>
        <w:jc w:val="left"/>
        <w:rPr>
          <w:szCs w:val="21"/>
        </w:rPr>
      </w:pPr>
      <w:r w:rsidRPr="00327038">
        <w:rPr>
          <w:szCs w:val="21"/>
        </w:rPr>
        <w:t>III. 脱施設化プロセスの重要な要素の理解と実施</w:t>
      </w:r>
    </w:p>
    <w:p w14:paraId="5F9CCEE3" w14:textId="77777777" w:rsidR="002B787A" w:rsidRPr="00327038" w:rsidRDefault="002B787A" w:rsidP="002B787A">
      <w:pPr>
        <w:jc w:val="left"/>
        <w:rPr>
          <w:szCs w:val="21"/>
        </w:rPr>
      </w:pPr>
      <w:r w:rsidRPr="00327038">
        <w:rPr>
          <w:rFonts w:hint="eastAsia"/>
          <w:szCs w:val="21"/>
        </w:rPr>
        <w:t>脱施設化プロセス</w:t>
      </w:r>
    </w:p>
    <w:p w14:paraId="1DB9BC8C" w14:textId="2E1487D4" w:rsidR="002B787A" w:rsidRPr="00327038" w:rsidRDefault="002B787A" w:rsidP="002B787A">
      <w:pPr>
        <w:jc w:val="left"/>
        <w:rPr>
          <w:szCs w:val="21"/>
        </w:rPr>
      </w:pPr>
      <w:r w:rsidRPr="00327038">
        <w:rPr>
          <w:szCs w:val="21"/>
        </w:rPr>
        <w:t>17. 脱施設化は、障害者がどのように、どこで、誰と暮らすかについて、自律、選択、管理権を回復することに焦点を当て</w:t>
      </w:r>
      <w:r w:rsidR="00FD4230" w:rsidRPr="00327038">
        <w:rPr>
          <w:rFonts w:hint="eastAsia"/>
          <w:szCs w:val="21"/>
        </w:rPr>
        <w:t>た</w:t>
      </w:r>
      <w:r w:rsidRPr="00327038">
        <w:rPr>
          <w:szCs w:val="21"/>
        </w:rPr>
        <w:t>、相互に関連したプロセスから構成される。</w:t>
      </w:r>
      <w:r w:rsidRPr="00327038">
        <w:rPr>
          <w:b/>
          <w:bCs/>
          <w:szCs w:val="21"/>
        </w:rPr>
        <w:t>政策の主眼は、施設を閉鎖することよりも、地域社会で暮らす障害者のニーズを満たすために地域社会を準備することであるべきである。このことは、脱施設化政策を最近開始した、あるいは開始する予定の国々においては特に重要である。また、人口動態が変化していく中で、地域社会モデルの持続可能性や維持に課題を抱えている国にとっても重要である。</w:t>
      </w:r>
    </w:p>
    <w:p w14:paraId="28585592" w14:textId="77777777" w:rsidR="002B787A" w:rsidRPr="00327038" w:rsidRDefault="002B787A" w:rsidP="002B787A">
      <w:pPr>
        <w:ind w:firstLine="1296"/>
        <w:rPr>
          <w:szCs w:val="24"/>
        </w:rPr>
      </w:pPr>
    </w:p>
    <w:p w14:paraId="4E4063D6" w14:textId="77777777" w:rsidR="002B787A" w:rsidRPr="00327038" w:rsidRDefault="002B787A" w:rsidP="002B787A">
      <w:pPr>
        <w:jc w:val="left"/>
        <w:rPr>
          <w:szCs w:val="21"/>
        </w:rPr>
      </w:pPr>
      <w:r w:rsidRPr="00327038">
        <w:rPr>
          <w:szCs w:val="21"/>
        </w:rPr>
        <w:t xml:space="preserve">IV. 本人中心の差別化されたアプローチに基づく脱施設化 </w:t>
      </w:r>
    </w:p>
    <w:p w14:paraId="1742F4DE" w14:textId="77777777" w:rsidR="002B787A" w:rsidRPr="00327038" w:rsidRDefault="002B787A" w:rsidP="002B787A">
      <w:pPr>
        <w:jc w:val="left"/>
        <w:rPr>
          <w:szCs w:val="21"/>
        </w:rPr>
      </w:pPr>
      <w:r w:rsidRPr="00327038">
        <w:rPr>
          <w:rFonts w:hint="eastAsia"/>
          <w:szCs w:val="21"/>
        </w:rPr>
        <w:t>障害のある子ども</w:t>
      </w:r>
      <w:r w:rsidRPr="00327038">
        <w:rPr>
          <w:rFonts w:hint="eastAsia"/>
          <w:b/>
          <w:bCs/>
          <w:szCs w:val="21"/>
        </w:rPr>
        <w:t>と若者</w:t>
      </w:r>
    </w:p>
    <w:p w14:paraId="7EB8A03E" w14:textId="666FD18D" w:rsidR="002B787A" w:rsidRPr="00327038" w:rsidRDefault="002B787A" w:rsidP="002B787A">
      <w:pPr>
        <w:jc w:val="left"/>
        <w:rPr>
          <w:szCs w:val="21"/>
        </w:rPr>
      </w:pPr>
      <w:r w:rsidRPr="00327038">
        <w:rPr>
          <w:szCs w:val="21"/>
        </w:rPr>
        <w:t>42. 障害のある子どもにとって、脱施設化は、</w:t>
      </w:r>
      <w:r w:rsidRPr="00327038">
        <w:rPr>
          <w:b/>
          <w:bCs/>
          <w:szCs w:val="21"/>
        </w:rPr>
        <w:t>子どもの最善の利益に焦点を当て</w:t>
      </w:r>
      <w:r w:rsidRPr="00327038">
        <w:rPr>
          <w:szCs w:val="21"/>
        </w:rPr>
        <w:t>、家族生活の権利の保護に向けられるべきである。子どもにとって、地域社会</w:t>
      </w:r>
      <w:r w:rsidR="00FD4230" w:rsidRPr="00327038">
        <w:rPr>
          <w:rFonts w:hint="eastAsia"/>
          <w:szCs w:val="21"/>
        </w:rPr>
        <w:t>への包摂の</w:t>
      </w:r>
      <w:r w:rsidRPr="00327038">
        <w:rPr>
          <w:szCs w:val="21"/>
        </w:rPr>
        <w:t>権利の中核は、</w:t>
      </w:r>
      <w:r w:rsidR="00034BAC" w:rsidRPr="00327038">
        <w:rPr>
          <w:rFonts w:hint="eastAsia"/>
          <w:b/>
          <w:bCs/>
          <w:szCs w:val="21"/>
        </w:rPr>
        <w:t>面倒見</w:t>
      </w:r>
      <w:r w:rsidRPr="00327038">
        <w:rPr>
          <w:b/>
          <w:bCs/>
          <w:szCs w:val="21"/>
        </w:rPr>
        <w:t>の</w:t>
      </w:r>
      <w:r w:rsidR="00327038" w:rsidRPr="00327038">
        <w:rPr>
          <w:rFonts w:hint="eastAsia"/>
          <w:b/>
          <w:bCs/>
          <w:szCs w:val="21"/>
        </w:rPr>
        <w:t>よい</w:t>
      </w:r>
      <w:r w:rsidRPr="00327038">
        <w:rPr>
          <w:szCs w:val="21"/>
        </w:rPr>
        <w:t>家族の中で</w:t>
      </w:r>
      <w:r w:rsidRPr="00327038">
        <w:rPr>
          <w:b/>
          <w:bCs/>
          <w:szCs w:val="21"/>
        </w:rPr>
        <w:t>生活し</w:t>
      </w:r>
      <w:r w:rsidRPr="00327038">
        <w:rPr>
          <w:szCs w:val="21"/>
        </w:rPr>
        <w:t>、成長する権利</w:t>
      </w:r>
      <w:r w:rsidR="00FD4230" w:rsidRPr="00327038">
        <w:rPr>
          <w:rFonts w:hint="eastAsia"/>
          <w:szCs w:val="21"/>
        </w:rPr>
        <w:t>である</w:t>
      </w:r>
      <w:r w:rsidRPr="00327038">
        <w:rPr>
          <w:szCs w:val="21"/>
        </w:rPr>
        <w:t>。</w:t>
      </w:r>
      <w:r w:rsidR="00945683" w:rsidRPr="00327038">
        <w:rPr>
          <w:rFonts w:hint="eastAsia"/>
          <w:szCs w:val="21"/>
        </w:rPr>
        <w:t>つまり</w:t>
      </w:r>
      <w:r w:rsidRPr="00327038">
        <w:rPr>
          <w:szCs w:val="21"/>
        </w:rPr>
        <w:t>、子どもにとって「施設」とは、家庭を基盤としないすべての居場所のことを指す。大規模または小規模の</w:t>
      </w:r>
      <w:r w:rsidRPr="00327038">
        <w:rPr>
          <w:szCs w:val="21"/>
        </w:rPr>
        <w:lastRenderedPageBreak/>
        <w:t>グループホームへの入所は、子どもたちにとって特に危険である。収容施設制度を維持することを正当化したり、締約国に奨励したりする国際基準は、条約と整合しておらず、</w:t>
      </w:r>
      <w:r w:rsidR="00BA3FFB" w:rsidRPr="00327038">
        <w:rPr>
          <w:rFonts w:hint="eastAsia"/>
          <w:szCs w:val="21"/>
        </w:rPr>
        <w:t>修正</w:t>
      </w:r>
      <w:r w:rsidRPr="00327038">
        <w:rPr>
          <w:szCs w:val="21"/>
        </w:rPr>
        <w:t>されるべきである</w:t>
      </w:r>
      <w:r w:rsidRPr="00327038">
        <w:rPr>
          <w:rFonts w:hint="eastAsia"/>
          <w:szCs w:val="21"/>
        </w:rPr>
        <w:t>。国際基準の調和は、障害のある子どもの</w:t>
      </w:r>
      <w:r w:rsidRPr="00327038">
        <w:rPr>
          <w:rFonts w:hint="eastAsia"/>
          <w:b/>
          <w:bCs/>
          <w:szCs w:val="21"/>
        </w:rPr>
        <w:t>権利</w:t>
      </w:r>
      <w:r w:rsidRPr="00327038">
        <w:rPr>
          <w:rFonts w:hint="eastAsia"/>
          <w:szCs w:val="21"/>
        </w:rPr>
        <w:t>保護に不可欠である。</w:t>
      </w:r>
    </w:p>
    <w:p w14:paraId="6BD4ABCF" w14:textId="77777777" w:rsidR="002B787A" w:rsidRPr="00327038" w:rsidRDefault="002B787A" w:rsidP="002B787A">
      <w:pPr>
        <w:ind w:firstLine="1296"/>
        <w:rPr>
          <w:szCs w:val="24"/>
        </w:rPr>
      </w:pPr>
    </w:p>
    <w:p w14:paraId="5AC8890E" w14:textId="6D794BB2" w:rsidR="002B787A" w:rsidRPr="00327038" w:rsidRDefault="002B787A" w:rsidP="002B787A">
      <w:pPr>
        <w:jc w:val="left"/>
        <w:rPr>
          <w:szCs w:val="21"/>
        </w:rPr>
      </w:pPr>
      <w:r w:rsidRPr="00327038">
        <w:rPr>
          <w:szCs w:val="21"/>
        </w:rPr>
        <w:t xml:space="preserve">44. </w:t>
      </w:r>
      <w:r w:rsidR="00BA3FFB" w:rsidRPr="00327038">
        <w:rPr>
          <w:rFonts w:hint="eastAsia"/>
          <w:szCs w:val="21"/>
        </w:rPr>
        <w:t>実際の</w:t>
      </w:r>
      <w:r w:rsidRPr="00327038">
        <w:rPr>
          <w:szCs w:val="21"/>
        </w:rPr>
        <w:t>障害</w:t>
      </w:r>
      <w:r w:rsidR="00BA3FFB" w:rsidRPr="00327038">
        <w:rPr>
          <w:rFonts w:hint="eastAsia"/>
          <w:szCs w:val="21"/>
        </w:rPr>
        <w:t>またはあると推定された障害、</w:t>
      </w:r>
      <w:r w:rsidRPr="00327038">
        <w:rPr>
          <w:szCs w:val="21"/>
        </w:rPr>
        <w:t>貧困、民族、その他の社会的</w:t>
      </w:r>
      <w:r w:rsidR="00BA3FFB" w:rsidRPr="00327038">
        <w:rPr>
          <w:rFonts w:hint="eastAsia"/>
          <w:szCs w:val="21"/>
        </w:rPr>
        <w:t>属性</w:t>
      </w:r>
      <w:r w:rsidRPr="00327038">
        <w:rPr>
          <w:szCs w:val="21"/>
        </w:rPr>
        <w:t>に基づいて施設に収容された子ども</w:t>
      </w:r>
      <w:r w:rsidRPr="00327038">
        <w:rPr>
          <w:b/>
          <w:bCs/>
          <w:szCs w:val="21"/>
        </w:rPr>
        <w:t>や若者</w:t>
      </w:r>
      <w:r w:rsidRPr="00327038">
        <w:rPr>
          <w:szCs w:val="21"/>
        </w:rPr>
        <w:t>は、施設収容が原因で</w:t>
      </w:r>
      <w:r w:rsidR="00BA3FFB" w:rsidRPr="00327038">
        <w:rPr>
          <w:rFonts w:hint="eastAsia"/>
          <w:szCs w:val="21"/>
        </w:rPr>
        <w:t>機能</w:t>
      </w:r>
      <w:r w:rsidRPr="00327038">
        <w:rPr>
          <w:szCs w:val="21"/>
        </w:rPr>
        <w:t>障害を発症する可能性が高い。したがって、障害のある子どもと家族に対する支援は、すべての子どもに対する</w:t>
      </w:r>
      <w:r w:rsidR="00945683" w:rsidRPr="00327038">
        <w:rPr>
          <w:rFonts w:hint="eastAsia"/>
          <w:szCs w:val="21"/>
        </w:rPr>
        <w:t>メインストリーム</w:t>
      </w:r>
      <w:r w:rsidRPr="00327038">
        <w:rPr>
          <w:szCs w:val="21"/>
        </w:rPr>
        <w:t>の支援</w:t>
      </w:r>
      <w:r w:rsidR="00BA3FFB" w:rsidRPr="00327038">
        <w:rPr>
          <w:rFonts w:hint="eastAsia"/>
          <w:szCs w:val="21"/>
        </w:rPr>
        <w:t>の中で行われるべき</w:t>
      </w:r>
      <w:r w:rsidRPr="00327038">
        <w:rPr>
          <w:szCs w:val="21"/>
        </w:rPr>
        <w:t>である。子どもや青少年に対するピアサポートは、</w:t>
      </w:r>
      <w:r w:rsidR="00BA3FFB" w:rsidRPr="00327038">
        <w:rPr>
          <w:rFonts w:hint="eastAsia"/>
          <w:szCs w:val="21"/>
        </w:rPr>
        <w:t>地域社会</w:t>
      </w:r>
      <w:r w:rsidRPr="00327038">
        <w:rPr>
          <w:szCs w:val="21"/>
        </w:rPr>
        <w:t>への完全な包摂のために不可欠である。</w:t>
      </w:r>
    </w:p>
    <w:p w14:paraId="13519C93" w14:textId="77777777" w:rsidR="00EE153E" w:rsidRDefault="00EE153E" w:rsidP="002B787A">
      <w:pPr>
        <w:jc w:val="left"/>
        <w:rPr>
          <w:szCs w:val="24"/>
        </w:rPr>
      </w:pPr>
    </w:p>
    <w:p w14:paraId="3EF470DB" w14:textId="0ECE16E9" w:rsidR="002B787A" w:rsidRPr="00327038" w:rsidRDefault="002B787A" w:rsidP="002B787A">
      <w:pPr>
        <w:jc w:val="left"/>
        <w:rPr>
          <w:szCs w:val="21"/>
        </w:rPr>
      </w:pPr>
      <w:r w:rsidRPr="00327038">
        <w:rPr>
          <w:szCs w:val="21"/>
        </w:rPr>
        <w:t>XII. 国際協力</w:t>
      </w:r>
    </w:p>
    <w:p w14:paraId="04B9B63C" w14:textId="7A82E82F" w:rsidR="002B787A" w:rsidRPr="00327038" w:rsidRDefault="002B787A" w:rsidP="002B787A">
      <w:pPr>
        <w:jc w:val="left"/>
        <w:rPr>
          <w:szCs w:val="21"/>
        </w:rPr>
      </w:pPr>
      <w:r w:rsidRPr="00327038">
        <w:rPr>
          <w:szCs w:val="21"/>
        </w:rPr>
        <w:t xml:space="preserve">137. </w:t>
      </w:r>
      <w:r w:rsidRPr="00327038">
        <w:rPr>
          <w:b/>
          <w:bCs/>
          <w:szCs w:val="21"/>
        </w:rPr>
        <w:t>障害者に適切なケアと地域に根ざしたサービスを提供する国々を支援するために、施設サービス提供の再構築のための資金提供や</w:t>
      </w:r>
      <w:r w:rsidR="00BA3FFB" w:rsidRPr="00327038">
        <w:rPr>
          <w:rFonts w:hint="eastAsia"/>
          <w:b/>
          <w:bCs/>
          <w:szCs w:val="21"/>
        </w:rPr>
        <w:t>保険</w:t>
      </w:r>
      <w:r w:rsidRPr="00327038">
        <w:rPr>
          <w:b/>
          <w:bCs/>
          <w:szCs w:val="21"/>
        </w:rPr>
        <w:t>を含め、さらに多くのことがなされるべきである。</w:t>
      </w:r>
      <w:r w:rsidRPr="00327038">
        <w:rPr>
          <w:szCs w:val="21"/>
        </w:rPr>
        <w:t>国際協力は、脱施設化</w:t>
      </w:r>
      <w:r w:rsidR="00554BFC" w:rsidRPr="00327038">
        <w:rPr>
          <w:rFonts w:hint="eastAsia"/>
          <w:szCs w:val="21"/>
        </w:rPr>
        <w:t>の</w:t>
      </w:r>
      <w:r w:rsidRPr="00327038">
        <w:rPr>
          <w:szCs w:val="21"/>
        </w:rPr>
        <w:t>改革を支援する鍵である。国際協力による支出は、条約を完全に遵守すべきである。緊急対応投資や小規模施設を含む、いかなる形態の施設化に対する投資も、「漸進的</w:t>
      </w:r>
      <w:r w:rsidR="00554BFC" w:rsidRPr="00327038">
        <w:rPr>
          <w:rFonts w:hint="eastAsia"/>
          <w:szCs w:val="21"/>
        </w:rPr>
        <w:t>実施</w:t>
      </w:r>
      <w:r w:rsidRPr="00327038">
        <w:rPr>
          <w:szCs w:val="21"/>
        </w:rPr>
        <w:t>」として提示されたとしても、条約に準拠していない。</w:t>
      </w:r>
    </w:p>
    <w:p w14:paraId="340E862A" w14:textId="77777777" w:rsidR="002B787A" w:rsidRPr="00327038" w:rsidRDefault="002B787A" w:rsidP="002B787A">
      <w:pPr>
        <w:jc w:val="left"/>
        <w:rPr>
          <w:szCs w:val="21"/>
        </w:rPr>
      </w:pPr>
    </w:p>
    <w:p w14:paraId="5BE0ABDB" w14:textId="29FFE92E" w:rsidR="002B787A" w:rsidRPr="00327038" w:rsidRDefault="002B787A" w:rsidP="002B787A">
      <w:pPr>
        <w:jc w:val="right"/>
        <w:rPr>
          <w:szCs w:val="21"/>
        </w:rPr>
      </w:pPr>
      <w:r w:rsidRPr="00327038">
        <w:rPr>
          <w:rFonts w:hint="eastAsia"/>
          <w:szCs w:val="21"/>
        </w:rPr>
        <w:t>（翻訳：佐藤久夫、</w:t>
      </w:r>
      <w:r w:rsidR="00327038" w:rsidRPr="00327038">
        <w:rPr>
          <w:rFonts w:hint="eastAsia"/>
          <w:szCs w:val="21"/>
        </w:rPr>
        <w:t>尾上裕介</w:t>
      </w:r>
      <w:r w:rsidRPr="00327038">
        <w:rPr>
          <w:rFonts w:hint="eastAsia"/>
          <w:szCs w:val="21"/>
        </w:rPr>
        <w:t>）</w:t>
      </w:r>
    </w:p>
    <w:sectPr w:rsidR="002B787A" w:rsidRPr="0032703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D77A1" w14:textId="77777777" w:rsidR="002B787A" w:rsidRDefault="002B787A" w:rsidP="002B787A">
      <w:r>
        <w:separator/>
      </w:r>
    </w:p>
  </w:endnote>
  <w:endnote w:type="continuationSeparator" w:id="0">
    <w:p w14:paraId="0D7F3672" w14:textId="77777777" w:rsidR="002B787A" w:rsidRDefault="002B787A" w:rsidP="002B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175782"/>
      <w:docPartObj>
        <w:docPartGallery w:val="Page Numbers (Bottom of Page)"/>
        <w:docPartUnique/>
      </w:docPartObj>
    </w:sdtPr>
    <w:sdtEndPr/>
    <w:sdtContent>
      <w:p w14:paraId="2B67F9D6" w14:textId="3F89B6F2" w:rsidR="002B787A" w:rsidRDefault="002B787A">
        <w:pPr>
          <w:pStyle w:val="a5"/>
        </w:pPr>
        <w:r>
          <w:fldChar w:fldCharType="begin"/>
        </w:r>
        <w:r>
          <w:instrText>PAGE   \* MERGEFORMAT</w:instrText>
        </w:r>
        <w:r>
          <w:fldChar w:fldCharType="separate"/>
        </w:r>
        <w:r>
          <w:rPr>
            <w:lang w:val="ja-JP"/>
          </w:rPr>
          <w:t>2</w:t>
        </w:r>
        <w:r>
          <w:fldChar w:fldCharType="end"/>
        </w:r>
      </w:p>
    </w:sdtContent>
  </w:sdt>
  <w:p w14:paraId="7C7CAFC5" w14:textId="77777777" w:rsidR="002B787A" w:rsidRDefault="002B78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282B" w14:textId="77777777" w:rsidR="002B787A" w:rsidRDefault="002B787A" w:rsidP="002B787A">
      <w:r>
        <w:separator/>
      </w:r>
    </w:p>
  </w:footnote>
  <w:footnote w:type="continuationSeparator" w:id="0">
    <w:p w14:paraId="122C580D" w14:textId="77777777" w:rsidR="002B787A" w:rsidRDefault="002B787A" w:rsidP="002B7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7A"/>
    <w:rsid w:val="00034BAC"/>
    <w:rsid w:val="00062211"/>
    <w:rsid w:val="00253F6B"/>
    <w:rsid w:val="002B787A"/>
    <w:rsid w:val="00327038"/>
    <w:rsid w:val="00554BFC"/>
    <w:rsid w:val="006C51BF"/>
    <w:rsid w:val="007C2204"/>
    <w:rsid w:val="00924361"/>
    <w:rsid w:val="00945683"/>
    <w:rsid w:val="009C2EF4"/>
    <w:rsid w:val="009E5B71"/>
    <w:rsid w:val="00A11465"/>
    <w:rsid w:val="00B5727A"/>
    <w:rsid w:val="00BA3FFB"/>
    <w:rsid w:val="00C63374"/>
    <w:rsid w:val="00D21460"/>
    <w:rsid w:val="00EE153E"/>
    <w:rsid w:val="00FD42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A58737"/>
  <w15:chartTrackingRefBased/>
  <w15:docId w15:val="{A7A49876-5D23-40E9-BE6C-BA0262C1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87A"/>
    <w:pPr>
      <w:tabs>
        <w:tab w:val="center" w:pos="4252"/>
        <w:tab w:val="right" w:pos="8504"/>
      </w:tabs>
      <w:snapToGrid w:val="0"/>
    </w:pPr>
  </w:style>
  <w:style w:type="character" w:customStyle="1" w:styleId="a4">
    <w:name w:val="ヘッダー (文字)"/>
    <w:basedOn w:val="a0"/>
    <w:link w:val="a3"/>
    <w:uiPriority w:val="99"/>
    <w:rsid w:val="002B787A"/>
  </w:style>
  <w:style w:type="paragraph" w:styleId="a5">
    <w:name w:val="footer"/>
    <w:basedOn w:val="a"/>
    <w:link w:val="a6"/>
    <w:uiPriority w:val="99"/>
    <w:unhideWhenUsed/>
    <w:rsid w:val="002B787A"/>
    <w:pPr>
      <w:tabs>
        <w:tab w:val="center" w:pos="4252"/>
        <w:tab w:val="right" w:pos="8504"/>
      </w:tabs>
      <w:snapToGrid w:val="0"/>
    </w:pPr>
  </w:style>
  <w:style w:type="character" w:customStyle="1" w:styleId="a6">
    <w:name w:val="フッター (文字)"/>
    <w:basedOn w:val="a0"/>
    <w:link w:val="a5"/>
    <w:uiPriority w:val="99"/>
    <w:rsid w:val="002B7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dcterms:created xsi:type="dcterms:W3CDTF">2024-03-04T10:27:00Z</dcterms:created>
  <dcterms:modified xsi:type="dcterms:W3CDTF">2024-03-04T10:27:00Z</dcterms:modified>
</cp:coreProperties>
</file>