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44A7C" w14:textId="55789815" w:rsidR="00CF3C30" w:rsidRDefault="00CF3C30" w:rsidP="00CF3C30">
      <w:pPr>
        <w:rPr>
          <w:rFonts w:ascii="ＭＳ 明朝" w:eastAsia="ＭＳ 明朝" w:hAnsi="ＭＳ 明朝"/>
          <w:color w:val="0070C0"/>
        </w:rPr>
      </w:pPr>
      <w:r w:rsidRPr="1FE8FFBB">
        <w:rPr>
          <w:rFonts w:ascii="ＭＳ 明朝" w:eastAsia="ＭＳ 明朝" w:hAnsi="ＭＳ 明朝" w:cs="ＭＳ 明朝"/>
          <w:color w:val="0070C0"/>
          <w:sz w:val="22"/>
          <w:lang w:eastAsia="zh-CN"/>
        </w:rPr>
        <w:t>脱施設化ガイドライン案への世界のコメント（2022年6月）　No.</w:t>
      </w:r>
      <w:r>
        <w:rPr>
          <w:rFonts w:ascii="ＭＳ 明朝" w:eastAsia="ＭＳ 明朝" w:hAnsi="ＭＳ 明朝" w:cs="ＭＳ 明朝" w:hint="eastAsia"/>
          <w:color w:val="0070C0"/>
          <w:sz w:val="22"/>
        </w:rPr>
        <w:t>74</w:t>
      </w:r>
    </w:p>
    <w:p w14:paraId="0B54438F" w14:textId="77777777" w:rsidR="00A33502" w:rsidRPr="00CF3C30" w:rsidRDefault="00A33502" w:rsidP="00436BB7">
      <w:pPr>
        <w:rPr>
          <w:rFonts w:ascii="ＭＳ Ｐゴシック" w:eastAsia="ＭＳ Ｐゴシック" w:hAnsi="ＭＳ Ｐゴシック"/>
          <w:b/>
          <w:bCs/>
          <w:sz w:val="24"/>
          <w:szCs w:val="24"/>
        </w:rPr>
      </w:pPr>
    </w:p>
    <w:p w14:paraId="69C5F1A0" w14:textId="30A9A351" w:rsidR="00436BB7" w:rsidRPr="00436BB7" w:rsidRDefault="00436BB7" w:rsidP="00436BB7">
      <w:pPr>
        <w:rPr>
          <w:rFonts w:ascii="ＭＳ Ｐゴシック" w:eastAsia="ＭＳ Ｐゴシック" w:hAnsi="ＭＳ Ｐゴシック"/>
          <w:b/>
          <w:bCs/>
          <w:sz w:val="24"/>
          <w:szCs w:val="24"/>
        </w:rPr>
      </w:pPr>
      <w:r w:rsidRPr="00436BB7">
        <w:rPr>
          <w:rFonts w:ascii="ＭＳ Ｐゴシック" w:eastAsia="ＭＳ Ｐゴシック" w:hAnsi="ＭＳ Ｐゴシック" w:hint="eastAsia"/>
          <w:b/>
          <w:bCs/>
          <w:sz w:val="24"/>
          <w:szCs w:val="24"/>
        </w:rPr>
        <w:t>精神障害者の権利・当事者グループ（</w:t>
      </w:r>
      <w:bookmarkStart w:id="0" w:name="_Hlk150704274"/>
      <w:r w:rsidRPr="00436BB7">
        <w:rPr>
          <w:rFonts w:ascii="ＭＳ Ｐゴシック" w:eastAsia="ＭＳ Ｐゴシック" w:hAnsi="ＭＳ Ｐゴシック"/>
          <w:b/>
          <w:bCs/>
          <w:sz w:val="24"/>
          <w:szCs w:val="24"/>
        </w:rPr>
        <w:t>MDRI-S</w:t>
      </w:r>
      <w:bookmarkEnd w:id="0"/>
      <w:r w:rsidRPr="00436BB7">
        <w:rPr>
          <w:rFonts w:ascii="ＭＳ Ｐゴシック" w:eastAsia="ＭＳ Ｐゴシック" w:hAnsi="ＭＳ Ｐゴシック"/>
          <w:b/>
          <w:bCs/>
          <w:sz w:val="24"/>
          <w:szCs w:val="24"/>
        </w:rPr>
        <w:t>）</w:t>
      </w:r>
      <w:r w:rsidR="006D0299" w:rsidRPr="00675B03">
        <w:rPr>
          <w:rFonts w:ascii="ＭＳ Ｐゴシック" w:eastAsia="ＭＳ Ｐゴシック" w:hAnsi="ＭＳ Ｐゴシック" w:hint="eastAsia"/>
          <w:b/>
          <w:bCs/>
          <w:sz w:val="24"/>
          <w:szCs w:val="24"/>
        </w:rPr>
        <w:t>（セルビア）</w:t>
      </w:r>
    </w:p>
    <w:p w14:paraId="69D37A96" w14:textId="77777777" w:rsidR="00436BB7" w:rsidRDefault="00436BB7" w:rsidP="00436BB7">
      <w:r>
        <w:t>Mental Disability Rights Initiative MDRI-S</w:t>
      </w:r>
    </w:p>
    <w:p w14:paraId="7112C92C" w14:textId="77777777" w:rsidR="00436BB7" w:rsidRDefault="00436BB7" w:rsidP="00436BB7"/>
    <w:p w14:paraId="70835A4D" w14:textId="77777777" w:rsidR="00436BB7" w:rsidRPr="00436BB7" w:rsidRDefault="00436BB7" w:rsidP="00436BB7">
      <w:pPr>
        <w:rPr>
          <w:b/>
          <w:bCs/>
        </w:rPr>
      </w:pPr>
      <w:r w:rsidRPr="00436BB7">
        <w:rPr>
          <w:rFonts w:hint="eastAsia"/>
          <w:b/>
          <w:bCs/>
        </w:rPr>
        <w:t>はじめに</w:t>
      </w:r>
    </w:p>
    <w:p w14:paraId="7A2C1D3A" w14:textId="000CCD40" w:rsidR="00436BB7" w:rsidRDefault="00436BB7" w:rsidP="00042F36">
      <w:pPr>
        <w:ind w:firstLineChars="100" w:firstLine="210"/>
      </w:pPr>
      <w:r>
        <w:t>2020年</w:t>
      </w:r>
      <w:r>
        <w:rPr>
          <w:rFonts w:hint="eastAsia"/>
        </w:rPr>
        <w:t>初頭</w:t>
      </w:r>
      <w:r>
        <w:t>、精神障害者の権利（Mental Disability Rights Initiative、MDRI-S）は、障害当事者のインフォーマルグループを立ち上げました。このグループは、「私たち抜きに私たちのことを決めないで」という原則のもと、自分たちの声を聞いてほしいと願う知的・精神障害のある若者で構成されています。彼らの多くは、入所施設で生活しているか、施設収容歴があります。また、このグループのメンバーの中には、地域で生活している若者もいます。この活動の目的は、私たちのサポートのもと、知的・精神障害の</w:t>
      </w:r>
      <w:r>
        <w:rPr>
          <w:rFonts w:hint="eastAsia"/>
        </w:rPr>
        <w:t>ある市民の立場をより明確にする行動をとるよう、彼らに力を与えることです。</w:t>
      </w:r>
      <w:r>
        <w:t>MDRI-Sの障害当事者は定期的に集まり、重要なトピックについて話し合い、公共政策に参加する準備をしています。</w:t>
      </w:r>
    </w:p>
    <w:p w14:paraId="096A3196" w14:textId="77777777" w:rsidR="00436BB7" w:rsidRDefault="00436BB7" w:rsidP="00436BB7"/>
    <w:p w14:paraId="0BAAC540" w14:textId="41A0A2D2" w:rsidR="00436BB7" w:rsidRPr="00436BB7" w:rsidRDefault="00AC04F6" w:rsidP="00436BB7">
      <w:pPr>
        <w:rPr>
          <w:b/>
          <w:bCs/>
        </w:rPr>
      </w:pPr>
      <w:r w:rsidRPr="00675B03">
        <w:rPr>
          <w:rFonts w:hint="eastAsia"/>
          <w:b/>
          <w:bCs/>
        </w:rPr>
        <w:t>概説</w:t>
      </w:r>
      <w:r w:rsidR="00436BB7" w:rsidRPr="00675B03">
        <w:rPr>
          <w:rFonts w:hint="eastAsia"/>
          <w:b/>
          <w:bCs/>
        </w:rPr>
        <w:t>：</w:t>
      </w:r>
    </w:p>
    <w:p w14:paraId="315DD608" w14:textId="77777777" w:rsidR="00436BB7" w:rsidRDefault="00436BB7" w:rsidP="00042F36">
      <w:pPr>
        <w:ind w:firstLineChars="100" w:firstLine="210"/>
      </w:pPr>
      <w:r>
        <w:rPr>
          <w:rFonts w:hint="eastAsia"/>
        </w:rPr>
        <w:t>緊急時を含む脱施設化ガイドライン（案）の内容に障害当事者の意見を反映させるために、</w:t>
      </w:r>
      <w:r>
        <w:t>MDRI-Sは会合やワークショップを開催しました。ワークショップの参加者は、居住施設に入所している精神障害者約10名、施設入所経験者2名、家族とともに地域で生活している5名でした。</w:t>
      </w:r>
    </w:p>
    <w:p w14:paraId="77E8CA11" w14:textId="77777777" w:rsidR="00436BB7" w:rsidRDefault="00436BB7" w:rsidP="00436BB7"/>
    <w:p w14:paraId="7DDF775F" w14:textId="77777777" w:rsidR="00436BB7" w:rsidRPr="00042F36" w:rsidRDefault="00436BB7" w:rsidP="00436BB7">
      <w:pPr>
        <w:rPr>
          <w:b/>
          <w:bCs/>
        </w:rPr>
      </w:pPr>
      <w:r w:rsidRPr="00042F36">
        <w:rPr>
          <w:rFonts w:hint="eastAsia"/>
          <w:b/>
          <w:bCs/>
        </w:rPr>
        <w:t>パラグラフへのコメント</w:t>
      </w:r>
    </w:p>
    <w:p w14:paraId="00F38535" w14:textId="77777777" w:rsidR="00436BB7" w:rsidRPr="00042F36" w:rsidRDefault="00436BB7" w:rsidP="00042F36">
      <w:pPr>
        <w:ind w:firstLineChars="100" w:firstLine="210"/>
        <w:rPr>
          <w:u w:val="single"/>
        </w:rPr>
      </w:pPr>
      <w:r w:rsidRPr="00042F36">
        <w:rPr>
          <w:rFonts w:hint="eastAsia"/>
          <w:u w:val="single"/>
        </w:rPr>
        <w:t>特定のパラグラフに追加されたコメントは、</w:t>
      </w:r>
      <w:r w:rsidRPr="00042F36">
        <w:rPr>
          <w:rFonts w:hint="eastAsia"/>
          <w:color w:val="FF0000"/>
          <w:u w:val="single"/>
        </w:rPr>
        <w:t>赤色</w:t>
      </w:r>
      <w:r w:rsidRPr="00042F36">
        <w:rPr>
          <w:rFonts w:hint="eastAsia"/>
          <w:u w:val="single"/>
        </w:rPr>
        <w:t>で示されています。</w:t>
      </w:r>
    </w:p>
    <w:p w14:paraId="6DCFFE1A" w14:textId="071C1595" w:rsidR="00436BB7" w:rsidRPr="00143695" w:rsidRDefault="00436BB7" w:rsidP="00436BB7">
      <w:pPr>
        <w:rPr>
          <w:color w:val="00B050"/>
        </w:rPr>
      </w:pPr>
      <w:r>
        <w:t>14. 施設収容には、あらゆる形態の施設収容と拘禁が含まれる。施設収容の形態</w:t>
      </w:r>
      <w:r w:rsidR="00E563FA">
        <w:rPr>
          <w:rStyle w:val="a9"/>
        </w:rPr>
        <w:footnoteReference w:id="1"/>
      </w:r>
      <w:r>
        <w:t>は様々である。例えば、社会福祉施設、精神科施設、長期滞在型病院、老人ホーム、特別寄宿学校、リハビリテーションセンター、施設と地域との中間施設、グループホーム、</w:t>
      </w:r>
      <w:r w:rsidRPr="00042F36">
        <w:rPr>
          <w:color w:val="FF0000"/>
        </w:rPr>
        <w:t>レスパイトケア、</w:t>
      </w:r>
      <w:r>
        <w:t>ファミリータイプの児童施設、保護生活施設、移行用一時住宅（transit home）、色素欠乏症の人のホステル、ハンセン病コロニー、その他の集合施設などが含まれる。「観察、介護、治療」、予防拘禁などの目的で自由を奪われる精神保健施設は、施設収容の一形態である。刑</w:t>
      </w:r>
      <w:r>
        <w:rPr>
          <w:rFonts w:hint="eastAsia"/>
        </w:rPr>
        <w:t>務所、難民キャンプ、移民シェルター、ホームレスのためのシェルター、祈りのキャンプなど、よく見られる施設環境施設も脱施設化の取り組みの対象に含まれる。</w:t>
      </w:r>
    </w:p>
    <w:p w14:paraId="10D459CD" w14:textId="77777777" w:rsidR="00436BB7" w:rsidRDefault="00436BB7" w:rsidP="00436BB7"/>
    <w:p w14:paraId="378C1A20" w14:textId="6BE02410" w:rsidR="00436BB7" w:rsidRDefault="00436BB7" w:rsidP="00436BB7">
      <w:r>
        <w:t>15. 入所施設は次のような要素によって定義される 。</w:t>
      </w:r>
    </w:p>
    <w:p w14:paraId="14D3009D" w14:textId="77777777" w:rsidR="00436BB7" w:rsidRDefault="00436BB7" w:rsidP="00436BB7">
      <w:r>
        <w:rPr>
          <w:rFonts w:hint="eastAsia"/>
        </w:rPr>
        <w:t>・　他人と介助者を共有することが義務付けられ、誰から介助を受けるかについて自分で決</w:t>
      </w:r>
      <w:r>
        <w:rPr>
          <w:rFonts w:hint="eastAsia"/>
        </w:rPr>
        <w:lastRenderedPageBreak/>
        <w:t>められないか、制限されている</w:t>
      </w:r>
    </w:p>
    <w:p w14:paraId="7DCB4958" w14:textId="77777777" w:rsidR="00436BB7" w:rsidRDefault="00436BB7" w:rsidP="00436BB7">
      <w:r>
        <w:rPr>
          <w:rFonts w:hint="eastAsia"/>
        </w:rPr>
        <w:t>・　地域での自立した生活から孤立化され、隔離される</w:t>
      </w:r>
    </w:p>
    <w:p w14:paraId="7AC9ABA7" w14:textId="77777777" w:rsidR="00436BB7" w:rsidRDefault="00436BB7" w:rsidP="00436BB7">
      <w:r>
        <w:rPr>
          <w:rFonts w:hint="eastAsia"/>
        </w:rPr>
        <w:t>・　日々の決定をコントロールできない</w:t>
      </w:r>
    </w:p>
    <w:p w14:paraId="25CB1B15" w14:textId="77777777" w:rsidR="00436BB7" w:rsidRDefault="00436BB7" w:rsidP="00436BB7">
      <w:r>
        <w:rPr>
          <w:rFonts w:hint="eastAsia"/>
        </w:rPr>
        <w:t>・　誰と暮らすか選択できない</w:t>
      </w:r>
    </w:p>
    <w:p w14:paraId="12133B95" w14:textId="4025459A" w:rsidR="00436BB7" w:rsidRDefault="00436BB7" w:rsidP="00436BB7">
      <w:pPr>
        <w:rPr>
          <w:color w:val="FF0000"/>
        </w:rPr>
      </w:pPr>
      <w:r w:rsidRPr="00675B03">
        <w:rPr>
          <w:rFonts w:hint="eastAsia"/>
          <w:color w:val="FF0000"/>
        </w:rPr>
        <w:t>・　暴力にさらされる、</w:t>
      </w:r>
      <w:r w:rsidR="007172B8" w:rsidRPr="00675B03">
        <w:rPr>
          <w:rFonts w:hint="eastAsia"/>
          <w:color w:val="FF0000"/>
        </w:rPr>
        <w:t>その</w:t>
      </w:r>
      <w:r w:rsidRPr="00675B03">
        <w:rPr>
          <w:rFonts w:hint="eastAsia"/>
          <w:color w:val="FF0000"/>
        </w:rPr>
        <w:t>予防・保護措置（訴えのメカニズム）</w:t>
      </w:r>
      <w:r w:rsidR="007815E8" w:rsidRPr="00675B03">
        <w:rPr>
          <w:rFonts w:hint="eastAsia"/>
          <w:color w:val="FF0000"/>
        </w:rPr>
        <w:t>が</w:t>
      </w:r>
      <w:r w:rsidRPr="00675B03">
        <w:rPr>
          <w:rFonts w:hint="eastAsia"/>
          <w:color w:val="FF0000"/>
        </w:rPr>
        <w:t>欠如</w:t>
      </w:r>
      <w:r w:rsidR="00E563FA" w:rsidRPr="00675B03">
        <w:rPr>
          <w:rStyle w:val="a9"/>
          <w:color w:val="FF0000"/>
        </w:rPr>
        <w:footnoteReference w:id="2"/>
      </w:r>
      <w:r w:rsidR="007172B8" w:rsidRPr="00675B03">
        <w:rPr>
          <w:rFonts w:hint="eastAsia"/>
          <w:color w:val="FF0000"/>
        </w:rPr>
        <w:t>している</w:t>
      </w:r>
    </w:p>
    <w:p w14:paraId="06E17DCD" w14:textId="77777777" w:rsidR="00436BB7" w:rsidRDefault="00436BB7" w:rsidP="00436BB7">
      <w:r>
        <w:rPr>
          <w:rFonts w:hint="eastAsia"/>
        </w:rPr>
        <w:t>・　個人の意志や好みに関係なく日課が厳格である</w:t>
      </w:r>
    </w:p>
    <w:p w14:paraId="13A3DD91" w14:textId="77777777" w:rsidR="00436BB7" w:rsidRDefault="00436BB7" w:rsidP="00436BB7">
      <w:r>
        <w:rPr>
          <w:rFonts w:hint="eastAsia"/>
        </w:rPr>
        <w:t>・　明白な管理のもと、同じ場所で同じ活動を行う</w:t>
      </w:r>
    </w:p>
    <w:p w14:paraId="1077D114" w14:textId="59CE3337" w:rsidR="00436BB7" w:rsidRPr="00675B03" w:rsidRDefault="00436BB7" w:rsidP="00436BB7">
      <w:pPr>
        <w:rPr>
          <w:dstrike/>
          <w:color w:val="BF8F00" w:themeColor="accent4" w:themeShade="BF"/>
        </w:rPr>
      </w:pPr>
      <w:r w:rsidRPr="00675B03">
        <w:rPr>
          <w:rFonts w:hint="eastAsia"/>
        </w:rPr>
        <w:t>・　サービス提供</w:t>
      </w:r>
      <w:r w:rsidR="00FD1916" w:rsidRPr="00675B03">
        <w:rPr>
          <w:rFonts w:hint="eastAsia"/>
        </w:rPr>
        <w:t>のアプローチが</w:t>
      </w:r>
      <w:r w:rsidRPr="00675B03">
        <w:rPr>
          <w:rFonts w:hint="eastAsia"/>
        </w:rPr>
        <w:t>パターナリズムによる</w:t>
      </w:r>
    </w:p>
    <w:p w14:paraId="5F9CB817" w14:textId="5E9BD228" w:rsidR="00436BB7" w:rsidRPr="00675B03" w:rsidRDefault="00436BB7" w:rsidP="00436BB7">
      <w:r w:rsidRPr="00675B03">
        <w:rPr>
          <w:rFonts w:hint="eastAsia"/>
        </w:rPr>
        <w:t>・　生活様式</w:t>
      </w:r>
      <w:r w:rsidR="00FD1916" w:rsidRPr="00675B03">
        <w:rPr>
          <w:rFonts w:hint="eastAsia"/>
        </w:rPr>
        <w:t>が監視されている</w:t>
      </w:r>
    </w:p>
    <w:p w14:paraId="1A4F43AB" w14:textId="084DAEE3" w:rsidR="00436BB7" w:rsidRDefault="00436BB7" w:rsidP="00436BB7">
      <w:r w:rsidRPr="00675B03">
        <w:rPr>
          <w:rFonts w:hint="eastAsia"/>
        </w:rPr>
        <w:t>・　同じ環境にいる障害のある人の数</w:t>
      </w:r>
      <w:r w:rsidR="00FD1916" w:rsidRPr="00675B03">
        <w:rPr>
          <w:rFonts w:hint="eastAsia"/>
        </w:rPr>
        <w:t>も</w:t>
      </w:r>
      <w:r w:rsidRPr="00675B03">
        <w:rPr>
          <w:rFonts w:hint="eastAsia"/>
        </w:rPr>
        <w:t>偏っている</w:t>
      </w:r>
    </w:p>
    <w:p w14:paraId="0981B5BA" w14:textId="77777777" w:rsidR="00042F36" w:rsidRDefault="00042F36" w:rsidP="00436BB7"/>
    <w:p w14:paraId="1D724CD9" w14:textId="19C733BC" w:rsidR="00436BB7" w:rsidRDefault="00436BB7" w:rsidP="00436BB7">
      <w:r>
        <w:t xml:space="preserve">18. </w:t>
      </w:r>
      <w:r w:rsidRPr="005D299E">
        <w:t>脱施設化のプロセスは、施設の運営</w:t>
      </w:r>
      <w:r>
        <w:t>側や施設の維持に携わる人々によって進められるべきではない</w:t>
      </w:r>
      <w:r w:rsidR="00E563FA">
        <w:rPr>
          <w:rStyle w:val="a9"/>
        </w:rPr>
        <w:footnoteReference w:id="3"/>
      </w:r>
      <w:r>
        <w:t>。</w:t>
      </w:r>
      <w:r w:rsidR="00082963" w:rsidRPr="00675B03">
        <w:rPr>
          <w:rFonts w:hint="eastAsia"/>
        </w:rPr>
        <w:t>またこの</w:t>
      </w:r>
      <w:r w:rsidR="00082963" w:rsidRPr="00675B03">
        <w:t>プロセスは、</w:t>
      </w:r>
      <w:r w:rsidRPr="00675B03">
        <w:t>例えば、施設の改修、ベッドの増設、</w:t>
      </w:r>
      <w:r w:rsidRPr="00675B03">
        <w:rPr>
          <w:color w:val="FF0000"/>
        </w:rPr>
        <w:t>施設の敷地内に小規模な施設を建設する、</w:t>
      </w:r>
      <w:r w:rsidRPr="00675B03">
        <w:t>「最も制限の少ない代替案」といった基準を精神衛生法に立法化</w:t>
      </w:r>
      <w:r w:rsidR="00A305E0" w:rsidRPr="00675B03">
        <w:rPr>
          <w:rFonts w:hint="eastAsia"/>
        </w:rPr>
        <w:t>するなど</w:t>
      </w:r>
      <w:r w:rsidR="00082963" w:rsidRPr="00675B03">
        <w:rPr>
          <w:rFonts w:hint="eastAsia"/>
        </w:rPr>
        <w:t>の</w:t>
      </w:r>
      <w:r w:rsidR="00082963" w:rsidRPr="00675B03">
        <w:t>第19条に違反するよくある誤り</w:t>
      </w:r>
      <w:r w:rsidR="00A305E0" w:rsidRPr="00675B03">
        <w:rPr>
          <w:rFonts w:hint="eastAsia"/>
        </w:rPr>
        <w:t>によって</w:t>
      </w:r>
      <w:r w:rsidRPr="00675B03">
        <w:t>人権侵害を永続させることを防止しなければならない。</w:t>
      </w:r>
    </w:p>
    <w:p w14:paraId="44FAF3A1" w14:textId="77777777" w:rsidR="00436BB7" w:rsidRDefault="00436BB7" w:rsidP="00436BB7"/>
    <w:p w14:paraId="46D8AD4C" w14:textId="31D71EC8" w:rsidR="00436BB7" w:rsidRDefault="005D50F0" w:rsidP="00436BB7">
      <w:r w:rsidRPr="005D50F0">
        <w:t>20. 自立した生活及び地域社会への包容には、完全な法的能力、住宅へのアクセス、支援、および自分の生活を再びコントロールできるようにするサービスの選択肢が必要である。選択肢を持つことは、女性、高齢者、子どもを含む障害のある人が、意思決定において尊重されることを意味する。締約国は、施設を退所する人々に複数の選択肢へのアクセスを提供し、彼らが自分の決定を実現するために必要な支援を受けられるようにすべきである</w:t>
      </w:r>
      <w:r w:rsidR="00B62490">
        <w:rPr>
          <w:rStyle w:val="a9"/>
        </w:rPr>
        <w:footnoteReference w:id="4"/>
      </w:r>
      <w:r w:rsidRPr="005D50F0">
        <w:t>。</w:t>
      </w:r>
      <w:r>
        <w:rPr>
          <w:rFonts w:hint="eastAsia"/>
        </w:rPr>
        <w:t>（訳</w:t>
      </w:r>
      <w:r>
        <w:rPr>
          <w:rFonts w:hint="eastAsia"/>
        </w:rPr>
        <w:lastRenderedPageBreak/>
        <w:t xml:space="preserve">注　</w:t>
      </w:r>
      <w:r w:rsidRPr="005D50F0">
        <w:rPr>
          <w:rFonts w:hint="eastAsia"/>
          <w:color w:val="FF0000"/>
        </w:rPr>
        <w:t>赤字</w:t>
      </w:r>
      <w:r>
        <w:rPr>
          <w:rFonts w:hint="eastAsia"/>
        </w:rPr>
        <w:t>の個所はなし。）</w:t>
      </w:r>
    </w:p>
    <w:p w14:paraId="0A337B0C" w14:textId="386C9C7B" w:rsidR="00436BB7" w:rsidRDefault="00436BB7" w:rsidP="00436BB7"/>
    <w:p w14:paraId="68561F24" w14:textId="77FFE89C" w:rsidR="005D50F0" w:rsidRPr="00290579" w:rsidRDefault="005D50F0" w:rsidP="00436BB7">
      <w:pPr>
        <w:rPr>
          <w:color w:val="FF0000"/>
        </w:rPr>
      </w:pPr>
      <w:r w:rsidRPr="005D50F0">
        <w:t>21. 締約国は、地域における様々な個別</w:t>
      </w:r>
      <w:r>
        <w:rPr>
          <w:rFonts w:hint="eastAsia"/>
        </w:rPr>
        <w:t>的な</w:t>
      </w:r>
      <w:r w:rsidRPr="005D50F0">
        <w:t>支援と、インクルーシブなメインストリームサービスの範囲の拡大を遅滞なく優先させるべきである。</w:t>
      </w:r>
      <w:r w:rsidR="00290579" w:rsidRPr="00290579">
        <w:rPr>
          <w:color w:val="FF0000"/>
        </w:rPr>
        <w:t>支援サービスは施設に関連したものであってはならず、本人が支援されたいと思う場所で支援するように</w:t>
      </w:r>
      <w:r w:rsidR="00290579" w:rsidRPr="00290579">
        <w:rPr>
          <w:rFonts w:hint="eastAsia"/>
          <w:color w:val="FF0000"/>
        </w:rPr>
        <w:t>提供</w:t>
      </w:r>
      <w:r w:rsidR="00290579" w:rsidRPr="00290579">
        <w:rPr>
          <w:color w:val="FF0000"/>
        </w:rPr>
        <w:t>されるべきである</w:t>
      </w:r>
      <w:r w:rsidR="00EE6019">
        <w:rPr>
          <w:rStyle w:val="a9"/>
          <w:color w:val="FF0000"/>
        </w:rPr>
        <w:footnoteReference w:id="5"/>
      </w:r>
      <w:r w:rsidR="00290579" w:rsidRPr="00290579">
        <w:rPr>
          <w:color w:val="FF0000"/>
        </w:rPr>
        <w:t>。</w:t>
      </w:r>
    </w:p>
    <w:p w14:paraId="2B66850E" w14:textId="77777777" w:rsidR="00362CC5" w:rsidRDefault="00362CC5" w:rsidP="00362CC5"/>
    <w:p w14:paraId="5FA2581F" w14:textId="32DC850B" w:rsidR="00436BB7" w:rsidRDefault="00362CC5" w:rsidP="00362CC5">
      <w:r>
        <w:t xml:space="preserve">40. </w:t>
      </w:r>
      <w:r w:rsidRPr="00290579">
        <w:rPr>
          <w:rFonts w:hint="eastAsia"/>
        </w:rPr>
        <w:t>締約国は、障害のある女性</w:t>
      </w:r>
      <w:r w:rsidRPr="00675B03">
        <w:rPr>
          <w:rFonts w:hint="eastAsia"/>
        </w:rPr>
        <w:t>と</w:t>
      </w:r>
      <w:r w:rsidR="00701AEB" w:rsidRPr="00675B03">
        <w:rPr>
          <w:rFonts w:hint="eastAsia"/>
        </w:rPr>
        <w:t>少女</w:t>
      </w:r>
      <w:r w:rsidRPr="00290579">
        <w:rPr>
          <w:rFonts w:hint="eastAsia"/>
        </w:rPr>
        <w:t>は、ジェンダーおよび障害を理由とする多重差別の対</w:t>
      </w:r>
      <w:r w:rsidR="00290579" w:rsidRPr="00290579">
        <w:rPr>
          <w:rFonts w:hint="eastAsia"/>
        </w:rPr>
        <w:t>象であり、一様な集団ではないことを認識するべきである。障害のある女性は、他の女性と比較して、暴力、搾取、虐待のリスクが高く、施設収容中は、強制的な避妊</w:t>
      </w:r>
      <w:r w:rsidR="00290579" w:rsidRPr="00290579">
        <w:rPr>
          <w:rFonts w:hint="eastAsia"/>
          <w:color w:val="FF0000"/>
        </w:rPr>
        <w:t>、中絶</w:t>
      </w:r>
      <w:r w:rsidR="008B6A5A">
        <w:rPr>
          <w:rStyle w:val="a9"/>
          <w:color w:val="FF0000"/>
        </w:rPr>
        <w:footnoteReference w:id="6"/>
      </w:r>
      <w:r w:rsidR="00290579" w:rsidRPr="00290579">
        <w:rPr>
          <w:rFonts w:hint="eastAsia"/>
        </w:rPr>
        <w:t>や不妊手術などのジェンダーに基づく暴力や有害な慣行のリスクにさらされている</w:t>
      </w:r>
      <w:r w:rsidR="00290579" w:rsidRPr="007815E8">
        <w:rPr>
          <w:rFonts w:hint="eastAsia"/>
        </w:rPr>
        <w:t>。</w:t>
      </w:r>
      <w:r w:rsidR="00290579" w:rsidRPr="007815E8">
        <w:t>彼</w:t>
      </w:r>
      <w:r w:rsidR="00290579" w:rsidRPr="00290579">
        <w:t>女らは、障害のある男性よりも、また障害のない女性よりも頻繁に法的能力を持つ権利を否定され、司法、選択、自己管理へのアクセスを否定されることにつながる。締約国は、障害のある女性の権利の実現と保護を確保するために</w:t>
      </w:r>
      <w:r w:rsidR="00290579" w:rsidRPr="00290579">
        <w:rPr>
          <w:rFonts w:hint="eastAsia"/>
        </w:rPr>
        <w:t>、脱施設化計画を設計し実施する際にこれらのリスクを考慮し、すべてのプロセスおよび政策を通じて男女平等が横断的に反映されるようにしなければならない。</w:t>
      </w:r>
    </w:p>
    <w:p w14:paraId="0D8AFA45" w14:textId="77777777" w:rsidR="00290579" w:rsidRDefault="00290579" w:rsidP="00436BB7"/>
    <w:p w14:paraId="5620BF78" w14:textId="5581AF80" w:rsidR="00290579" w:rsidRDefault="00436BB7" w:rsidP="00290579">
      <w:r>
        <w:t xml:space="preserve">46. </w:t>
      </w:r>
      <w:r w:rsidR="00290579" w:rsidRPr="00290579">
        <w:rPr>
          <w:rFonts w:hint="eastAsia"/>
        </w:rPr>
        <w:t>条約第</w:t>
      </w:r>
      <w:r w:rsidR="00290579" w:rsidRPr="00290579">
        <w:t>23条第4項は、子ども又は親の障害に基づく親子の不当な分離から保護するものである。締約国は、障害のある親に対し、子どもを引き留め、子どもが施設に入所させら</w:t>
      </w:r>
      <w:r w:rsidR="00290579" w:rsidRPr="00290579">
        <w:lastRenderedPageBreak/>
        <w:t>れることを防ぐために、必要な支援と合理的配慮を提供する必要がある。</w:t>
      </w:r>
      <w:r w:rsidRPr="00290579">
        <w:rPr>
          <w:color w:val="FF0000"/>
        </w:rPr>
        <w:t>締約国は、子どもを施設に入所させる行為を絶対に禁止し、すべての努力を</w:t>
      </w:r>
      <w:r w:rsidR="00362CC5" w:rsidRPr="00675B03">
        <w:rPr>
          <w:rFonts w:hint="eastAsia"/>
          <w:color w:val="FF0000"/>
        </w:rPr>
        <w:t>、</w:t>
      </w:r>
      <w:r w:rsidR="00290579" w:rsidRPr="00290579">
        <w:rPr>
          <w:rFonts w:hint="eastAsia"/>
          <w:color w:val="FF0000"/>
        </w:rPr>
        <w:t>施設入所を防ぐために子どもやその家族を支援することに</w:t>
      </w:r>
      <w:r w:rsidR="00290579" w:rsidRPr="00290579">
        <w:rPr>
          <w:color w:val="FF0000"/>
        </w:rPr>
        <w:t>向けるべきである</w:t>
      </w:r>
      <w:r w:rsidR="008B6A5A">
        <w:rPr>
          <w:rStyle w:val="a9"/>
          <w:color w:val="FF0000"/>
        </w:rPr>
        <w:footnoteReference w:id="7"/>
      </w:r>
      <w:r w:rsidR="00290579" w:rsidRPr="00290579">
        <w:rPr>
          <w:color w:val="FF0000"/>
        </w:rPr>
        <w:t>。</w:t>
      </w:r>
    </w:p>
    <w:p w14:paraId="721B73CD" w14:textId="415E5415" w:rsidR="00436BB7" w:rsidRDefault="00436BB7" w:rsidP="00436BB7"/>
    <w:p w14:paraId="6FB69A7E" w14:textId="24BE17C2" w:rsidR="00436BB7" w:rsidRDefault="00436BB7" w:rsidP="00436BB7">
      <w:r>
        <w:t xml:space="preserve">105. </w:t>
      </w:r>
      <w:r w:rsidR="00290579" w:rsidRPr="00290579">
        <w:rPr>
          <w:rFonts w:hint="eastAsia"/>
        </w:rPr>
        <w:t>パンデミック、自然災害、紛争などの緊急事態の間も、締約国は、施設を閉鎖するための努力を継続し、かつ加速させるべきである。</w:t>
      </w:r>
      <w:r w:rsidRPr="00E563FA">
        <w:rPr>
          <w:color w:val="FF0000"/>
        </w:rPr>
        <w:t>緊急事態において、締約国は、障害者に対し、他の者と平等に、迅速かつ利用しやすい情報および通信技術を提供すべきである</w:t>
      </w:r>
      <w:r w:rsidR="008B6A5A">
        <w:rPr>
          <w:rStyle w:val="a9"/>
          <w:color w:val="FF0000"/>
        </w:rPr>
        <w:footnoteReference w:id="8"/>
      </w:r>
      <w:r w:rsidRPr="00E563FA">
        <w:rPr>
          <w:color w:val="FF0000"/>
        </w:rPr>
        <w:t>。</w:t>
      </w:r>
      <w:r w:rsidR="00E563FA" w:rsidRPr="00E563FA">
        <w:rPr>
          <w:rFonts w:hint="eastAsia"/>
        </w:rPr>
        <w:t>緊急事態においては、施設にいる障害のある人、障害のある亡命者、障害のある難民を特定するための早急な取り組みが必要である。避難、人道的救済、復興におけるインクルージョンを確保するために、対象を絞った取り組みが必要である。緊急・復興資金は、施設収容を継続させるために支援するのではなく、脱施設化の加速化計画を復興努力や国の脱施設化戦略に盛り込み、緊急時に即座に実行に移すべきである。</w:t>
      </w:r>
    </w:p>
    <w:p w14:paraId="781DE37F" w14:textId="77777777" w:rsidR="00E40E29" w:rsidRDefault="00E40E29"/>
    <w:p w14:paraId="59602839" w14:textId="5B33AE22" w:rsidR="005C65E6" w:rsidRPr="00436BB7" w:rsidRDefault="005C65E6" w:rsidP="005C65E6">
      <w:pPr>
        <w:jc w:val="right"/>
      </w:pPr>
      <w:r>
        <w:rPr>
          <w:rFonts w:hint="eastAsia"/>
        </w:rPr>
        <w:t>（翻訳：佐藤久夫、</w:t>
      </w:r>
      <w:r w:rsidR="007C1DF4" w:rsidRPr="00675B03">
        <w:rPr>
          <w:rFonts w:hint="eastAsia"/>
        </w:rPr>
        <w:t>岡本 明</w:t>
      </w:r>
      <w:r w:rsidRPr="00675B03">
        <w:rPr>
          <w:rFonts w:hint="eastAsia"/>
        </w:rPr>
        <w:t>）</w:t>
      </w:r>
    </w:p>
    <w:sectPr w:rsidR="005C65E6" w:rsidRPr="00436BB7">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672FE" w14:textId="77777777" w:rsidR="00CF3ECE" w:rsidRDefault="00CF3ECE" w:rsidP="00436BB7">
      <w:r>
        <w:separator/>
      </w:r>
    </w:p>
  </w:endnote>
  <w:endnote w:type="continuationSeparator" w:id="0">
    <w:p w14:paraId="258308A7" w14:textId="77777777" w:rsidR="00CF3ECE" w:rsidRDefault="00CF3ECE" w:rsidP="00436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94893"/>
      <w:docPartObj>
        <w:docPartGallery w:val="Page Numbers (Bottom of Page)"/>
        <w:docPartUnique/>
      </w:docPartObj>
    </w:sdtPr>
    <w:sdtEndPr/>
    <w:sdtContent>
      <w:p w14:paraId="15BB1084" w14:textId="64FAD430" w:rsidR="00436BB7" w:rsidRDefault="00436BB7">
        <w:pPr>
          <w:pStyle w:val="a5"/>
        </w:pPr>
        <w:r>
          <w:fldChar w:fldCharType="begin"/>
        </w:r>
        <w:r>
          <w:instrText>PAGE   \* MERGEFORMAT</w:instrText>
        </w:r>
        <w:r>
          <w:fldChar w:fldCharType="separate"/>
        </w:r>
        <w:r>
          <w:rPr>
            <w:lang w:val="ja-JP"/>
          </w:rPr>
          <w:t>2</w:t>
        </w:r>
        <w:r>
          <w:fldChar w:fldCharType="end"/>
        </w:r>
      </w:p>
    </w:sdtContent>
  </w:sdt>
  <w:p w14:paraId="73CBF19F" w14:textId="77777777" w:rsidR="00436BB7" w:rsidRDefault="00436B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45E2B" w14:textId="77777777" w:rsidR="00CF3ECE" w:rsidRDefault="00CF3ECE" w:rsidP="00436BB7">
      <w:r>
        <w:separator/>
      </w:r>
    </w:p>
  </w:footnote>
  <w:footnote w:type="continuationSeparator" w:id="0">
    <w:p w14:paraId="3C96EAB6" w14:textId="77777777" w:rsidR="00CF3ECE" w:rsidRDefault="00CF3ECE" w:rsidP="00436BB7">
      <w:r>
        <w:continuationSeparator/>
      </w:r>
    </w:p>
  </w:footnote>
  <w:footnote w:id="1">
    <w:p w14:paraId="6C928851" w14:textId="73ABC160" w:rsidR="00E563FA" w:rsidRDefault="00E563FA">
      <w:pPr>
        <w:pStyle w:val="a7"/>
        <w:rPr>
          <w:color w:val="0462C1"/>
          <w:spacing w:val="-1"/>
          <w:sz w:val="16"/>
          <w:szCs w:val="16"/>
          <w:u w:val="single" w:color="0462C1"/>
        </w:rPr>
      </w:pPr>
      <w:r w:rsidRPr="00B30B31">
        <w:rPr>
          <w:rStyle w:val="a9"/>
          <w:sz w:val="16"/>
          <w:szCs w:val="16"/>
        </w:rPr>
        <w:footnoteRef/>
      </w:r>
      <w:r w:rsidRPr="00B30B31">
        <w:rPr>
          <w:sz w:val="16"/>
          <w:szCs w:val="16"/>
        </w:rPr>
        <w:t xml:space="preserve"> </w:t>
      </w:r>
      <w:hyperlink r:id="rId1">
        <w:r w:rsidRPr="00B30B31">
          <w:rPr>
            <w:color w:val="0462C1"/>
            <w:spacing w:val="-1"/>
            <w:sz w:val="16"/>
            <w:szCs w:val="16"/>
            <w:u w:val="single" w:color="0462C1"/>
          </w:rPr>
          <w:t>https://www.youtube.com/watch?v=uBtt3sUr6No</w:t>
        </w:r>
      </w:hyperlink>
    </w:p>
    <w:p w14:paraId="4F507B08" w14:textId="5B74AE39" w:rsidR="00B30B31" w:rsidRPr="00B30B31" w:rsidRDefault="00B30B31">
      <w:pPr>
        <w:pStyle w:val="a7"/>
        <w:rPr>
          <w:sz w:val="16"/>
          <w:szCs w:val="16"/>
        </w:rPr>
      </w:pPr>
    </w:p>
  </w:footnote>
  <w:footnote w:id="2">
    <w:p w14:paraId="78D786A7" w14:textId="514C7359" w:rsidR="00E563FA" w:rsidRPr="00B30B31" w:rsidRDefault="00E563FA">
      <w:pPr>
        <w:pStyle w:val="a7"/>
        <w:rPr>
          <w:sz w:val="16"/>
          <w:szCs w:val="16"/>
        </w:rPr>
      </w:pPr>
      <w:r w:rsidRPr="00B30B31">
        <w:rPr>
          <w:rStyle w:val="a9"/>
          <w:sz w:val="16"/>
          <w:szCs w:val="16"/>
        </w:rPr>
        <w:footnoteRef/>
      </w:r>
      <w:r w:rsidRPr="00B30B31">
        <w:rPr>
          <w:sz w:val="16"/>
          <w:szCs w:val="16"/>
        </w:rPr>
        <w:t xml:space="preserve"> </w:t>
      </w:r>
      <w:hyperlink r:id="rId2">
        <w:r w:rsidRPr="00B30B31">
          <w:rPr>
            <w:color w:val="0462C1"/>
            <w:spacing w:val="-1"/>
            <w:sz w:val="16"/>
            <w:szCs w:val="16"/>
            <w:u w:val="single" w:color="0462C1"/>
          </w:rPr>
          <w:t>https://www.mdri-s.org/public/documents/upload/publications-in-english/Publikacija-engleski.pdf</w:t>
        </w:r>
      </w:hyperlink>
    </w:p>
  </w:footnote>
  <w:footnote w:id="3">
    <w:p w14:paraId="29D68F70" w14:textId="0405B2C1" w:rsidR="00B62490" w:rsidRPr="00B30B31" w:rsidRDefault="00E563FA" w:rsidP="00B30B31">
      <w:pPr>
        <w:pStyle w:val="a7"/>
        <w:rPr>
          <w:sz w:val="16"/>
          <w:szCs w:val="16"/>
        </w:rPr>
      </w:pPr>
      <w:r w:rsidRPr="00B30B31">
        <w:rPr>
          <w:rStyle w:val="a9"/>
          <w:sz w:val="16"/>
          <w:szCs w:val="16"/>
        </w:rPr>
        <w:footnoteRef/>
      </w:r>
      <w:r w:rsidRPr="00B30B31">
        <w:rPr>
          <w:sz w:val="16"/>
          <w:szCs w:val="16"/>
        </w:rPr>
        <w:t xml:space="preserve"> 施設で生活する障害当事者の活動は非常に困難です。私たちは、主にViberプラットフォームを通じて、時にはMessengerを通じて行われるオンラインワークショップを開催する方法を見つけました。ワークショップは通常、午後に行われます。その理由は、</w:t>
      </w:r>
      <w:r w:rsidR="009B2FF0" w:rsidRPr="00B30B31">
        <w:rPr>
          <w:rFonts w:hint="eastAsia"/>
          <w:sz w:val="16"/>
          <w:szCs w:val="16"/>
        </w:rPr>
        <w:t>その時間は職員が少なく</w:t>
      </w:r>
      <w:r w:rsidRPr="00B30B31">
        <w:rPr>
          <w:sz w:val="16"/>
          <w:szCs w:val="16"/>
        </w:rPr>
        <w:t>障害当事者がある程度自由に発言できるようになるためです。</w:t>
      </w:r>
      <w:r w:rsidR="00B62490" w:rsidRPr="00B30B31">
        <w:rPr>
          <w:rFonts w:hint="eastAsia"/>
          <w:sz w:val="16"/>
          <w:szCs w:val="16"/>
        </w:rPr>
        <w:t>障害当事者は、常に誰かに盗聴されていることを知っているため、常に恐怖を感じ、安全ではありません。前回のワークショップの後、ある障害当事者が私たちに言いました。「フォーカス・グループの後、職員との間でトラブルがありました。話し合いであなたに何か言ったとか、上司の噂話をしたとか、そんなことはなかったのに、非難されたんです。私は大きな問題を抱えました。泣</w:t>
      </w:r>
      <w:r w:rsidR="005C65E6" w:rsidRPr="00B30B31">
        <w:rPr>
          <w:rFonts w:hint="eastAsia"/>
          <w:sz w:val="16"/>
          <w:szCs w:val="16"/>
        </w:rPr>
        <w:t>きました。</w:t>
      </w:r>
      <w:r w:rsidR="00B62490" w:rsidRPr="00B30B31">
        <w:rPr>
          <w:rFonts w:hint="eastAsia"/>
          <w:sz w:val="16"/>
          <w:szCs w:val="16"/>
        </w:rPr>
        <w:t>心配でした。」（</w:t>
      </w:r>
      <w:r w:rsidR="00B62490" w:rsidRPr="00B30B31">
        <w:rPr>
          <w:sz w:val="16"/>
          <w:szCs w:val="16"/>
        </w:rPr>
        <w:t>MDRI-S障害当事者）。</w:t>
      </w:r>
    </w:p>
    <w:p w14:paraId="263CFAC3" w14:textId="63CC4D00" w:rsidR="00082963" w:rsidRPr="00082963" w:rsidRDefault="00B62490" w:rsidP="004D2971">
      <w:pPr>
        <w:pStyle w:val="a7"/>
        <w:ind w:firstLineChars="100" w:firstLine="160"/>
        <w:rPr>
          <w:color w:val="00B050"/>
          <w:sz w:val="20"/>
          <w:szCs w:val="20"/>
        </w:rPr>
      </w:pPr>
      <w:r w:rsidRPr="00675B03">
        <w:rPr>
          <w:sz w:val="16"/>
          <w:szCs w:val="16"/>
        </w:rPr>
        <w:t>「私たちが障害当事者</w:t>
      </w:r>
      <w:r w:rsidR="009C5BD1" w:rsidRPr="00675B03">
        <w:rPr>
          <w:rFonts w:hint="eastAsia"/>
          <w:sz w:val="16"/>
          <w:szCs w:val="16"/>
        </w:rPr>
        <w:t>のため</w:t>
      </w:r>
      <w:r w:rsidRPr="00675B03">
        <w:rPr>
          <w:sz w:val="16"/>
          <w:szCs w:val="16"/>
        </w:rPr>
        <w:t>に仕事をするたびに、彼ら</w:t>
      </w:r>
      <w:r w:rsidR="009C5BD1" w:rsidRPr="00675B03">
        <w:rPr>
          <w:rFonts w:hint="eastAsia"/>
          <w:sz w:val="16"/>
          <w:szCs w:val="16"/>
        </w:rPr>
        <w:t>が</w:t>
      </w:r>
      <w:r w:rsidRPr="00675B03">
        <w:rPr>
          <w:sz w:val="16"/>
          <w:szCs w:val="16"/>
        </w:rPr>
        <w:t>たいてい職員との間に問題を抱え</w:t>
      </w:r>
      <w:r w:rsidR="009C5BD1" w:rsidRPr="00675B03">
        <w:rPr>
          <w:rFonts w:hint="eastAsia"/>
          <w:sz w:val="16"/>
          <w:szCs w:val="16"/>
        </w:rPr>
        <w:t>ていることが分かり</w:t>
      </w:r>
      <w:r w:rsidRPr="00675B03">
        <w:rPr>
          <w:sz w:val="16"/>
          <w:szCs w:val="16"/>
        </w:rPr>
        <w:t>ます。</w:t>
      </w:r>
      <w:r w:rsidR="009C5BD1" w:rsidRPr="00675B03">
        <w:rPr>
          <w:sz w:val="16"/>
          <w:szCs w:val="16"/>
        </w:rPr>
        <w:t>職員</w:t>
      </w:r>
      <w:r w:rsidR="009C5BD1" w:rsidRPr="00675B03">
        <w:rPr>
          <w:rFonts w:hint="eastAsia"/>
          <w:sz w:val="16"/>
          <w:szCs w:val="16"/>
        </w:rPr>
        <w:t>にとって、</w:t>
      </w:r>
      <w:r w:rsidR="009C5BD1" w:rsidRPr="00675B03">
        <w:rPr>
          <w:sz w:val="16"/>
          <w:szCs w:val="16"/>
        </w:rPr>
        <w:t>当事者</w:t>
      </w:r>
      <w:r w:rsidR="009C5BD1" w:rsidRPr="00675B03">
        <w:rPr>
          <w:rFonts w:hint="eastAsia"/>
          <w:sz w:val="16"/>
          <w:szCs w:val="16"/>
        </w:rPr>
        <w:t>が</w:t>
      </w:r>
      <w:r w:rsidRPr="00675B03">
        <w:rPr>
          <w:sz w:val="16"/>
          <w:szCs w:val="16"/>
        </w:rPr>
        <w:t>施設の中での自分の状態に</w:t>
      </w:r>
      <w:r w:rsidRPr="00675B03">
        <w:rPr>
          <w:rFonts w:hint="eastAsia"/>
          <w:sz w:val="16"/>
          <w:szCs w:val="16"/>
        </w:rPr>
        <w:t>ついて真実を語っていることが気になるのです。職員は、障害当事者に力を与えず、私たちと話すことを許さないのです。誰も障害当事者に話しかけません。それどころか、職員は</w:t>
      </w:r>
      <w:r w:rsidR="009C5BD1" w:rsidRPr="00675B03">
        <w:rPr>
          <w:rFonts w:hint="eastAsia"/>
          <w:sz w:val="16"/>
          <w:szCs w:val="16"/>
        </w:rPr>
        <w:t>あなたたちは</w:t>
      </w:r>
      <w:r w:rsidRPr="00675B03">
        <w:rPr>
          <w:rFonts w:hint="eastAsia"/>
          <w:sz w:val="16"/>
          <w:szCs w:val="16"/>
        </w:rPr>
        <w:t>地域で生活することはできないと障害当事者を説得するのです」（</w:t>
      </w:r>
      <w:r w:rsidRPr="00675B03">
        <w:rPr>
          <w:sz w:val="16"/>
          <w:szCs w:val="16"/>
        </w:rPr>
        <w:t>MDRI-S障害当事者グループのコーデ</w:t>
      </w:r>
      <w:r w:rsidRPr="00B30B31">
        <w:rPr>
          <w:sz w:val="16"/>
          <w:szCs w:val="16"/>
        </w:rPr>
        <w:t>ィネーター）。</w:t>
      </w:r>
    </w:p>
  </w:footnote>
  <w:footnote w:id="4">
    <w:p w14:paraId="6E206A87" w14:textId="35E0A65B" w:rsidR="00A764E3" w:rsidRPr="00675B03" w:rsidRDefault="00B62490" w:rsidP="00A764E3">
      <w:pPr>
        <w:pStyle w:val="a7"/>
        <w:rPr>
          <w:sz w:val="16"/>
          <w:szCs w:val="16"/>
        </w:rPr>
      </w:pPr>
      <w:r w:rsidRPr="00C31748">
        <w:rPr>
          <w:rStyle w:val="a9"/>
          <w:sz w:val="16"/>
          <w:szCs w:val="16"/>
        </w:rPr>
        <w:footnoteRef/>
      </w:r>
      <w:r w:rsidRPr="00C31748">
        <w:rPr>
          <w:sz w:val="16"/>
          <w:szCs w:val="16"/>
        </w:rPr>
        <w:t xml:space="preserve"> </w:t>
      </w:r>
      <w:r w:rsidR="00024AD4" w:rsidRPr="00C31748">
        <w:rPr>
          <w:rFonts w:hint="eastAsia"/>
          <w:sz w:val="16"/>
          <w:szCs w:val="16"/>
        </w:rPr>
        <w:t>障害当事者の一人は、ほとんどの時間</w:t>
      </w:r>
      <w:r w:rsidR="00024AD4" w:rsidRPr="00675B03">
        <w:rPr>
          <w:rFonts w:hint="eastAsia"/>
          <w:sz w:val="16"/>
          <w:szCs w:val="16"/>
        </w:rPr>
        <w:t>を</w:t>
      </w:r>
      <w:r w:rsidR="00C31748" w:rsidRPr="00675B03">
        <w:rPr>
          <w:rFonts w:hint="eastAsia"/>
          <w:sz w:val="16"/>
          <w:szCs w:val="16"/>
        </w:rPr>
        <w:t>姉</w:t>
      </w:r>
      <w:r w:rsidR="00024AD4" w:rsidRPr="00675B03">
        <w:rPr>
          <w:rFonts w:hint="eastAsia"/>
          <w:sz w:val="16"/>
          <w:szCs w:val="16"/>
        </w:rPr>
        <w:t>の</w:t>
      </w:r>
      <w:r w:rsidR="00024AD4" w:rsidRPr="00C31748">
        <w:rPr>
          <w:rFonts w:hint="eastAsia"/>
          <w:sz w:val="16"/>
          <w:szCs w:val="16"/>
        </w:rPr>
        <w:t>家族と一緒に過ごしています。姉には子どもがおり、姉が仕事に行っている間、障害当事者はその子どもの面倒を見ています。地域社会での支援不足のため、彼女はまだ数ヶ月間入所施設にいます。施設の職員や後見人は、彼女が</w:t>
      </w:r>
      <w:r w:rsidR="00024AD4" w:rsidRPr="00675B03">
        <w:rPr>
          <w:rFonts w:hint="eastAsia"/>
          <w:sz w:val="16"/>
          <w:szCs w:val="16"/>
        </w:rPr>
        <w:t>いつも</w:t>
      </w:r>
      <w:r w:rsidR="00C31748" w:rsidRPr="00675B03">
        <w:rPr>
          <w:rFonts w:hint="eastAsia"/>
          <w:sz w:val="16"/>
          <w:szCs w:val="16"/>
        </w:rPr>
        <w:t>甥</w:t>
      </w:r>
      <w:r w:rsidR="00024AD4" w:rsidRPr="00675B03">
        <w:rPr>
          <w:rFonts w:hint="eastAsia"/>
          <w:sz w:val="16"/>
          <w:szCs w:val="16"/>
        </w:rPr>
        <w:t>の世話をし、他の人と同じように生活しているのに、彼女が施設を出て、地域で自立して生活することを許可してくれません。（訳注　昼間のみ姉の家で</w:t>
      </w:r>
      <w:r w:rsidR="00C31748" w:rsidRPr="00675B03">
        <w:rPr>
          <w:rFonts w:hint="eastAsia"/>
          <w:sz w:val="16"/>
          <w:szCs w:val="16"/>
        </w:rPr>
        <w:t>甥</w:t>
      </w:r>
      <w:r w:rsidR="00024AD4" w:rsidRPr="00675B03">
        <w:rPr>
          <w:rFonts w:hint="eastAsia"/>
          <w:sz w:val="16"/>
          <w:szCs w:val="16"/>
        </w:rPr>
        <w:t>の世話をしているものと思われる。）</w:t>
      </w:r>
    </w:p>
    <w:p w14:paraId="6CA3AA49" w14:textId="3A07A36A" w:rsidR="00A764E3" w:rsidRDefault="00A764E3" w:rsidP="004D2971">
      <w:pPr>
        <w:pStyle w:val="a7"/>
        <w:ind w:firstLineChars="100" w:firstLine="160"/>
        <w:rPr>
          <w:sz w:val="16"/>
          <w:szCs w:val="16"/>
        </w:rPr>
      </w:pPr>
      <w:r w:rsidRPr="00675B03">
        <w:rPr>
          <w:rFonts w:hint="eastAsia"/>
          <w:sz w:val="16"/>
          <w:szCs w:val="16"/>
        </w:rPr>
        <w:t>また、別の障害当事者が言いました。「私は生まれたところに家があります。兄も、いつでもそこに行けると言ってくれますが、それは嘘です。事実ではありません。</w:t>
      </w:r>
      <w:r w:rsidR="003B4B65" w:rsidRPr="00675B03">
        <w:rPr>
          <w:rFonts w:hint="eastAsia"/>
          <w:sz w:val="16"/>
          <w:szCs w:val="16"/>
        </w:rPr>
        <w:t>施設は、</w:t>
      </w:r>
      <w:r w:rsidRPr="00675B03">
        <w:rPr>
          <w:rFonts w:hint="eastAsia"/>
          <w:sz w:val="16"/>
          <w:szCs w:val="16"/>
        </w:rPr>
        <w:t>私は一人では旅行できないと言って、私を否定します。そして兄は、</w:t>
      </w:r>
      <w:r w:rsidR="003B4B65" w:rsidRPr="00675B03">
        <w:rPr>
          <w:rFonts w:hint="eastAsia"/>
          <w:sz w:val="16"/>
          <w:szCs w:val="16"/>
        </w:rPr>
        <w:t>私が</w:t>
      </w:r>
      <w:r w:rsidRPr="00675B03">
        <w:rPr>
          <w:rFonts w:hint="eastAsia"/>
          <w:sz w:val="16"/>
          <w:szCs w:val="16"/>
        </w:rPr>
        <w:t>週末は一人で来られる</w:t>
      </w:r>
      <w:r w:rsidRPr="00A764E3">
        <w:rPr>
          <w:rFonts w:hint="eastAsia"/>
          <w:sz w:val="16"/>
          <w:szCs w:val="16"/>
        </w:rPr>
        <w:t>と言いました。私は</w:t>
      </w:r>
      <w:r w:rsidRPr="003B4B65">
        <w:rPr>
          <w:rFonts w:hint="eastAsia"/>
          <w:sz w:val="16"/>
          <w:szCs w:val="16"/>
        </w:rPr>
        <w:t>、</w:t>
      </w:r>
      <w:r w:rsidRPr="00A764E3">
        <w:rPr>
          <w:rFonts w:hint="eastAsia"/>
          <w:sz w:val="16"/>
          <w:szCs w:val="16"/>
        </w:rPr>
        <w:t>父が残してくれたあの家に住みたいです。国からの医療支援と経済支援があれば、自立して暮らせるんです。」</w:t>
      </w:r>
    </w:p>
    <w:p w14:paraId="27C6FD49" w14:textId="6CDD396C" w:rsidR="00A764E3" w:rsidRPr="00675B03" w:rsidRDefault="00A764E3" w:rsidP="004D2971">
      <w:pPr>
        <w:pStyle w:val="a7"/>
        <w:ind w:firstLineChars="100" w:firstLine="160"/>
        <w:rPr>
          <w:sz w:val="16"/>
          <w:szCs w:val="16"/>
        </w:rPr>
      </w:pPr>
      <w:r w:rsidRPr="00A764E3">
        <w:rPr>
          <w:rFonts w:hint="eastAsia"/>
          <w:sz w:val="16"/>
          <w:szCs w:val="16"/>
        </w:rPr>
        <w:t>私た</w:t>
      </w:r>
      <w:r w:rsidRPr="00675B03">
        <w:rPr>
          <w:rFonts w:hint="eastAsia"/>
          <w:sz w:val="16"/>
          <w:szCs w:val="16"/>
        </w:rPr>
        <w:t>ちの</w:t>
      </w:r>
      <w:r w:rsidR="003B4B65" w:rsidRPr="00675B03">
        <w:rPr>
          <w:rFonts w:hint="eastAsia"/>
          <w:sz w:val="16"/>
          <w:szCs w:val="16"/>
        </w:rPr>
        <w:t>ある</w:t>
      </w:r>
      <w:r w:rsidRPr="00675B03">
        <w:rPr>
          <w:rFonts w:hint="eastAsia"/>
          <w:sz w:val="16"/>
          <w:szCs w:val="16"/>
        </w:rPr>
        <w:t>障害当事者は、</w:t>
      </w:r>
      <w:r w:rsidRPr="00675B03">
        <w:rPr>
          <w:sz w:val="16"/>
          <w:szCs w:val="16"/>
        </w:rPr>
        <w:t>14年間サポート付き住宅で過ごしましたが、その後、入所施設に戻されました。彼女はこう言っています。「私は14年間、サポート付き住宅で生活してきました。私は料理をし、皿洗いをし、洗濯をし、アパートを維持してきました。しかし、私はまだ自由ではありませんでした。ルールがあり、他の人が私のために何が良いかを決めていたのです。施設にいるよりはましでした。しかし、サポート付き住宅での生活は終了し、私には家族がいないため、同じ施設に戻され、寝ることもできず、身の危険を感じます。働きたい、仕事をしたい</w:t>
      </w:r>
      <w:r w:rsidRPr="00675B03">
        <w:rPr>
          <w:rFonts w:hint="eastAsia"/>
          <w:sz w:val="16"/>
          <w:szCs w:val="16"/>
        </w:rPr>
        <w:t>、と思っても、ソーシャルワーカーから「働いたら施設を出なければならない」と言われます。でも、行き場がないんです。私の一番の願いは、施設を出て、自分の力で生きていくことです。自分のアパートと仕事を持ち、給料をもらってアパートを維持することです。自由を感じたい。劇場や映画館に行きたいです。重要な問題については、誰かに相談するなど、サポートが必要なこともあるのは承知しています。でも、だからといって、施設に入る必要はないと思うんです。誰もそんな状態で暮らしてはいけません！」</w:t>
      </w:r>
    </w:p>
  </w:footnote>
  <w:footnote w:id="5">
    <w:p w14:paraId="24191389" w14:textId="496C3AB0" w:rsidR="008B6A5A" w:rsidRPr="00675B03" w:rsidRDefault="00EE6019" w:rsidP="008B6A5A">
      <w:pPr>
        <w:pStyle w:val="a7"/>
        <w:rPr>
          <w:sz w:val="16"/>
          <w:szCs w:val="16"/>
        </w:rPr>
      </w:pPr>
      <w:r w:rsidRPr="00675B03">
        <w:rPr>
          <w:rStyle w:val="a9"/>
          <w:sz w:val="16"/>
          <w:szCs w:val="16"/>
        </w:rPr>
        <w:footnoteRef/>
      </w:r>
      <w:r w:rsidRPr="00675B03">
        <w:rPr>
          <w:sz w:val="16"/>
          <w:szCs w:val="16"/>
        </w:rPr>
        <w:t xml:space="preserve"> </w:t>
      </w:r>
      <w:r w:rsidR="008B6A5A" w:rsidRPr="00675B03">
        <w:rPr>
          <w:rFonts w:hint="eastAsia"/>
          <w:sz w:val="16"/>
          <w:szCs w:val="16"/>
        </w:rPr>
        <w:t>私たちの障害当事者からの証言：</w:t>
      </w:r>
      <w:r w:rsidR="008B6A5A" w:rsidRPr="00675B03">
        <w:rPr>
          <w:sz w:val="16"/>
          <w:szCs w:val="16"/>
        </w:rPr>
        <w:t xml:space="preserve"> 「最近、私はアパートのことを聞くために社会福祉センターに行きました。彼らは私に家として</w:t>
      </w:r>
      <w:r w:rsidR="003D6252" w:rsidRPr="00675B03">
        <w:rPr>
          <w:rFonts w:hint="eastAsia"/>
          <w:sz w:val="16"/>
          <w:szCs w:val="16"/>
        </w:rPr>
        <w:t>の</w:t>
      </w:r>
      <w:r w:rsidR="008B6A5A" w:rsidRPr="00675B03">
        <w:rPr>
          <w:sz w:val="16"/>
          <w:szCs w:val="16"/>
        </w:rPr>
        <w:t>社会ケア施設を提供するだけです。私は、普通の人と同じように働き、自立して生活したいので、社会福祉施設には住みたくないと伝えました。すると「社会ケア施設以外、提供できるものはない」と言われました。</w:t>
      </w:r>
    </w:p>
    <w:p w14:paraId="2F8BADAC" w14:textId="47AD1168" w:rsidR="00EE6019" w:rsidRPr="00A764E3" w:rsidRDefault="008B6A5A" w:rsidP="005C65E6">
      <w:pPr>
        <w:pStyle w:val="a7"/>
        <w:ind w:firstLineChars="100" w:firstLine="160"/>
        <w:rPr>
          <w:sz w:val="16"/>
          <w:szCs w:val="16"/>
        </w:rPr>
      </w:pPr>
      <w:r w:rsidRPr="00675B03">
        <w:rPr>
          <w:sz w:val="16"/>
          <w:szCs w:val="16"/>
        </w:rPr>
        <w:t>MDRI-Sの障害当事者の中には、組織的</w:t>
      </w:r>
      <w:r w:rsidR="003D6252" w:rsidRPr="00675B03">
        <w:rPr>
          <w:rFonts w:hint="eastAsia"/>
          <w:sz w:val="16"/>
          <w:szCs w:val="16"/>
        </w:rPr>
        <w:t>でなく，体系化されていない</w:t>
      </w:r>
      <w:r w:rsidRPr="00675B03">
        <w:rPr>
          <w:sz w:val="16"/>
          <w:szCs w:val="16"/>
        </w:rPr>
        <w:t>方法で施設を出ることを経験した人もいます。つまり、運良く、社会ケア施設を出て、今は地域で生活しています。彼らは、いかなる制度的な支援も受けずに生活しています。彼らはこう言いました：</w:t>
      </w:r>
      <w:r w:rsidR="00A764E3" w:rsidRPr="00675B03">
        <w:rPr>
          <w:rFonts w:hint="eastAsia"/>
          <w:sz w:val="16"/>
          <w:szCs w:val="16"/>
        </w:rPr>
        <w:t xml:space="preserve"> </w:t>
      </w:r>
      <w:r w:rsidRPr="00675B03">
        <w:rPr>
          <w:sz w:val="16"/>
          <w:szCs w:val="16"/>
        </w:rPr>
        <w:t>「制度からの支援も、地域社会サービスの支援もなかった</w:t>
      </w:r>
      <w:r w:rsidR="00362CC5" w:rsidRPr="00675B03">
        <w:rPr>
          <w:rFonts w:hint="eastAsia"/>
          <w:sz w:val="16"/>
          <w:szCs w:val="16"/>
        </w:rPr>
        <w:t>のに</w:t>
      </w:r>
      <w:r w:rsidR="003D6252" w:rsidRPr="00675B03">
        <w:rPr>
          <w:rFonts w:hint="eastAsia"/>
          <w:sz w:val="16"/>
          <w:szCs w:val="16"/>
        </w:rPr>
        <w:t>、</w:t>
      </w:r>
      <w:r w:rsidR="003D6252" w:rsidRPr="00675B03">
        <w:rPr>
          <w:sz w:val="16"/>
          <w:szCs w:val="16"/>
        </w:rPr>
        <w:t>私たち2人が出て</w:t>
      </w:r>
      <w:r w:rsidR="003D6252" w:rsidRPr="00675B03">
        <w:rPr>
          <w:rFonts w:hint="eastAsia"/>
          <w:sz w:val="16"/>
          <w:szCs w:val="16"/>
        </w:rPr>
        <w:t>こられた</w:t>
      </w:r>
      <w:r w:rsidR="003D6252" w:rsidRPr="00675B03">
        <w:rPr>
          <w:sz w:val="16"/>
          <w:szCs w:val="16"/>
        </w:rPr>
        <w:t>のは、</w:t>
      </w:r>
      <w:r w:rsidRPr="00675B03">
        <w:rPr>
          <w:sz w:val="16"/>
          <w:szCs w:val="16"/>
        </w:rPr>
        <w:t>ただ運が良かっただけ。個人の善意によってのみ</w:t>
      </w:r>
      <w:r w:rsidR="00362CC5" w:rsidRPr="00675B03">
        <w:rPr>
          <w:rFonts w:hint="eastAsia"/>
          <w:sz w:val="16"/>
          <w:szCs w:val="16"/>
        </w:rPr>
        <w:t>でした</w:t>
      </w:r>
      <w:r w:rsidRPr="00675B03">
        <w:rPr>
          <w:sz w:val="16"/>
          <w:szCs w:val="16"/>
        </w:rPr>
        <w:t>。」</w:t>
      </w:r>
    </w:p>
  </w:footnote>
  <w:footnote w:id="6">
    <w:p w14:paraId="2DFC38D5" w14:textId="73792A5B" w:rsidR="008B6A5A" w:rsidRPr="007C1DF4" w:rsidRDefault="008B6A5A">
      <w:pPr>
        <w:pStyle w:val="a7"/>
        <w:rPr>
          <w:sz w:val="16"/>
          <w:szCs w:val="16"/>
        </w:rPr>
      </w:pPr>
      <w:r w:rsidRPr="007C1DF4">
        <w:rPr>
          <w:rStyle w:val="a9"/>
          <w:sz w:val="16"/>
          <w:szCs w:val="16"/>
        </w:rPr>
        <w:footnoteRef/>
      </w:r>
      <w:r w:rsidRPr="007C1DF4">
        <w:rPr>
          <w:sz w:val="16"/>
          <w:szCs w:val="16"/>
        </w:rPr>
        <w:t xml:space="preserve"> </w:t>
      </w:r>
      <w:r w:rsidRPr="007C1DF4">
        <w:rPr>
          <w:spacing w:val="-12"/>
          <w:sz w:val="16"/>
          <w:szCs w:val="16"/>
        </w:rPr>
        <w:t xml:space="preserve"> </w:t>
      </w:r>
      <w:hyperlink r:id="rId3">
        <w:r w:rsidRPr="007C1DF4">
          <w:rPr>
            <w:color w:val="0462C1"/>
            <w:sz w:val="16"/>
            <w:szCs w:val="16"/>
            <w:u w:val="single" w:color="0462C1"/>
          </w:rPr>
          <w:t>https://www.youtube.com/watch?v=mS5k76GlsKM</w:t>
        </w:r>
      </w:hyperlink>
    </w:p>
  </w:footnote>
  <w:footnote w:id="7">
    <w:p w14:paraId="41301B2A" w14:textId="6D3B15F0" w:rsidR="007C1DF4" w:rsidRPr="007C1DF4" w:rsidRDefault="008B6A5A" w:rsidP="008B6A5A">
      <w:pPr>
        <w:jc w:val="left"/>
        <w:rPr>
          <w:sz w:val="16"/>
          <w:szCs w:val="16"/>
          <w:highlight w:val="cyan"/>
        </w:rPr>
      </w:pPr>
      <w:r w:rsidRPr="007C1DF4">
        <w:rPr>
          <w:rStyle w:val="a9"/>
          <w:sz w:val="16"/>
          <w:szCs w:val="16"/>
        </w:rPr>
        <w:footnoteRef/>
      </w:r>
      <w:r w:rsidRPr="007C1DF4">
        <w:rPr>
          <w:sz w:val="16"/>
          <w:szCs w:val="16"/>
        </w:rPr>
        <w:t xml:space="preserve"> 乳幼児や子どもが施設に入所し、放置され続けてい</w:t>
      </w:r>
      <w:r w:rsidRPr="00675B03">
        <w:rPr>
          <w:sz w:val="16"/>
          <w:szCs w:val="16"/>
        </w:rPr>
        <w:t>る</w:t>
      </w:r>
      <w:r w:rsidR="007C1DF4" w:rsidRPr="00675B03">
        <w:rPr>
          <w:rFonts w:hint="eastAsia"/>
          <w:sz w:val="16"/>
          <w:szCs w:val="16"/>
        </w:rPr>
        <w:t>。</w:t>
      </w:r>
    </w:p>
    <w:p w14:paraId="10922343" w14:textId="4EA5941E" w:rsidR="008B6A5A" w:rsidRPr="007C1DF4" w:rsidRDefault="008B6A5A" w:rsidP="008B6A5A">
      <w:pPr>
        <w:jc w:val="left"/>
        <w:rPr>
          <w:sz w:val="16"/>
          <w:szCs w:val="16"/>
        </w:rPr>
      </w:pPr>
      <w:r w:rsidRPr="00675B03">
        <w:rPr>
          <w:sz w:val="16"/>
          <w:szCs w:val="16"/>
        </w:rPr>
        <w:t>https://</w:t>
      </w:r>
      <w:r w:rsidRPr="007C1DF4">
        <w:rPr>
          <w:sz w:val="16"/>
          <w:szCs w:val="16"/>
        </w:rPr>
        <w:t xml:space="preserve">www.minrzs.gov.rs/sr/aktuelnosti/vesti/ministarka-kisic-tepavcevic-zajedno-sa-predstavnicima-mdri- </w:t>
      </w:r>
      <w:proofErr w:type="spellStart"/>
      <w:r w:rsidRPr="007C1DF4">
        <w:rPr>
          <w:sz w:val="16"/>
          <w:szCs w:val="16"/>
        </w:rPr>
        <w:t>obisla</w:t>
      </w:r>
      <w:proofErr w:type="spellEnd"/>
      <w:r w:rsidRPr="007C1DF4">
        <w:rPr>
          <w:sz w:val="16"/>
          <w:szCs w:val="16"/>
        </w:rPr>
        <w:t>-</w:t>
      </w:r>
      <w:proofErr w:type="spellStart"/>
      <w:r w:rsidRPr="007C1DF4">
        <w:rPr>
          <w:sz w:val="16"/>
          <w:szCs w:val="16"/>
        </w:rPr>
        <w:t>dom</w:t>
      </w:r>
      <w:proofErr w:type="spellEnd"/>
      <w:r w:rsidRPr="007C1DF4">
        <w:rPr>
          <w:sz w:val="16"/>
          <w:szCs w:val="16"/>
        </w:rPr>
        <w:t>-za-</w:t>
      </w:r>
      <w:proofErr w:type="spellStart"/>
      <w:r w:rsidRPr="007C1DF4">
        <w:rPr>
          <w:sz w:val="16"/>
          <w:szCs w:val="16"/>
        </w:rPr>
        <w:t>decu</w:t>
      </w:r>
      <w:proofErr w:type="spellEnd"/>
      <w:r w:rsidRPr="007C1DF4">
        <w:rPr>
          <w:sz w:val="16"/>
          <w:szCs w:val="16"/>
        </w:rPr>
        <w:t>-</w:t>
      </w:r>
      <w:proofErr w:type="spellStart"/>
      <w:r w:rsidRPr="007C1DF4">
        <w:rPr>
          <w:sz w:val="16"/>
          <w:szCs w:val="16"/>
        </w:rPr>
        <w:t>ometenu</w:t>
      </w:r>
      <w:proofErr w:type="spellEnd"/>
      <w:r w:rsidRPr="007C1DF4">
        <w:rPr>
          <w:sz w:val="16"/>
          <w:szCs w:val="16"/>
        </w:rPr>
        <w:t>-u-</w:t>
      </w:r>
      <w:proofErr w:type="spellStart"/>
      <w:r w:rsidRPr="007C1DF4">
        <w:rPr>
          <w:sz w:val="16"/>
          <w:szCs w:val="16"/>
        </w:rPr>
        <w:t>razvoju</w:t>
      </w:r>
      <w:proofErr w:type="spellEnd"/>
      <w:r w:rsidRPr="007C1DF4">
        <w:rPr>
          <w:sz w:val="16"/>
          <w:szCs w:val="16"/>
        </w:rPr>
        <w:t>-</w:t>
      </w:r>
      <w:proofErr w:type="spellStart"/>
      <w:r w:rsidRPr="007C1DF4">
        <w:rPr>
          <w:sz w:val="16"/>
          <w:szCs w:val="16"/>
        </w:rPr>
        <w:t>kolevka</w:t>
      </w:r>
      <w:proofErr w:type="spellEnd"/>
    </w:p>
  </w:footnote>
  <w:footnote w:id="8">
    <w:p w14:paraId="70633D45" w14:textId="32737924" w:rsidR="008B6A5A" w:rsidRPr="007C1DF4" w:rsidRDefault="008B6A5A" w:rsidP="005C65E6">
      <w:pPr>
        <w:rPr>
          <w:sz w:val="16"/>
          <w:szCs w:val="16"/>
          <w:lang w:val="es-419"/>
        </w:rPr>
      </w:pPr>
      <w:r w:rsidRPr="007C1DF4">
        <w:rPr>
          <w:rStyle w:val="a9"/>
          <w:sz w:val="16"/>
          <w:szCs w:val="16"/>
        </w:rPr>
        <w:footnoteRef/>
      </w:r>
      <w:hyperlink r:id="rId4" w:history="1">
        <w:r w:rsidR="005C65E6" w:rsidRPr="007C1DF4">
          <w:rPr>
            <w:rStyle w:val="aa"/>
            <w:spacing w:val="-1"/>
            <w:sz w:val="16"/>
            <w:szCs w:val="16"/>
            <w:lang w:val="es-419"/>
          </w:rPr>
          <w:t>https://www.mdri-s.org/public/documents/upload/publications-in-english/Isolated-in-isolation.pdf</w:t>
        </w:r>
      </w:hyperlink>
    </w:p>
    <w:p w14:paraId="2BA22BAB" w14:textId="2A327568" w:rsidR="008B6A5A" w:rsidRPr="008B6A5A" w:rsidRDefault="008B6A5A">
      <w:pPr>
        <w:pStyle w:val="a7"/>
        <w:rPr>
          <w:lang w:val="es-419"/>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B7"/>
    <w:rsid w:val="00024AD4"/>
    <w:rsid w:val="00042F36"/>
    <w:rsid w:val="00082963"/>
    <w:rsid w:val="000E56D5"/>
    <w:rsid w:val="001412C9"/>
    <w:rsid w:val="00143695"/>
    <w:rsid w:val="001A05E9"/>
    <w:rsid w:val="00290579"/>
    <w:rsid w:val="002D28FB"/>
    <w:rsid w:val="00362CC5"/>
    <w:rsid w:val="00383B00"/>
    <w:rsid w:val="003A0CA8"/>
    <w:rsid w:val="003B4B65"/>
    <w:rsid w:val="003B6BF5"/>
    <w:rsid w:val="003D6252"/>
    <w:rsid w:val="00436BB7"/>
    <w:rsid w:val="004D2971"/>
    <w:rsid w:val="0053242E"/>
    <w:rsid w:val="005C65E6"/>
    <w:rsid w:val="005D299E"/>
    <w:rsid w:val="005D50F0"/>
    <w:rsid w:val="00675B03"/>
    <w:rsid w:val="00693C2C"/>
    <w:rsid w:val="006D0299"/>
    <w:rsid w:val="00701AEB"/>
    <w:rsid w:val="007172B8"/>
    <w:rsid w:val="007815E8"/>
    <w:rsid w:val="007A4992"/>
    <w:rsid w:val="007C1DF4"/>
    <w:rsid w:val="008B6A5A"/>
    <w:rsid w:val="009150D4"/>
    <w:rsid w:val="009B2FF0"/>
    <w:rsid w:val="009C5BD1"/>
    <w:rsid w:val="00A066F8"/>
    <w:rsid w:val="00A305E0"/>
    <w:rsid w:val="00A33502"/>
    <w:rsid w:val="00A764E3"/>
    <w:rsid w:val="00AC04F6"/>
    <w:rsid w:val="00B30B31"/>
    <w:rsid w:val="00B62490"/>
    <w:rsid w:val="00BE6D31"/>
    <w:rsid w:val="00C0346F"/>
    <w:rsid w:val="00C31748"/>
    <w:rsid w:val="00CF3C30"/>
    <w:rsid w:val="00CF3ECE"/>
    <w:rsid w:val="00DE5D1E"/>
    <w:rsid w:val="00E40E29"/>
    <w:rsid w:val="00E50C6D"/>
    <w:rsid w:val="00E563FA"/>
    <w:rsid w:val="00EC073A"/>
    <w:rsid w:val="00EE6019"/>
    <w:rsid w:val="00F27098"/>
    <w:rsid w:val="00FD1916"/>
    <w:rsid w:val="00FD2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1876A3"/>
  <w15:chartTrackingRefBased/>
  <w15:docId w15:val="{EE524ABE-F4F9-483F-ADE2-F3341BCB1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6BB7"/>
    <w:pPr>
      <w:tabs>
        <w:tab w:val="center" w:pos="4252"/>
        <w:tab w:val="right" w:pos="8504"/>
      </w:tabs>
      <w:snapToGrid w:val="0"/>
    </w:pPr>
  </w:style>
  <w:style w:type="character" w:customStyle="1" w:styleId="a4">
    <w:name w:val="ヘッダー (文字)"/>
    <w:basedOn w:val="a0"/>
    <w:link w:val="a3"/>
    <w:uiPriority w:val="99"/>
    <w:rsid w:val="00436BB7"/>
  </w:style>
  <w:style w:type="paragraph" w:styleId="a5">
    <w:name w:val="footer"/>
    <w:basedOn w:val="a"/>
    <w:link w:val="a6"/>
    <w:uiPriority w:val="99"/>
    <w:unhideWhenUsed/>
    <w:rsid w:val="00436BB7"/>
    <w:pPr>
      <w:tabs>
        <w:tab w:val="center" w:pos="4252"/>
        <w:tab w:val="right" w:pos="8504"/>
      </w:tabs>
      <w:snapToGrid w:val="0"/>
    </w:pPr>
  </w:style>
  <w:style w:type="character" w:customStyle="1" w:styleId="a6">
    <w:name w:val="フッター (文字)"/>
    <w:basedOn w:val="a0"/>
    <w:link w:val="a5"/>
    <w:uiPriority w:val="99"/>
    <w:rsid w:val="00436BB7"/>
  </w:style>
  <w:style w:type="paragraph" w:styleId="a7">
    <w:name w:val="footnote text"/>
    <w:basedOn w:val="a"/>
    <w:link w:val="a8"/>
    <w:uiPriority w:val="99"/>
    <w:unhideWhenUsed/>
    <w:rsid w:val="00E563FA"/>
    <w:pPr>
      <w:snapToGrid w:val="0"/>
      <w:jc w:val="left"/>
    </w:pPr>
  </w:style>
  <w:style w:type="character" w:customStyle="1" w:styleId="a8">
    <w:name w:val="脚注文字列 (文字)"/>
    <w:basedOn w:val="a0"/>
    <w:link w:val="a7"/>
    <w:uiPriority w:val="99"/>
    <w:rsid w:val="00E563FA"/>
  </w:style>
  <w:style w:type="character" w:styleId="a9">
    <w:name w:val="footnote reference"/>
    <w:basedOn w:val="a0"/>
    <w:uiPriority w:val="99"/>
    <w:semiHidden/>
    <w:unhideWhenUsed/>
    <w:rsid w:val="00E563FA"/>
    <w:rPr>
      <w:vertAlign w:val="superscript"/>
    </w:rPr>
  </w:style>
  <w:style w:type="character" w:styleId="aa">
    <w:name w:val="Hyperlink"/>
    <w:basedOn w:val="a0"/>
    <w:uiPriority w:val="99"/>
    <w:unhideWhenUsed/>
    <w:rsid w:val="005C65E6"/>
    <w:rPr>
      <w:color w:val="0563C1" w:themeColor="hyperlink"/>
      <w:u w:val="single"/>
    </w:rPr>
  </w:style>
  <w:style w:type="character" w:styleId="ab">
    <w:name w:val="Unresolved Mention"/>
    <w:basedOn w:val="a0"/>
    <w:uiPriority w:val="99"/>
    <w:semiHidden/>
    <w:unhideWhenUsed/>
    <w:rsid w:val="005C6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mS5k76GlsKM" TargetMode="External"/><Relationship Id="rId2" Type="http://schemas.openxmlformats.org/officeDocument/2006/relationships/hyperlink" Target="https://www.mdri-s.org/public/documents/upload/publications-in-english/Publikacija-engleski.pdf" TargetMode="External"/><Relationship Id="rId1" Type="http://schemas.openxmlformats.org/officeDocument/2006/relationships/hyperlink" Target="https://www.youtube.com/watch?v=uBtt3sUr6No" TargetMode="External"/><Relationship Id="rId4" Type="http://schemas.openxmlformats.org/officeDocument/2006/relationships/hyperlink" Target="https://www.mdri-s.org/public/documents/upload/publications-in-english/Isolated-in-isolation.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8B1E4-51F4-4F60-B9BC-6FD387FA2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397</Words>
  <Characters>2268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 佐藤</dc:creator>
  <cp:keywords/>
  <dc:description/>
  <cp:lastModifiedBy>久夫 佐藤</cp:lastModifiedBy>
  <cp:revision>2</cp:revision>
  <dcterms:created xsi:type="dcterms:W3CDTF">2024-03-04T10:53:00Z</dcterms:created>
  <dcterms:modified xsi:type="dcterms:W3CDTF">2024-03-04T10:53:00Z</dcterms:modified>
</cp:coreProperties>
</file>