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9148" w14:textId="0A514111" w:rsidR="007D2731" w:rsidRDefault="007D2731" w:rsidP="007D2731">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94</w:t>
      </w:r>
    </w:p>
    <w:p w14:paraId="5294252E" w14:textId="77777777" w:rsidR="000454AC" w:rsidRPr="007D2731" w:rsidRDefault="000454AC"/>
    <w:p w14:paraId="2F1E71AA" w14:textId="1CAF2EB8" w:rsidR="000454AC" w:rsidRPr="000454AC" w:rsidRDefault="000454AC">
      <w:pPr>
        <w:rPr>
          <w:rFonts w:ascii="ＭＳ Ｐゴシック" w:eastAsia="ＭＳ Ｐゴシック" w:hAnsi="ＭＳ Ｐゴシック"/>
          <w:b/>
          <w:bCs/>
          <w:sz w:val="24"/>
          <w:szCs w:val="24"/>
        </w:rPr>
      </w:pPr>
      <w:r w:rsidRPr="000454AC">
        <w:rPr>
          <w:rFonts w:ascii="ＭＳ Ｐゴシック" w:eastAsia="ＭＳ Ｐゴシック" w:hAnsi="ＭＳ Ｐゴシック" w:hint="eastAsia"/>
          <w:b/>
          <w:bCs/>
          <w:sz w:val="24"/>
          <w:szCs w:val="24"/>
        </w:rPr>
        <w:t>オーストラリア</w:t>
      </w:r>
      <w:r w:rsidRPr="000454AC">
        <w:rPr>
          <w:rFonts w:ascii="ＭＳ Ｐゴシック" w:eastAsia="ＭＳ Ｐゴシック" w:hAnsi="ＭＳ Ｐゴシック"/>
          <w:b/>
          <w:bCs/>
          <w:sz w:val="24"/>
          <w:szCs w:val="24"/>
        </w:rPr>
        <w:t>QAI</w:t>
      </w:r>
      <w:r w:rsidRPr="000454AC">
        <w:rPr>
          <w:rFonts w:ascii="ＭＳ Ｐゴシック" w:eastAsia="ＭＳ Ｐゴシック" w:hAnsi="ＭＳ Ｐゴシック" w:hint="eastAsia"/>
          <w:b/>
          <w:bCs/>
          <w:sz w:val="24"/>
          <w:szCs w:val="24"/>
        </w:rPr>
        <w:t>/</w:t>
      </w:r>
      <w:r w:rsidRPr="000454AC">
        <w:rPr>
          <w:rFonts w:ascii="ＭＳ Ｐゴシック" w:eastAsia="ＭＳ Ｐゴシック" w:hAnsi="ＭＳ Ｐゴシック"/>
          <w:b/>
          <w:bCs/>
          <w:sz w:val="24"/>
          <w:szCs w:val="24"/>
        </w:rPr>
        <w:t>PWDA</w:t>
      </w:r>
    </w:p>
    <w:p w14:paraId="6E59CEE6" w14:textId="5023D113" w:rsidR="000454AC" w:rsidRPr="004E65B7" w:rsidRDefault="000454AC">
      <w:pPr>
        <w:rPr>
          <w:rFonts w:ascii="ＭＳ Ｐゴシック" w:eastAsia="ＭＳ Ｐゴシック" w:hAnsi="ＭＳ Ｐゴシック"/>
          <w:sz w:val="22"/>
        </w:rPr>
      </w:pPr>
      <w:r w:rsidRPr="004E65B7">
        <w:rPr>
          <w:rFonts w:ascii="ＭＳ Ｐゴシック" w:eastAsia="ＭＳ Ｐゴシック" w:hAnsi="ＭＳ Ｐゴシック" w:hint="eastAsia"/>
          <w:sz w:val="22"/>
        </w:rPr>
        <w:t>脱施設化ガイドライン草案について</w:t>
      </w:r>
    </w:p>
    <w:p w14:paraId="7B6A5002" w14:textId="77777777" w:rsidR="00095243" w:rsidRDefault="00095243"/>
    <w:p w14:paraId="10C92CCB" w14:textId="7B36ABD0" w:rsidR="000454AC" w:rsidRPr="000454AC" w:rsidRDefault="00095243">
      <w:r w:rsidRPr="00095243">
        <w:t>Queensland Advocacy for Inclusion (QAI) and People with Disability Australia (PWDA)</w:t>
      </w:r>
    </w:p>
    <w:p w14:paraId="2EC3498D" w14:textId="06634D3D" w:rsidR="00B854B2" w:rsidRDefault="000454AC">
      <w:r w:rsidRPr="000454AC">
        <w:t>Draft Guidelines on Deinstitutionalization</w:t>
      </w:r>
    </w:p>
    <w:p w14:paraId="38837162" w14:textId="77777777" w:rsidR="000454AC" w:rsidRDefault="000454AC"/>
    <w:p w14:paraId="6ED17D3F" w14:textId="0B8CD7DC" w:rsidR="000454AC" w:rsidRDefault="000454AC" w:rsidP="007824E6">
      <w:pPr>
        <w:ind w:firstLineChars="100" w:firstLine="210"/>
      </w:pPr>
      <w:r>
        <w:rPr>
          <w:rFonts w:hint="eastAsia"/>
        </w:rPr>
        <w:t>これは、</w:t>
      </w:r>
      <w:r>
        <w:t>Queensland Advocacy for Inclusion（QAI</w:t>
      </w:r>
      <w:r w:rsidR="007824E6">
        <w:rPr>
          <w:rFonts w:hint="eastAsia"/>
        </w:rPr>
        <w:t>、クイーンズランド州包摂の権利）</w:t>
      </w:r>
      <w:r>
        <w:t>とPeople with Disability Australia（PWDA</w:t>
      </w:r>
      <w:r w:rsidR="007824E6">
        <w:rPr>
          <w:rFonts w:hint="eastAsia"/>
        </w:rPr>
        <w:t>、障害者オーストラリア</w:t>
      </w:r>
      <w:r>
        <w:t>）が共同で提出したもので</w:t>
      </w:r>
      <w:r w:rsidR="007824E6">
        <w:rPr>
          <w:rFonts w:hint="eastAsia"/>
        </w:rPr>
        <w:t>ある</w:t>
      </w:r>
      <w:r>
        <w:t>。こ</w:t>
      </w:r>
      <w:r w:rsidR="007824E6">
        <w:rPr>
          <w:rFonts w:hint="eastAsia"/>
        </w:rPr>
        <w:t>れ</w:t>
      </w:r>
      <w:r>
        <w:t>は、2022年6月14</w:t>
      </w:r>
      <w:r w:rsidR="007824E6">
        <w:rPr>
          <w:rFonts w:hint="eastAsia"/>
        </w:rPr>
        <w:t>-1</w:t>
      </w:r>
      <w:r>
        <w:t>6日にニューヨークで開催された障害者権利条約（CRPD）第15回締約国会議に出席したオーストラリア市民社会代表</w:t>
      </w:r>
      <w:r w:rsidR="007824E6">
        <w:rPr>
          <w:rFonts w:hint="eastAsia"/>
        </w:rPr>
        <w:t>団</w:t>
      </w:r>
      <w:r>
        <w:t>と協議して作成された。</w:t>
      </w:r>
    </w:p>
    <w:p w14:paraId="75BED01F" w14:textId="54A0D0B2" w:rsidR="000454AC" w:rsidRDefault="000454AC" w:rsidP="007824E6">
      <w:pPr>
        <w:ind w:firstLineChars="100" w:firstLine="210"/>
      </w:pPr>
      <w:r>
        <w:rPr>
          <w:rFonts w:hint="eastAsia"/>
        </w:rPr>
        <w:t>代表団は、脱施設化ガイドラインの草案を歓迎し、その内容を支持</w:t>
      </w:r>
      <w:r w:rsidR="0075206A">
        <w:rPr>
          <w:rFonts w:hint="eastAsia"/>
        </w:rPr>
        <w:t>している</w:t>
      </w:r>
      <w:r>
        <w:rPr>
          <w:rFonts w:hint="eastAsia"/>
        </w:rPr>
        <w:t>。ガイドラインは、自立して生活し、地域社会に</w:t>
      </w:r>
      <w:r w:rsidR="00D82C41">
        <w:rPr>
          <w:rFonts w:hint="eastAsia"/>
        </w:rPr>
        <w:t>包摂される</w:t>
      </w:r>
      <w:r>
        <w:rPr>
          <w:rFonts w:hint="eastAsia"/>
        </w:rPr>
        <w:t>権利が</w:t>
      </w:r>
      <w:r w:rsidR="0075206A">
        <w:rPr>
          <w:rFonts w:hint="eastAsia"/>
        </w:rPr>
        <w:t>、</w:t>
      </w:r>
      <w:r>
        <w:rPr>
          <w:rFonts w:hint="eastAsia"/>
        </w:rPr>
        <w:t>すべての</w:t>
      </w:r>
      <w:r w:rsidR="00713DCD" w:rsidRPr="00905CB4">
        <w:rPr>
          <w:rFonts w:hint="eastAsia"/>
        </w:rPr>
        <w:t>障害のある人</w:t>
      </w:r>
      <w:r w:rsidR="0075206A" w:rsidRPr="00905CB4">
        <w:rPr>
          <w:rFonts w:hint="eastAsia"/>
        </w:rPr>
        <w:t>に</w:t>
      </w:r>
      <w:r w:rsidR="0075206A">
        <w:rPr>
          <w:rFonts w:hint="eastAsia"/>
        </w:rPr>
        <w:t>とって</w:t>
      </w:r>
      <w:r>
        <w:rPr>
          <w:rFonts w:hint="eastAsia"/>
        </w:rPr>
        <w:t>実現されることを保証する締約国の義務を明確にする上で</w:t>
      </w:r>
      <w:r w:rsidR="0075206A">
        <w:rPr>
          <w:rFonts w:hint="eastAsia"/>
        </w:rPr>
        <w:t>、</w:t>
      </w:r>
      <w:r>
        <w:rPr>
          <w:rFonts w:hint="eastAsia"/>
        </w:rPr>
        <w:t>重要な役割を果たすであろう。</w:t>
      </w:r>
    </w:p>
    <w:p w14:paraId="34432761" w14:textId="3B8ABE5C" w:rsidR="000454AC" w:rsidRDefault="000454AC" w:rsidP="0075206A">
      <w:pPr>
        <w:ind w:firstLineChars="100" w:firstLine="210"/>
      </w:pPr>
      <w:r>
        <w:rPr>
          <w:rFonts w:hint="eastAsia"/>
        </w:rPr>
        <w:t>ガイドラインは、法的能力の権利や</w:t>
      </w:r>
      <w:r w:rsidR="0075206A">
        <w:rPr>
          <w:rFonts w:hint="eastAsia"/>
        </w:rPr>
        <w:t>相当</w:t>
      </w:r>
      <w:r>
        <w:rPr>
          <w:rFonts w:hint="eastAsia"/>
        </w:rPr>
        <w:t>な生活水準の権利など、</w:t>
      </w:r>
      <w:r>
        <w:t>CRPDに含まれる多くの権利の実現が、脱施設化運動と相互に関連し、絡み合っていることをうまく文脈づけてい</w:t>
      </w:r>
      <w:r w:rsidR="0075206A">
        <w:rPr>
          <w:rFonts w:hint="eastAsia"/>
        </w:rPr>
        <w:t>る</w:t>
      </w:r>
      <w:r>
        <w:t>。これは、国が資金援助するグループホームの撤去や「地域</w:t>
      </w:r>
      <w:r w:rsidR="00D82C41">
        <w:rPr>
          <w:rFonts w:hint="eastAsia"/>
        </w:rPr>
        <w:t>に根差した</w:t>
      </w:r>
      <w:r>
        <w:t>」グループホームの提供を通じて脱施設化を成功させたと誤って考えている締約国にとって特に有益である。</w:t>
      </w:r>
    </w:p>
    <w:p w14:paraId="0F4A804B" w14:textId="155B5521" w:rsidR="000454AC" w:rsidRDefault="0075206A" w:rsidP="0075206A">
      <w:pPr>
        <w:ind w:firstLineChars="100" w:firstLine="210"/>
      </w:pPr>
      <w:r>
        <w:rPr>
          <w:rFonts w:hint="eastAsia"/>
        </w:rPr>
        <w:t>我々</w:t>
      </w:r>
      <w:r w:rsidR="000454AC">
        <w:rPr>
          <w:rFonts w:hint="eastAsia"/>
        </w:rPr>
        <w:t>は特に、小規模なグループホームや保護作業所</w:t>
      </w:r>
      <w:r>
        <w:rPr>
          <w:rFonts w:hint="eastAsia"/>
        </w:rPr>
        <w:t>（</w:t>
      </w:r>
      <w:r w:rsidRPr="0075206A">
        <w:t>sheltered workshops</w:t>
      </w:r>
      <w:r>
        <w:rPr>
          <w:rFonts w:hint="eastAsia"/>
        </w:rPr>
        <w:t>）</w:t>
      </w:r>
      <w:r w:rsidR="000454AC">
        <w:rPr>
          <w:rFonts w:hint="eastAsia"/>
        </w:rPr>
        <w:t>のような新しい分離されたサービスの</w:t>
      </w:r>
      <w:r>
        <w:rPr>
          <w:rFonts w:hint="eastAsia"/>
        </w:rPr>
        <w:t>立ち上げ</w:t>
      </w:r>
      <w:r w:rsidR="000454AC">
        <w:rPr>
          <w:rFonts w:hint="eastAsia"/>
        </w:rPr>
        <w:t>は、脱施設化プロセス</w:t>
      </w:r>
      <w:r>
        <w:rPr>
          <w:rFonts w:hint="eastAsia"/>
        </w:rPr>
        <w:t>においては</w:t>
      </w:r>
      <w:r w:rsidR="000454AC">
        <w:rPr>
          <w:rFonts w:hint="eastAsia"/>
        </w:rPr>
        <w:t>防止されるべきであり、それらはパラグラフ</w:t>
      </w:r>
      <w:r w:rsidR="000454AC">
        <w:t>26にあるように、</w:t>
      </w:r>
      <w:r>
        <w:rPr>
          <w:rFonts w:hint="eastAsia"/>
        </w:rPr>
        <w:t>地域に根差した</w:t>
      </w:r>
      <w:r w:rsidR="000454AC">
        <w:t>サービスを構成しないことを明確にしたことを歓迎</w:t>
      </w:r>
      <w:r>
        <w:rPr>
          <w:rFonts w:hint="eastAsia"/>
        </w:rPr>
        <w:t>する</w:t>
      </w:r>
      <w:r w:rsidR="000454AC">
        <w:t>。救済、賠償、</w:t>
      </w:r>
      <w:r w:rsidR="003F0905">
        <w:rPr>
          <w:rFonts w:hint="eastAsia"/>
        </w:rPr>
        <w:t>補償</w:t>
      </w:r>
      <w:r w:rsidR="000454AC">
        <w:t>に関する議論も有益であり、見落とされがちな脱施設化プロセスの重要な部分</w:t>
      </w:r>
      <w:r w:rsidR="003F0905">
        <w:rPr>
          <w:rFonts w:hint="eastAsia"/>
        </w:rPr>
        <w:t>である</w:t>
      </w:r>
      <w:r w:rsidR="000454AC">
        <w:t>。</w:t>
      </w:r>
    </w:p>
    <w:p w14:paraId="309E880C" w14:textId="77777777" w:rsidR="00440D90" w:rsidRDefault="00440D90" w:rsidP="0075206A">
      <w:pPr>
        <w:ind w:firstLineChars="100" w:firstLine="210"/>
      </w:pPr>
    </w:p>
    <w:p w14:paraId="38287EBC" w14:textId="6572F717" w:rsidR="000454AC" w:rsidRDefault="000454AC" w:rsidP="003F0905">
      <w:pPr>
        <w:ind w:firstLineChars="100" w:firstLine="210"/>
      </w:pPr>
      <w:r>
        <w:rPr>
          <w:rFonts w:hint="eastAsia"/>
        </w:rPr>
        <w:t>しかしながら、我々は以下の問題</w:t>
      </w:r>
      <w:r w:rsidR="003F0905">
        <w:rPr>
          <w:rFonts w:hint="eastAsia"/>
        </w:rPr>
        <w:t>に</w:t>
      </w:r>
      <w:r>
        <w:rPr>
          <w:rFonts w:hint="eastAsia"/>
        </w:rPr>
        <w:t>委員会の注意を喚起</w:t>
      </w:r>
      <w:r w:rsidR="003F0905">
        <w:rPr>
          <w:rFonts w:hint="eastAsia"/>
        </w:rPr>
        <w:t>したい。</w:t>
      </w:r>
    </w:p>
    <w:p w14:paraId="0492C2B3" w14:textId="45C67FA4" w:rsidR="000454AC" w:rsidRDefault="003F0905" w:rsidP="00F47B53">
      <w:pPr>
        <w:ind w:left="424" w:hangingChars="202" w:hanging="424"/>
      </w:pPr>
      <w:r>
        <w:rPr>
          <w:rFonts w:hint="eastAsia"/>
        </w:rPr>
        <w:t xml:space="preserve">・　</w:t>
      </w:r>
      <w:r w:rsidR="000454AC" w:rsidRPr="003F0905">
        <w:rPr>
          <w:b/>
          <w:bCs/>
        </w:rPr>
        <w:t>ガイドラインが</w:t>
      </w:r>
      <w:bookmarkStart w:id="0" w:name="_Hlk133163991"/>
      <w:r w:rsidRPr="003F0905">
        <w:rPr>
          <w:rFonts w:hint="eastAsia"/>
          <w:b/>
          <w:bCs/>
        </w:rPr>
        <w:t>監護の場</w:t>
      </w:r>
      <w:bookmarkEnd w:id="0"/>
      <w:r w:rsidRPr="003F0905">
        <w:rPr>
          <w:rFonts w:hint="eastAsia"/>
          <w:b/>
          <w:bCs/>
        </w:rPr>
        <w:t>（</w:t>
      </w:r>
      <w:r w:rsidRPr="003F0905">
        <w:rPr>
          <w:b/>
          <w:bCs/>
        </w:rPr>
        <w:t>custodial settings</w:t>
      </w:r>
      <w:r w:rsidRPr="003F0905">
        <w:rPr>
          <w:rFonts w:hint="eastAsia"/>
          <w:b/>
          <w:bCs/>
        </w:rPr>
        <w:t>）</w:t>
      </w:r>
      <w:r w:rsidR="000454AC" w:rsidRPr="003F0905">
        <w:rPr>
          <w:b/>
          <w:bCs/>
        </w:rPr>
        <w:t>にどの程度適用されるかは曖昧である。</w:t>
      </w:r>
      <w:r w:rsidR="000454AC">
        <w:t>パラグラフ14で、ガイドラインは「刑務所などの</w:t>
      </w:r>
      <w:r>
        <w:rPr>
          <w:rFonts w:hint="eastAsia"/>
        </w:rPr>
        <w:t>一般</w:t>
      </w:r>
      <w:r w:rsidR="008061A9" w:rsidRPr="00905CB4">
        <w:rPr>
          <w:rFonts w:hint="eastAsia"/>
        </w:rPr>
        <w:t>的</w:t>
      </w:r>
      <w:r w:rsidR="000454AC">
        <w:t>施設環境も...脱施設化の努力に含まれるべきである」と述べている。</w:t>
      </w:r>
      <w:r w:rsidR="00474977" w:rsidRPr="00474977">
        <w:rPr>
          <w:rFonts w:hint="eastAsia"/>
        </w:rPr>
        <w:t>監護の場</w:t>
      </w:r>
      <w:r w:rsidR="000454AC">
        <w:t>などの特定の</w:t>
      </w:r>
      <w:r w:rsidR="00474977">
        <w:rPr>
          <w:rFonts w:hint="eastAsia"/>
        </w:rPr>
        <w:t>環境</w:t>
      </w:r>
      <w:r w:rsidR="000454AC">
        <w:t>に</w:t>
      </w:r>
      <w:r w:rsidR="00474977">
        <w:rPr>
          <w:rFonts w:hint="eastAsia"/>
        </w:rPr>
        <w:t>ついて</w:t>
      </w:r>
      <w:r w:rsidR="000454AC">
        <w:t>、</w:t>
      </w:r>
      <w:r w:rsidR="00474977">
        <w:rPr>
          <w:rFonts w:hint="eastAsia"/>
        </w:rPr>
        <w:t>その環境</w:t>
      </w:r>
      <w:r w:rsidR="000454AC">
        <w:t>固有のガイドラインが必要かどうか、さらに検討され</w:t>
      </w:r>
      <w:r w:rsidR="00474977">
        <w:rPr>
          <w:rFonts w:hint="eastAsia"/>
        </w:rPr>
        <w:t>てもよい。我々</w:t>
      </w:r>
      <w:r w:rsidR="000454AC">
        <w:t>は、ある</w:t>
      </w:r>
      <w:r w:rsidR="00474977">
        <w:rPr>
          <w:rFonts w:hint="eastAsia"/>
        </w:rPr>
        <w:t>監獄形態</w:t>
      </w:r>
      <w:r w:rsidR="00C63052">
        <w:rPr>
          <w:rFonts w:hint="eastAsia"/>
        </w:rPr>
        <w:t>（</w:t>
      </w:r>
      <w:r w:rsidR="00C63052" w:rsidRPr="00C63052">
        <w:t>carceral form</w:t>
      </w:r>
      <w:r w:rsidR="00C63052">
        <w:rPr>
          <w:rFonts w:hint="eastAsia"/>
        </w:rPr>
        <w:t>）</w:t>
      </w:r>
      <w:r w:rsidR="00474977">
        <w:rPr>
          <w:rFonts w:hint="eastAsia"/>
        </w:rPr>
        <w:t>から別の監獄形態への施設収容の移行を</w:t>
      </w:r>
      <w:r w:rsidR="000454AC">
        <w:t>避けるために、脱施設化の取り組みを監護施設に拡大することを全面的に支持する。しかし、このガイドラインでは、例えば、パラグラフ13</w:t>
      </w:r>
      <w:r w:rsidR="00C63052">
        <w:rPr>
          <w:rFonts w:hint="eastAsia"/>
        </w:rPr>
        <w:t>によって</w:t>
      </w:r>
      <w:r w:rsidR="00C63052">
        <w:t>締約国が</w:t>
      </w:r>
      <w:r w:rsidR="000454AC">
        <w:t>刑務所への</w:t>
      </w:r>
      <w:r w:rsidR="00713DCD" w:rsidRPr="00905CB4">
        <w:rPr>
          <w:rFonts w:hint="eastAsia"/>
        </w:rPr>
        <w:t>障害のある人</w:t>
      </w:r>
      <w:r w:rsidR="000454AC">
        <w:t>の「新規</w:t>
      </w:r>
      <w:r w:rsidR="000454AC">
        <w:rPr>
          <w:rFonts w:hint="eastAsia"/>
        </w:rPr>
        <w:t>受け入れの</w:t>
      </w:r>
      <w:r w:rsidR="00C63052">
        <w:rPr>
          <w:rFonts w:hint="eastAsia"/>
        </w:rPr>
        <w:t>一時停止</w:t>
      </w:r>
      <w:r w:rsidR="000454AC">
        <w:rPr>
          <w:rFonts w:hint="eastAsia"/>
        </w:rPr>
        <w:t>」を採用すべきかどうかなど、適用方法が不明確である。</w:t>
      </w:r>
    </w:p>
    <w:p w14:paraId="412F7494" w14:textId="1D3516E3" w:rsidR="000454AC" w:rsidRPr="00933A29" w:rsidRDefault="00C63052" w:rsidP="00F47B53">
      <w:pPr>
        <w:ind w:left="424" w:hangingChars="202" w:hanging="424"/>
      </w:pPr>
      <w:r>
        <w:rPr>
          <w:rFonts w:hint="eastAsia"/>
        </w:rPr>
        <w:t xml:space="preserve">・　</w:t>
      </w:r>
      <w:r w:rsidR="000454AC" w:rsidRPr="00C63052">
        <w:rPr>
          <w:b/>
          <w:bCs/>
        </w:rPr>
        <w:t>パラグラフ18</w:t>
      </w:r>
      <w:r w:rsidRPr="00C63052">
        <w:rPr>
          <w:rFonts w:hint="eastAsia"/>
          <w:b/>
          <w:bCs/>
        </w:rPr>
        <w:t>の</w:t>
      </w:r>
      <w:r w:rsidR="000454AC" w:rsidRPr="00C63052">
        <w:rPr>
          <w:b/>
          <w:bCs/>
        </w:rPr>
        <w:t>脱施設化プロセスにおける締約国の役割</w:t>
      </w:r>
      <w:r w:rsidRPr="00C63052">
        <w:rPr>
          <w:rFonts w:hint="eastAsia"/>
          <w:b/>
          <w:bCs/>
        </w:rPr>
        <w:t>が</w:t>
      </w:r>
      <w:r w:rsidR="000454AC" w:rsidRPr="00C63052">
        <w:rPr>
          <w:b/>
          <w:bCs/>
        </w:rPr>
        <w:t>やや不明確である。</w:t>
      </w:r>
      <w:r w:rsidR="000454AC">
        <w:t>ガイドラインは、「脱施設化プロセスは、経営者や施設の維持に携わる者によって主導される</w:t>
      </w:r>
      <w:r w:rsidR="000454AC" w:rsidRPr="00933A29">
        <w:lastRenderedPageBreak/>
        <w:t>べきではない」と述べてい</w:t>
      </w:r>
      <w:r w:rsidRPr="00933A29">
        <w:rPr>
          <w:rFonts w:hint="eastAsia"/>
        </w:rPr>
        <w:t>る</w:t>
      </w:r>
      <w:r w:rsidR="000454AC" w:rsidRPr="00933A29">
        <w:t>。これは、</w:t>
      </w:r>
      <w:r w:rsidR="00713DCD" w:rsidRPr="00933A29">
        <w:rPr>
          <w:rFonts w:hint="eastAsia"/>
        </w:rPr>
        <w:t>障害のある人</w:t>
      </w:r>
      <w:r w:rsidR="000454AC" w:rsidRPr="00933A29">
        <w:t>とその代表組織が脱施設化運動をリードする必要性を示唆していると思われるが、この表現は、変化をリードし、開始する共同責任を締約国から免除するという意図せざる結果をもたらす可能性がある。</w:t>
      </w:r>
    </w:p>
    <w:p w14:paraId="2F8CEF6B" w14:textId="78110440" w:rsidR="000454AC" w:rsidRDefault="008B2ED5" w:rsidP="00F47B53">
      <w:pPr>
        <w:ind w:left="424" w:hangingChars="202" w:hanging="424"/>
      </w:pPr>
      <w:r w:rsidRPr="00933A29">
        <w:rPr>
          <w:rFonts w:hint="eastAsia"/>
        </w:rPr>
        <w:t xml:space="preserve">・　</w:t>
      </w:r>
      <w:r w:rsidR="00713DCD" w:rsidRPr="00933A29">
        <w:rPr>
          <w:rFonts w:hint="eastAsia"/>
        </w:rPr>
        <w:t>障害のある人</w:t>
      </w:r>
      <w:r w:rsidR="000454AC" w:rsidRPr="00933A29">
        <w:t>の</w:t>
      </w:r>
      <w:r w:rsidRPr="00933A29">
        <w:t>選択</w:t>
      </w:r>
      <w:r w:rsidRPr="00933A29">
        <w:rPr>
          <w:rFonts w:hint="eastAsia"/>
        </w:rPr>
        <w:t>および</w:t>
      </w:r>
      <w:r w:rsidR="000454AC" w:rsidRPr="00933A29">
        <w:t>意思と好みを実現するための重要かつ原動力となる要素と</w:t>
      </w:r>
      <w:r w:rsidR="000454AC">
        <w:t>して、締約国は、</w:t>
      </w:r>
      <w:r w:rsidR="000454AC" w:rsidRPr="008B2ED5">
        <w:rPr>
          <w:b/>
          <w:bCs/>
        </w:rPr>
        <w:t>あらゆる支援システムの提供が、住宅を提供するあらゆるシステムとは</w:t>
      </w:r>
      <w:r>
        <w:rPr>
          <w:rFonts w:hint="eastAsia"/>
          <w:b/>
          <w:bCs/>
        </w:rPr>
        <w:t>切り離されていること</w:t>
      </w:r>
      <w:r w:rsidR="000454AC" w:rsidRPr="008B2ED5">
        <w:rPr>
          <w:b/>
          <w:bCs/>
        </w:rPr>
        <w:t>を保証しなければならないことを明確化すること。</w:t>
      </w:r>
      <w:r w:rsidR="000454AC">
        <w:t>ガイドライン案の</w:t>
      </w:r>
      <w:r>
        <w:rPr>
          <w:rFonts w:hint="eastAsia"/>
        </w:rPr>
        <w:t>パラグラフ</w:t>
      </w:r>
      <w:r w:rsidR="000454AC">
        <w:t>27-29は、締約国による資金や</w:t>
      </w:r>
      <w:r>
        <w:rPr>
          <w:rFonts w:hint="eastAsia"/>
        </w:rPr>
        <w:t>資源の</w:t>
      </w:r>
      <w:r w:rsidR="000454AC">
        <w:t>割り当てが、</w:t>
      </w:r>
      <w:r>
        <w:rPr>
          <w:rFonts w:hint="eastAsia"/>
        </w:rPr>
        <w:t>事業者</w:t>
      </w:r>
      <w:r w:rsidR="000454AC">
        <w:t>が住宅と</w:t>
      </w:r>
      <w:r>
        <w:rPr>
          <w:rFonts w:hint="eastAsia"/>
        </w:rPr>
        <w:t>支援</w:t>
      </w:r>
      <w:r w:rsidR="000454AC">
        <w:t>の両方を提供</w:t>
      </w:r>
      <w:r>
        <w:rPr>
          <w:rFonts w:hint="eastAsia"/>
        </w:rPr>
        <w:t>しないようにするこ</w:t>
      </w:r>
      <w:r w:rsidR="000454AC">
        <w:t>とを明確にする必要がある。</w:t>
      </w:r>
      <w:r w:rsidR="006C6F02">
        <w:rPr>
          <w:rFonts w:hint="eastAsia"/>
        </w:rPr>
        <w:t>相当</w:t>
      </w:r>
      <w:r w:rsidR="000454AC">
        <w:t>な生活水準への権利の構成要素としての適切な住宅への権利、およびこの文脈における非差別の権利に関する特別報告者が、国連総会への2017年</w:t>
      </w:r>
      <w:r w:rsidR="000454AC">
        <w:rPr>
          <w:rFonts w:hint="eastAsia"/>
        </w:rPr>
        <w:t>報告書（</w:t>
      </w:r>
      <w:r w:rsidR="000454AC">
        <w:t>A/72/128）で明らかにしたように、経済的、社会的および文化的権利に関する国際規約（ICESCR）第2条および11条、CRPD第19条および28条の権利</w:t>
      </w:r>
      <w:r w:rsidR="00D82C41">
        <w:rPr>
          <w:rFonts w:hint="eastAsia"/>
        </w:rPr>
        <w:t>の</w:t>
      </w:r>
      <w:r w:rsidR="000454AC">
        <w:t>実施において政府が準拠すべきことは、「サ</w:t>
      </w:r>
      <w:r w:rsidR="000454AC" w:rsidRPr="00933A29">
        <w:t>ービスは</w:t>
      </w:r>
      <w:r w:rsidR="00713DCD" w:rsidRPr="00933A29">
        <w:rPr>
          <w:rFonts w:hint="eastAsia"/>
        </w:rPr>
        <w:t>障害のある人</w:t>
      </w:r>
      <w:r w:rsidR="000454AC" w:rsidRPr="00933A29">
        <w:t>の自由選択の問題であり、住居または居住地の確保と関連して</w:t>
      </w:r>
      <w:r w:rsidR="000454AC">
        <w:t>いない」（パラ54参照）</w:t>
      </w:r>
      <w:r w:rsidR="006C6F02">
        <w:rPr>
          <w:rFonts w:hint="eastAsia"/>
        </w:rPr>
        <w:t>ということである。</w:t>
      </w:r>
    </w:p>
    <w:p w14:paraId="4CC9A06E" w14:textId="1AF99653" w:rsidR="000454AC" w:rsidRDefault="006C6F02" w:rsidP="00F47B53">
      <w:pPr>
        <w:ind w:left="424" w:hangingChars="202" w:hanging="424"/>
      </w:pPr>
      <w:r>
        <w:rPr>
          <w:rFonts w:hint="eastAsia"/>
        </w:rPr>
        <w:t xml:space="preserve">・　</w:t>
      </w:r>
      <w:r w:rsidRPr="006C6F02">
        <w:rPr>
          <w:rFonts w:hint="eastAsia"/>
          <w:b/>
          <w:bCs/>
        </w:rPr>
        <w:t>パラグラフ</w:t>
      </w:r>
      <w:r w:rsidR="000454AC" w:rsidRPr="006C6F02">
        <w:rPr>
          <w:b/>
          <w:bCs/>
        </w:rPr>
        <w:t>31-32</w:t>
      </w:r>
      <w:r w:rsidRPr="006C6F02">
        <w:rPr>
          <w:rFonts w:hint="eastAsia"/>
          <w:b/>
          <w:bCs/>
        </w:rPr>
        <w:t>で</w:t>
      </w:r>
      <w:r w:rsidR="000454AC" w:rsidRPr="006C6F02">
        <w:rPr>
          <w:b/>
          <w:bCs/>
        </w:rPr>
        <w:t>、アクセス可能な住宅への権利がCRPD第19条の実現のための前提条件であることを締約国に明確に指導し</w:t>
      </w:r>
      <w:r w:rsidR="000454AC">
        <w:t>、そのためにすべての締約国にすべての障壁を直ちに除去するよう指示する</w:t>
      </w:r>
      <w:r w:rsidR="00370D36">
        <w:rPr>
          <w:rFonts w:hint="eastAsia"/>
        </w:rPr>
        <w:t>こと</w:t>
      </w:r>
      <w:r w:rsidR="000454AC">
        <w:t>。一般的意見第5号が明らかにしたように、第19条はCRPD第9条と結びついており、</w:t>
      </w:r>
      <w:r w:rsidR="00370D36">
        <w:rPr>
          <w:rFonts w:hint="eastAsia"/>
        </w:rPr>
        <w:t>それは</w:t>
      </w:r>
      <w:r w:rsidR="000454AC">
        <w:t>「建築環境全体の一般的なアクセシビリティは、</w:t>
      </w:r>
      <w:r w:rsidR="00370D36">
        <w:rPr>
          <w:rFonts w:hint="eastAsia"/>
        </w:rPr>
        <w:t>地域社会で自立して</w:t>
      </w:r>
      <w:r w:rsidR="000454AC">
        <w:t>生活するための前提条件であるから」（パラ78）である。また、これらの権利は差別</w:t>
      </w:r>
      <w:r w:rsidR="00370D36">
        <w:rPr>
          <w:rFonts w:hint="eastAsia"/>
        </w:rPr>
        <w:t>なく</w:t>
      </w:r>
      <w:r w:rsidR="000454AC">
        <w:t>実現されなければならず、したがって、これらの権利は即時実現</w:t>
      </w:r>
      <w:r w:rsidR="00370D36">
        <w:rPr>
          <w:rFonts w:hint="eastAsia"/>
        </w:rPr>
        <w:t>が必要とされ</w:t>
      </w:r>
      <w:r w:rsidR="000454AC">
        <w:t>、締約国</w:t>
      </w:r>
      <w:r w:rsidR="000454AC">
        <w:rPr>
          <w:rFonts w:hint="eastAsia"/>
        </w:rPr>
        <w:t>によって漸進的に実現されてはならないことを意味する。適切な生活水準への権利の構成要素としての適切な住宅への権利、およびこ</w:t>
      </w:r>
      <w:r w:rsidR="000454AC" w:rsidRPr="00933A29">
        <w:rPr>
          <w:rFonts w:hint="eastAsia"/>
        </w:rPr>
        <w:t>の文脈における非差別の権利に関する特別報告者</w:t>
      </w:r>
      <w:r w:rsidR="00F47B53" w:rsidRPr="00933A29">
        <w:rPr>
          <w:rFonts w:hint="eastAsia"/>
        </w:rPr>
        <w:t>は</w:t>
      </w:r>
      <w:r w:rsidR="000454AC" w:rsidRPr="00933A29">
        <w:rPr>
          <w:rFonts w:hint="eastAsia"/>
        </w:rPr>
        <w:t>、国連総会への</w:t>
      </w:r>
      <w:r w:rsidR="000454AC" w:rsidRPr="00933A29">
        <w:t>2017年報告書（A/72/128）において</w:t>
      </w:r>
      <w:r w:rsidR="00370D36" w:rsidRPr="00933A29">
        <w:rPr>
          <w:rFonts w:hint="eastAsia"/>
        </w:rPr>
        <w:t>、次のように明確に指摘した。</w:t>
      </w:r>
      <w:r w:rsidR="008E037F" w:rsidRPr="00933A29">
        <w:rPr>
          <w:rFonts w:hint="eastAsia"/>
        </w:rPr>
        <w:t>『</w:t>
      </w:r>
      <w:r w:rsidR="000454AC" w:rsidRPr="00933A29">
        <w:t>非差別の権利はまた、政府及び民間主体に対し、そのような</w:t>
      </w:r>
      <w:r w:rsidR="00370D36" w:rsidRPr="00933A29">
        <w:rPr>
          <w:rFonts w:hint="eastAsia"/>
        </w:rPr>
        <w:t>配慮</w:t>
      </w:r>
      <w:r w:rsidR="000454AC" w:rsidRPr="00933A29">
        <w:t>が「必要かつ適切」で、「不均衡又は過度の負担」を課さない限りにおいて、</w:t>
      </w:r>
      <w:r w:rsidR="00713DCD" w:rsidRPr="00933A29">
        <w:rPr>
          <w:rFonts w:hint="eastAsia"/>
        </w:rPr>
        <w:t>障害のある人</w:t>
      </w:r>
      <w:r w:rsidR="000454AC" w:rsidRPr="00933A29">
        <w:t>のニーズ</w:t>
      </w:r>
      <w:r w:rsidR="00E17D29" w:rsidRPr="00933A29">
        <w:rPr>
          <w:rFonts w:hint="eastAsia"/>
        </w:rPr>
        <w:t>に</w:t>
      </w:r>
      <w:r w:rsidR="000454AC" w:rsidRPr="00933A29">
        <w:t>合理的に</w:t>
      </w:r>
      <w:r w:rsidR="00E17D29" w:rsidRPr="00933A29">
        <w:rPr>
          <w:rFonts w:hint="eastAsia"/>
        </w:rPr>
        <w:t>配慮</w:t>
      </w:r>
      <w:r w:rsidR="000454AC" w:rsidRPr="00933A29">
        <w:t>するための積極的措置をとることを求める。</w:t>
      </w:r>
      <w:r w:rsidR="008E037F" w:rsidRPr="00933A29">
        <w:rPr>
          <w:rFonts w:hint="eastAsia"/>
        </w:rPr>
        <w:t>』</w:t>
      </w:r>
      <w:r w:rsidR="000454AC" w:rsidRPr="00933A29">
        <w:t>合理的配慮とは、既存の住宅に物理的な変更を加える</w:t>
      </w:r>
      <w:r w:rsidR="000454AC" w:rsidRPr="00933A29">
        <w:rPr>
          <w:rFonts w:hint="eastAsia"/>
        </w:rPr>
        <w:t>ことに限定され</w:t>
      </w:r>
      <w:r w:rsidR="00E17D29" w:rsidRPr="00933A29">
        <w:rPr>
          <w:rFonts w:hint="eastAsia"/>
        </w:rPr>
        <w:t>ない</w:t>
      </w:r>
      <w:r w:rsidR="000454AC" w:rsidRPr="00933A29">
        <w:rPr>
          <w:rFonts w:hint="eastAsia"/>
        </w:rPr>
        <w:t>。また、法律や政策の適用を</w:t>
      </w:r>
      <w:r w:rsidR="00F47B53" w:rsidRPr="00933A29">
        <w:rPr>
          <w:rFonts w:hint="eastAsia"/>
        </w:rPr>
        <w:t>調整する</w:t>
      </w:r>
      <w:r w:rsidR="000454AC" w:rsidRPr="00933A29">
        <w:rPr>
          <w:rFonts w:hint="eastAsia"/>
        </w:rPr>
        <w:t>義務も含まれ</w:t>
      </w:r>
      <w:r w:rsidR="00E17D29" w:rsidRPr="00933A29">
        <w:rPr>
          <w:rFonts w:hint="eastAsia"/>
        </w:rPr>
        <w:t>る</w:t>
      </w:r>
      <w:r w:rsidR="000454AC" w:rsidRPr="00933A29">
        <w:rPr>
          <w:rFonts w:hint="eastAsia"/>
        </w:rPr>
        <w:t>。非差別の権利の構成</w:t>
      </w:r>
      <w:r w:rsidR="000454AC">
        <w:rPr>
          <w:rFonts w:hint="eastAsia"/>
        </w:rPr>
        <w:t>要素として、合理的配慮は国家の</w:t>
      </w:r>
      <w:r w:rsidR="00E17D29">
        <w:rPr>
          <w:rFonts w:hint="eastAsia"/>
        </w:rPr>
        <w:t>即時実施の</w:t>
      </w:r>
      <w:r w:rsidR="000454AC">
        <w:rPr>
          <w:rFonts w:hint="eastAsia"/>
        </w:rPr>
        <w:t>義務と考えられている。</w:t>
      </w:r>
    </w:p>
    <w:p w14:paraId="6E1C7D84" w14:textId="7408B8C7" w:rsidR="000454AC" w:rsidRDefault="00287BB1" w:rsidP="00F47B53">
      <w:pPr>
        <w:ind w:left="424" w:hangingChars="202" w:hanging="424"/>
      </w:pPr>
      <w:r>
        <w:rPr>
          <w:rFonts w:hint="eastAsia"/>
        </w:rPr>
        <w:t xml:space="preserve">・　</w:t>
      </w:r>
      <w:r w:rsidR="000454AC" w:rsidRPr="004C7C65">
        <w:rPr>
          <w:b/>
          <w:bCs/>
        </w:rPr>
        <w:t>パラグラフ38と39の交差性に関する議論は、高齢者が経験する脱施設化</w:t>
      </w:r>
      <w:r w:rsidR="00F47B53">
        <w:rPr>
          <w:rFonts w:hint="eastAsia"/>
          <w:b/>
          <w:bCs/>
        </w:rPr>
        <w:t>への</w:t>
      </w:r>
      <w:r w:rsidR="000454AC" w:rsidRPr="004C7C65">
        <w:rPr>
          <w:b/>
          <w:bCs/>
        </w:rPr>
        <w:t>重大な障壁をより明確に表現することが</w:t>
      </w:r>
      <w:r w:rsidRPr="004C7C65">
        <w:rPr>
          <w:rFonts w:hint="eastAsia"/>
          <w:b/>
          <w:bCs/>
        </w:rPr>
        <w:t>可能である</w:t>
      </w:r>
      <w:r w:rsidR="000454AC" w:rsidRPr="004C7C65">
        <w:rPr>
          <w:b/>
          <w:bCs/>
        </w:rPr>
        <w:t>。</w:t>
      </w:r>
      <w:r w:rsidR="000454AC">
        <w:t>ガイドラインの中で「女性と</w:t>
      </w:r>
      <w:r>
        <w:rPr>
          <w:rFonts w:hint="eastAsia"/>
        </w:rPr>
        <w:t>少女</w:t>
      </w:r>
      <w:r w:rsidR="000454AC">
        <w:t>」「障害</w:t>
      </w:r>
      <w:r>
        <w:rPr>
          <w:rFonts w:hint="eastAsia"/>
        </w:rPr>
        <w:t>児</w:t>
      </w:r>
      <w:r w:rsidR="000454AC">
        <w:t>」がより詳細に</w:t>
      </w:r>
      <w:r>
        <w:rPr>
          <w:rFonts w:hint="eastAsia"/>
        </w:rPr>
        <w:t>論じられているのと</w:t>
      </w:r>
      <w:r w:rsidR="00F47B53">
        <w:rPr>
          <w:rFonts w:hint="eastAsia"/>
        </w:rPr>
        <w:t>同様に</w:t>
      </w:r>
      <w:r w:rsidR="000454AC">
        <w:t>、高齢者の施設</w:t>
      </w:r>
      <w:r>
        <w:rPr>
          <w:rFonts w:hint="eastAsia"/>
        </w:rPr>
        <w:t>収容</w:t>
      </w:r>
      <w:r w:rsidR="000454AC">
        <w:t>は独自の小見出しを</w:t>
      </w:r>
      <w:r w:rsidRPr="00933A29">
        <w:rPr>
          <w:rFonts w:hint="eastAsia"/>
        </w:rPr>
        <w:t>持ってもよい。</w:t>
      </w:r>
      <w:r w:rsidR="000454AC" w:rsidRPr="00933A29">
        <w:t>化学的・機械的拘束のリスクなど、施設内で高齢の</w:t>
      </w:r>
      <w:r w:rsidR="00713DCD" w:rsidRPr="00933A29">
        <w:rPr>
          <w:rFonts w:hint="eastAsia"/>
        </w:rPr>
        <w:t>障害のある人</w:t>
      </w:r>
      <w:r w:rsidR="000454AC" w:rsidRPr="00933A29">
        <w:t>が経験するリスクにより大きな注意を払うことは、ガイドラインの範囲を拡大することにな</w:t>
      </w:r>
      <w:r w:rsidR="000454AC">
        <w:t>る。また、文化的支援</w:t>
      </w:r>
      <w:r w:rsidR="004C7C65">
        <w:rPr>
          <w:rFonts w:hint="eastAsia"/>
        </w:rPr>
        <w:t>（</w:t>
      </w:r>
      <w:r w:rsidR="004C7C65">
        <w:t>先住民や少数民族への支援を含むがこれに限定されない</w:t>
      </w:r>
      <w:r w:rsidR="004C7C65">
        <w:rPr>
          <w:rFonts w:hint="eastAsia"/>
        </w:rPr>
        <w:t>）への</w:t>
      </w:r>
      <w:r w:rsidR="000454AC">
        <w:t>認識を深めることで、交差的ア</w:t>
      </w:r>
      <w:r w:rsidR="000454AC">
        <w:rPr>
          <w:rFonts w:hint="eastAsia"/>
        </w:rPr>
        <w:t>プローチも改善されるであろう。</w:t>
      </w:r>
    </w:p>
    <w:p w14:paraId="56081DD3" w14:textId="0DA5A734" w:rsidR="000454AC" w:rsidRDefault="004C7C65" w:rsidP="00F47B53">
      <w:pPr>
        <w:ind w:left="424" w:hangingChars="202" w:hanging="424"/>
      </w:pPr>
      <w:r w:rsidRPr="00933A29">
        <w:rPr>
          <w:rFonts w:hint="eastAsia"/>
        </w:rPr>
        <w:lastRenderedPageBreak/>
        <w:t>・　この</w:t>
      </w:r>
      <w:r w:rsidR="000454AC" w:rsidRPr="00933A29">
        <w:t>ガイドラインは、</w:t>
      </w:r>
      <w:r w:rsidR="000454AC" w:rsidRPr="00933A29">
        <w:rPr>
          <w:b/>
          <w:bCs/>
        </w:rPr>
        <w:t>支援</w:t>
      </w:r>
      <w:r w:rsidRPr="00933A29">
        <w:rPr>
          <w:rFonts w:hint="eastAsia"/>
          <w:b/>
          <w:bCs/>
        </w:rPr>
        <w:t>つき</w:t>
      </w:r>
      <w:r w:rsidR="000454AC" w:rsidRPr="00933A29">
        <w:rPr>
          <w:b/>
          <w:bCs/>
        </w:rPr>
        <w:t>意思決定の役割</w:t>
      </w:r>
      <w:r w:rsidR="000454AC" w:rsidRPr="00933A29">
        <w:t>と、それがどのように</w:t>
      </w:r>
      <w:r w:rsidR="00713DCD" w:rsidRPr="00933A29">
        <w:rPr>
          <w:rFonts w:hint="eastAsia"/>
        </w:rPr>
        <w:t>障害のある人</w:t>
      </w:r>
      <w:r w:rsidR="000454AC" w:rsidRPr="00933A29">
        <w:t>の法</w:t>
      </w:r>
      <w:r w:rsidR="000454AC">
        <w:t>的能力への権利を保障するのかについて、さらに詳しく説明することが有益であろう。</w:t>
      </w:r>
    </w:p>
    <w:p w14:paraId="106CFEA6" w14:textId="33285A53" w:rsidR="000454AC" w:rsidRDefault="004C7C65" w:rsidP="00F47B53">
      <w:pPr>
        <w:ind w:left="424" w:hangingChars="202" w:hanging="424"/>
      </w:pPr>
      <w:r>
        <w:rPr>
          <w:rFonts w:hint="eastAsia"/>
        </w:rPr>
        <w:t xml:space="preserve">・　</w:t>
      </w:r>
      <w:r w:rsidR="000454AC" w:rsidRPr="004C7C65">
        <w:rPr>
          <w:b/>
          <w:bCs/>
        </w:rPr>
        <w:t>パラグラフ54の法定代理に関する言及は、「自由でアクセ</w:t>
      </w:r>
      <w:r w:rsidRPr="004C7C65">
        <w:rPr>
          <w:rFonts w:hint="eastAsia"/>
          <w:b/>
          <w:bCs/>
        </w:rPr>
        <w:t>シブル</w:t>
      </w:r>
      <w:r w:rsidR="000454AC" w:rsidRPr="004C7C65">
        <w:rPr>
          <w:b/>
          <w:bCs/>
        </w:rPr>
        <w:t>な法定代理」</w:t>
      </w:r>
      <w:r w:rsidRPr="004C7C65">
        <w:rPr>
          <w:rFonts w:hint="eastAsia"/>
          <w:b/>
          <w:bCs/>
        </w:rPr>
        <w:t>に</w:t>
      </w:r>
      <w:r w:rsidR="000454AC" w:rsidRPr="004C7C65">
        <w:rPr>
          <w:b/>
          <w:bCs/>
        </w:rPr>
        <w:t>修正されるべきである。</w:t>
      </w:r>
      <w:r w:rsidR="000454AC">
        <w:t xml:space="preserve"> 警察を呼び、刑事告訴をする効果的な権利への言及は、「施設内にいながら、警察、弁護士、その他の監督機関を呼び、刑事、民事、人権の告訴をする効果的な権利」と</w:t>
      </w:r>
      <w:r w:rsidR="00F47B53">
        <w:rPr>
          <w:rFonts w:hint="eastAsia"/>
        </w:rPr>
        <w:t>いう</w:t>
      </w:r>
      <w:r>
        <w:rPr>
          <w:rFonts w:hint="eastAsia"/>
        </w:rPr>
        <w:t>記述に</w:t>
      </w:r>
      <w:r w:rsidR="000454AC">
        <w:t>拡大すべきである。</w:t>
      </w:r>
    </w:p>
    <w:p w14:paraId="4C15AD33" w14:textId="77777777" w:rsidR="00440D90" w:rsidRDefault="00440D90" w:rsidP="000454AC"/>
    <w:p w14:paraId="4071D55C" w14:textId="40592491" w:rsidR="000454AC" w:rsidRDefault="000454AC" w:rsidP="00440D90">
      <w:pPr>
        <w:ind w:firstLineChars="100" w:firstLine="210"/>
      </w:pPr>
      <w:r>
        <w:rPr>
          <w:rFonts w:hint="eastAsia"/>
        </w:rPr>
        <w:t>これらの提出物を</w:t>
      </w:r>
      <w:r w:rsidR="00440D90">
        <w:rPr>
          <w:rFonts w:hint="eastAsia"/>
        </w:rPr>
        <w:t>検討していただいたこと、およびこの</w:t>
      </w:r>
      <w:r>
        <w:rPr>
          <w:rFonts w:hint="eastAsia"/>
        </w:rPr>
        <w:t>ガイドラインの開発</w:t>
      </w:r>
      <w:r w:rsidR="00440D90">
        <w:rPr>
          <w:rFonts w:hint="eastAsia"/>
        </w:rPr>
        <w:t>という</w:t>
      </w:r>
      <w:r>
        <w:rPr>
          <w:rFonts w:hint="eastAsia"/>
        </w:rPr>
        <w:t>高く評価される</w:t>
      </w:r>
      <w:r w:rsidR="00440D90">
        <w:rPr>
          <w:rFonts w:hint="eastAsia"/>
        </w:rPr>
        <w:t>取り組み</w:t>
      </w:r>
      <w:r>
        <w:rPr>
          <w:rFonts w:hint="eastAsia"/>
        </w:rPr>
        <w:t>に感謝します。</w:t>
      </w:r>
    </w:p>
    <w:p w14:paraId="4875CEF9" w14:textId="77777777" w:rsidR="00440D90" w:rsidRDefault="00440D90" w:rsidP="000454AC"/>
    <w:p w14:paraId="6A1306F5" w14:textId="6DED6CDA" w:rsidR="000454AC" w:rsidRDefault="000454AC" w:rsidP="00440D90">
      <w:pPr>
        <w:ind w:firstLineChars="100" w:firstLine="210"/>
      </w:pPr>
      <w:r>
        <w:rPr>
          <w:rFonts w:hint="eastAsia"/>
        </w:rPr>
        <w:t>よろしくお願いします。</w:t>
      </w:r>
    </w:p>
    <w:p w14:paraId="7BAF9179" w14:textId="77777777" w:rsidR="00440D90" w:rsidRDefault="00440D90" w:rsidP="000454AC"/>
    <w:p w14:paraId="76FECB5A" w14:textId="587ACA7B" w:rsidR="000454AC" w:rsidRDefault="000454AC" w:rsidP="000454AC">
      <w:r>
        <w:rPr>
          <w:rFonts w:hint="eastAsia"/>
        </w:rPr>
        <w:t>マチルダ・アレクサンダー</w:t>
      </w:r>
      <w:r w:rsidR="00440D90">
        <w:rPr>
          <w:rFonts w:hint="eastAsia"/>
        </w:rPr>
        <w:t xml:space="preserve">　QAI　最高責任者</w:t>
      </w:r>
    </w:p>
    <w:p w14:paraId="04BB0C95" w14:textId="7E93D0AC" w:rsidR="000454AC" w:rsidRDefault="000454AC" w:rsidP="000454AC">
      <w:r>
        <w:rPr>
          <w:rFonts w:hint="eastAsia"/>
        </w:rPr>
        <w:t>ジャンカルロ・デ・ヴェラ</w:t>
      </w:r>
      <w:r w:rsidR="00440D90">
        <w:rPr>
          <w:rFonts w:hint="eastAsia"/>
        </w:rPr>
        <w:t xml:space="preserve">　</w:t>
      </w:r>
      <w:r>
        <w:t>P</w:t>
      </w:r>
      <w:r w:rsidR="00440D90">
        <w:rPr>
          <w:rFonts w:hint="eastAsia"/>
        </w:rPr>
        <w:t>W</w:t>
      </w:r>
      <w:r>
        <w:t>DA</w:t>
      </w:r>
      <w:r w:rsidR="00440D90">
        <w:rPr>
          <w:rFonts w:hint="eastAsia"/>
        </w:rPr>
        <w:t xml:space="preserve">　</w:t>
      </w:r>
      <w:r>
        <w:t>政策担当</w:t>
      </w:r>
      <w:r w:rsidR="00440D90">
        <w:rPr>
          <w:rFonts w:hint="eastAsia"/>
        </w:rPr>
        <w:t>主任</w:t>
      </w:r>
    </w:p>
    <w:p w14:paraId="3634B88A" w14:textId="77777777" w:rsidR="00440D90" w:rsidRDefault="00440D90" w:rsidP="000454AC"/>
    <w:p w14:paraId="3F4B3C2C" w14:textId="37FAABA0" w:rsidR="00440D90" w:rsidRPr="004D27FD" w:rsidRDefault="00440D90" w:rsidP="00440D90">
      <w:pPr>
        <w:ind w:firstLineChars="100" w:firstLine="210"/>
        <w:jc w:val="right"/>
      </w:pPr>
      <w:r>
        <w:rPr>
          <w:rFonts w:hint="eastAsia"/>
        </w:rPr>
        <w:t>（翻訳：佐藤久夫、</w:t>
      </w:r>
      <w:r w:rsidR="00E24B3A">
        <w:rPr>
          <w:rFonts w:hint="eastAsia"/>
        </w:rPr>
        <w:t>岡本明</w:t>
      </w:r>
      <w:r>
        <w:rPr>
          <w:rFonts w:hint="eastAsia"/>
        </w:rPr>
        <w:t>）</w:t>
      </w:r>
    </w:p>
    <w:p w14:paraId="6E520F73" w14:textId="77777777" w:rsidR="000454AC" w:rsidRPr="00440D90" w:rsidRDefault="000454AC"/>
    <w:sectPr w:rsidR="000454AC" w:rsidRPr="00440D9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A254" w14:textId="77777777" w:rsidR="00043398" w:rsidRDefault="00043398" w:rsidP="00440D90">
      <w:r>
        <w:separator/>
      </w:r>
    </w:p>
  </w:endnote>
  <w:endnote w:type="continuationSeparator" w:id="0">
    <w:p w14:paraId="789E53A0" w14:textId="77777777" w:rsidR="00043398" w:rsidRDefault="00043398" w:rsidP="0044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98205"/>
      <w:docPartObj>
        <w:docPartGallery w:val="Page Numbers (Bottom of Page)"/>
        <w:docPartUnique/>
      </w:docPartObj>
    </w:sdtPr>
    <w:sdtEndPr/>
    <w:sdtContent>
      <w:p w14:paraId="4217D750" w14:textId="0C29888C" w:rsidR="00440D90" w:rsidRDefault="00440D90">
        <w:pPr>
          <w:pStyle w:val="a5"/>
        </w:pPr>
        <w:r>
          <w:fldChar w:fldCharType="begin"/>
        </w:r>
        <w:r>
          <w:instrText>PAGE   \* MERGEFORMAT</w:instrText>
        </w:r>
        <w:r>
          <w:fldChar w:fldCharType="separate"/>
        </w:r>
        <w:r>
          <w:rPr>
            <w:lang w:val="ja-JP"/>
          </w:rPr>
          <w:t>2</w:t>
        </w:r>
        <w:r>
          <w:fldChar w:fldCharType="end"/>
        </w:r>
      </w:p>
    </w:sdtContent>
  </w:sdt>
  <w:p w14:paraId="45389146" w14:textId="77777777" w:rsidR="00440D90" w:rsidRDefault="00440D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255B" w14:textId="77777777" w:rsidR="00043398" w:rsidRDefault="00043398" w:rsidP="00440D90">
      <w:r>
        <w:separator/>
      </w:r>
    </w:p>
  </w:footnote>
  <w:footnote w:type="continuationSeparator" w:id="0">
    <w:p w14:paraId="0701E295" w14:textId="77777777" w:rsidR="00043398" w:rsidRDefault="00043398" w:rsidP="00440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AC"/>
    <w:rsid w:val="00043398"/>
    <w:rsid w:val="000454AC"/>
    <w:rsid w:val="00095243"/>
    <w:rsid w:val="001D78B9"/>
    <w:rsid w:val="00287BB1"/>
    <w:rsid w:val="00370D36"/>
    <w:rsid w:val="003F0905"/>
    <w:rsid w:val="00440D90"/>
    <w:rsid w:val="00474977"/>
    <w:rsid w:val="004C7C65"/>
    <w:rsid w:val="004E65B7"/>
    <w:rsid w:val="005E2BCD"/>
    <w:rsid w:val="006C6F02"/>
    <w:rsid w:val="00713DCD"/>
    <w:rsid w:val="0075206A"/>
    <w:rsid w:val="007824E6"/>
    <w:rsid w:val="007D2731"/>
    <w:rsid w:val="008061A9"/>
    <w:rsid w:val="008B2ED5"/>
    <w:rsid w:val="008E037F"/>
    <w:rsid w:val="00905CB4"/>
    <w:rsid w:val="00933A29"/>
    <w:rsid w:val="00962368"/>
    <w:rsid w:val="009777AC"/>
    <w:rsid w:val="00A273C5"/>
    <w:rsid w:val="00A928D1"/>
    <w:rsid w:val="00B854B2"/>
    <w:rsid w:val="00BA7AFB"/>
    <w:rsid w:val="00BC03BB"/>
    <w:rsid w:val="00C63052"/>
    <w:rsid w:val="00D82C41"/>
    <w:rsid w:val="00E05BA0"/>
    <w:rsid w:val="00E17D29"/>
    <w:rsid w:val="00E24B3A"/>
    <w:rsid w:val="00E91E6C"/>
    <w:rsid w:val="00EA1A82"/>
    <w:rsid w:val="00EF3E62"/>
    <w:rsid w:val="00F47B53"/>
    <w:rsid w:val="00F7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06AB2"/>
  <w15:chartTrackingRefBased/>
  <w15:docId w15:val="{635A09D6-8DD2-453F-B25D-CF9B83F6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D90"/>
    <w:pPr>
      <w:tabs>
        <w:tab w:val="center" w:pos="4252"/>
        <w:tab w:val="right" w:pos="8504"/>
      </w:tabs>
      <w:snapToGrid w:val="0"/>
    </w:pPr>
  </w:style>
  <w:style w:type="character" w:customStyle="1" w:styleId="a4">
    <w:name w:val="ヘッダー (文字)"/>
    <w:basedOn w:val="a0"/>
    <w:link w:val="a3"/>
    <w:uiPriority w:val="99"/>
    <w:rsid w:val="00440D90"/>
  </w:style>
  <w:style w:type="paragraph" w:styleId="a5">
    <w:name w:val="footer"/>
    <w:basedOn w:val="a"/>
    <w:link w:val="a6"/>
    <w:uiPriority w:val="99"/>
    <w:unhideWhenUsed/>
    <w:rsid w:val="00440D90"/>
    <w:pPr>
      <w:tabs>
        <w:tab w:val="center" w:pos="4252"/>
        <w:tab w:val="right" w:pos="8504"/>
      </w:tabs>
      <w:snapToGrid w:val="0"/>
    </w:pPr>
  </w:style>
  <w:style w:type="character" w:customStyle="1" w:styleId="a6">
    <w:name w:val="フッター (文字)"/>
    <w:basedOn w:val="a0"/>
    <w:link w:val="a5"/>
    <w:uiPriority w:val="99"/>
    <w:rsid w:val="00440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dcterms:created xsi:type="dcterms:W3CDTF">2024-03-04T11:49:00Z</dcterms:created>
  <dcterms:modified xsi:type="dcterms:W3CDTF">2024-03-04T11:49:00Z</dcterms:modified>
</cp:coreProperties>
</file>