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565A" w:rsidRDefault="0097565A">
      <w:pPr>
        <w:widowControl w:val="0"/>
        <w:pBdr>
          <w:top w:val="nil"/>
          <w:left w:val="nil"/>
          <w:bottom w:val="nil"/>
          <w:right w:val="nil"/>
          <w:between w:val="nil"/>
        </w:pBdr>
        <w:rPr>
          <w:rFonts w:ascii="Arial" w:eastAsia="Arial" w:hAnsi="Arial" w:cs="Arial"/>
          <w:color w:val="000000"/>
          <w:sz w:val="22"/>
          <w:szCs w:val="22"/>
        </w:rPr>
      </w:pPr>
    </w:p>
    <w:tbl>
      <w:tblPr>
        <w:tblStyle w:val="afc"/>
        <w:tblpPr w:leftFromText="142" w:rightFromText="142" w:vertAnchor="page" w:horzAnchor="margin" w:tblpY="901"/>
        <w:tblW w:w="9639" w:type="dxa"/>
        <w:tblInd w:w="0" w:type="dxa"/>
        <w:tblLayout w:type="fixed"/>
        <w:tblLook w:val="0000" w:firstRow="0" w:lastRow="0" w:firstColumn="0" w:lastColumn="0" w:noHBand="0" w:noVBand="0"/>
      </w:tblPr>
      <w:tblGrid>
        <w:gridCol w:w="1276"/>
        <w:gridCol w:w="2268"/>
        <w:gridCol w:w="3260"/>
        <w:gridCol w:w="2835"/>
      </w:tblGrid>
      <w:tr w:rsidR="0097565A" w14:paraId="0CE11371" w14:textId="77777777">
        <w:trPr>
          <w:cantSplit/>
          <w:trHeight w:val="567"/>
        </w:trPr>
        <w:tc>
          <w:tcPr>
            <w:tcW w:w="1276" w:type="dxa"/>
            <w:tcBorders>
              <w:bottom w:val="single" w:sz="4" w:space="0" w:color="000000"/>
            </w:tcBorders>
            <w:vAlign w:val="bottom"/>
          </w:tcPr>
          <w:p w14:paraId="00000002" w14:textId="77777777" w:rsidR="0097565A" w:rsidRDefault="0097565A">
            <w:pPr>
              <w:spacing w:after="80"/>
              <w:rPr>
                <w:rFonts w:ascii="ＭＳ 明朝" w:eastAsia="ＭＳ 明朝" w:hAnsi="ＭＳ 明朝" w:cs="ＭＳ 明朝"/>
              </w:rPr>
            </w:pPr>
          </w:p>
        </w:tc>
        <w:tc>
          <w:tcPr>
            <w:tcW w:w="2268" w:type="dxa"/>
            <w:tcBorders>
              <w:bottom w:val="single" w:sz="4" w:space="0" w:color="000000"/>
            </w:tcBorders>
            <w:vAlign w:val="bottom"/>
          </w:tcPr>
          <w:p w14:paraId="00000003" w14:textId="77777777" w:rsidR="0097565A" w:rsidRDefault="00400FB1">
            <w:pPr>
              <w:spacing w:after="80" w:line="300" w:lineRule="auto"/>
              <w:rPr>
                <w:rFonts w:ascii="ＭＳ 明朝" w:eastAsia="ＭＳ 明朝" w:hAnsi="ＭＳ 明朝" w:cs="ＭＳ 明朝"/>
                <w:b/>
                <w:bCs/>
                <w:sz w:val="24"/>
                <w:szCs w:val="24"/>
              </w:rPr>
            </w:pPr>
            <w:r>
              <w:rPr>
                <w:rFonts w:ascii="ＭＳ 明朝" w:eastAsia="ＭＳ 明朝" w:hAnsi="ＭＳ 明朝" w:cs="ＭＳ 明朝"/>
                <w:sz w:val="28"/>
                <w:szCs w:val="28"/>
              </w:rPr>
              <w:t>国連</w:t>
            </w:r>
          </w:p>
        </w:tc>
        <w:tc>
          <w:tcPr>
            <w:tcW w:w="6095" w:type="dxa"/>
            <w:gridSpan w:val="2"/>
            <w:tcBorders>
              <w:bottom w:val="single" w:sz="4" w:space="0" w:color="000000"/>
            </w:tcBorders>
            <w:vAlign w:val="bottom"/>
          </w:tcPr>
          <w:p w14:paraId="00000004" w14:textId="77777777" w:rsidR="0097565A" w:rsidRDefault="00400FB1">
            <w:pPr>
              <w:spacing w:after="20"/>
              <w:jc w:val="right"/>
              <w:rPr>
                <w:rFonts w:ascii="ＭＳ 明朝" w:eastAsia="ＭＳ 明朝" w:hAnsi="ＭＳ 明朝" w:cs="ＭＳ 明朝"/>
              </w:rPr>
            </w:pPr>
            <w:r>
              <w:rPr>
                <w:rFonts w:ascii="ＭＳ 明朝" w:eastAsia="ＭＳ 明朝" w:hAnsi="ＭＳ 明朝" w:cs="ＭＳ 明朝"/>
              </w:rPr>
              <w:t>CRPD/C/BEL/2-3</w:t>
            </w:r>
          </w:p>
        </w:tc>
      </w:tr>
      <w:tr w:rsidR="0097565A" w14:paraId="31B388B4" w14:textId="77777777">
        <w:trPr>
          <w:cantSplit/>
          <w:trHeight w:val="1998"/>
        </w:trPr>
        <w:tc>
          <w:tcPr>
            <w:tcW w:w="1276" w:type="dxa"/>
            <w:tcBorders>
              <w:top w:val="single" w:sz="4" w:space="0" w:color="000000"/>
              <w:bottom w:val="single" w:sz="12" w:space="0" w:color="000000"/>
            </w:tcBorders>
          </w:tcPr>
          <w:p w14:paraId="00000006" w14:textId="77777777" w:rsidR="0097565A" w:rsidRDefault="00400FB1">
            <w:pPr>
              <w:spacing w:before="120"/>
              <w:jc w:val="center"/>
              <w:rPr>
                <w:rFonts w:ascii="ＭＳ 明朝" w:eastAsia="ＭＳ 明朝" w:hAnsi="ＭＳ 明朝" w:cs="ＭＳ 明朝"/>
              </w:rPr>
            </w:pPr>
            <w:r>
              <w:rPr>
                <w:rFonts w:ascii="ＭＳ 明朝" w:eastAsia="ＭＳ 明朝" w:hAnsi="ＭＳ 明朝" w:cs="ＭＳ 明朝"/>
                <w:noProof/>
              </w:rPr>
              <w:drawing>
                <wp:inline distT="0" distB="0" distL="0" distR="0" wp14:anchorId="7BC72643" wp14:editId="2213E00A">
                  <wp:extent cx="714375" cy="590550"/>
                  <wp:effectExtent l="0" t="0" r="0" b="0"/>
                  <wp:docPr id="1467351200" name="image3.png" descr="United Nations logo"/>
                  <wp:cNvGraphicFramePr/>
                  <a:graphic xmlns:a="http://schemas.openxmlformats.org/drawingml/2006/main">
                    <a:graphicData uri="http://schemas.openxmlformats.org/drawingml/2006/picture">
                      <pic:pic xmlns:pic="http://schemas.openxmlformats.org/drawingml/2006/picture">
                        <pic:nvPicPr>
                          <pic:cNvPr id="0" name="image3.png" descr="United Nations logo"/>
                          <pic:cNvPicPr preferRelativeResize="0"/>
                        </pic:nvPicPr>
                        <pic:blipFill>
                          <a:blip r:embed="rId8"/>
                          <a:srcRect/>
                          <a:stretch>
                            <a:fillRect/>
                          </a:stretch>
                        </pic:blipFill>
                        <pic:spPr>
                          <a:xfrm>
                            <a:off x="0" y="0"/>
                            <a:ext cx="714375" cy="590550"/>
                          </a:xfrm>
                          <a:prstGeom prst="rect">
                            <a:avLst/>
                          </a:prstGeom>
                          <a:ln/>
                        </pic:spPr>
                      </pic:pic>
                    </a:graphicData>
                  </a:graphic>
                </wp:inline>
              </w:drawing>
            </w:r>
          </w:p>
        </w:tc>
        <w:tc>
          <w:tcPr>
            <w:tcW w:w="5528" w:type="dxa"/>
            <w:gridSpan w:val="2"/>
            <w:tcBorders>
              <w:top w:val="single" w:sz="4" w:space="0" w:color="000000"/>
              <w:bottom w:val="single" w:sz="12" w:space="0" w:color="000000"/>
            </w:tcBorders>
          </w:tcPr>
          <w:p w14:paraId="00000007" w14:textId="77777777" w:rsidR="0097565A" w:rsidRDefault="00400FB1">
            <w:pPr>
              <w:spacing w:before="120" w:line="380" w:lineRule="auto"/>
              <w:rPr>
                <w:rFonts w:ascii="ＭＳ 明朝" w:eastAsia="ＭＳ 明朝" w:hAnsi="ＭＳ 明朝" w:cs="ＭＳ 明朝"/>
                <w:b/>
                <w:bCs/>
                <w:sz w:val="34"/>
                <w:szCs w:val="34"/>
              </w:rPr>
            </w:pPr>
            <w:r>
              <w:rPr>
                <w:rFonts w:ascii="ＭＳ 明朝" w:eastAsia="ＭＳ 明朝" w:hAnsi="ＭＳ 明朝" w:cs="ＭＳ 明朝"/>
                <w:b/>
                <w:bCs/>
                <w:sz w:val="34"/>
                <w:szCs w:val="34"/>
              </w:rPr>
              <w:br/>
              <w:t>障害者の権利に関する条約</w:t>
            </w:r>
          </w:p>
          <w:p w14:paraId="00000008" w14:textId="77777777" w:rsidR="0097565A" w:rsidRDefault="0097565A">
            <w:pPr>
              <w:spacing w:before="120" w:line="420" w:lineRule="auto"/>
              <w:rPr>
                <w:rFonts w:ascii="ＭＳ 明朝" w:eastAsia="ＭＳ 明朝" w:hAnsi="ＭＳ 明朝" w:cs="ＭＳ 明朝"/>
              </w:rPr>
            </w:pPr>
          </w:p>
        </w:tc>
        <w:tc>
          <w:tcPr>
            <w:tcW w:w="2835" w:type="dxa"/>
            <w:tcBorders>
              <w:top w:val="single" w:sz="4" w:space="0" w:color="000000"/>
              <w:bottom w:val="single" w:sz="12" w:space="0" w:color="000000"/>
            </w:tcBorders>
          </w:tcPr>
          <w:p w14:paraId="0000000A" w14:textId="77777777" w:rsidR="0097565A" w:rsidRDefault="00400FB1">
            <w:pPr>
              <w:spacing w:before="240" w:line="240" w:lineRule="auto"/>
              <w:rPr>
                <w:rFonts w:ascii="ＭＳ 明朝" w:eastAsia="ＭＳ 明朝" w:hAnsi="ＭＳ 明朝" w:cs="ＭＳ 明朝"/>
              </w:rPr>
            </w:pPr>
            <w:r>
              <w:rPr>
                <w:rFonts w:ascii="ＭＳ 明朝" w:eastAsia="ＭＳ 明朝" w:hAnsi="ＭＳ 明朝" w:cs="ＭＳ 明朝"/>
              </w:rPr>
              <w:t>配布：一般</w:t>
            </w:r>
          </w:p>
          <w:p w14:paraId="0000000B" w14:textId="77777777" w:rsidR="0097565A" w:rsidRDefault="00400FB1">
            <w:pPr>
              <w:rPr>
                <w:rFonts w:ascii="ＭＳ 明朝" w:eastAsia="ＭＳ 明朝" w:hAnsi="ＭＳ 明朝" w:cs="ＭＳ 明朝"/>
              </w:rPr>
            </w:pPr>
            <w:r>
              <w:rPr>
                <w:rFonts w:ascii="ＭＳ 明朝" w:eastAsia="ＭＳ 明朝" w:hAnsi="ＭＳ 明朝" w:cs="ＭＳ 明朝"/>
              </w:rPr>
              <w:t>2023年10月16日</w:t>
            </w:r>
          </w:p>
          <w:p w14:paraId="0000000C" w14:textId="77777777" w:rsidR="0097565A" w:rsidRDefault="00400FB1">
            <w:pPr>
              <w:rPr>
                <w:rFonts w:ascii="ＭＳ 明朝" w:eastAsia="ＭＳ 明朝" w:hAnsi="ＭＳ 明朝" w:cs="ＭＳ 明朝"/>
              </w:rPr>
            </w:pPr>
            <w:r>
              <w:rPr>
                <w:rFonts w:ascii="ＭＳ 明朝" w:eastAsia="ＭＳ 明朝" w:hAnsi="ＭＳ 明朝" w:cs="ＭＳ 明朝"/>
              </w:rPr>
              <w:t>英語</w:t>
            </w:r>
          </w:p>
          <w:p w14:paraId="0000000D" w14:textId="77777777" w:rsidR="0097565A" w:rsidRDefault="00400FB1">
            <w:pPr>
              <w:rPr>
                <w:rFonts w:ascii="ＭＳ 明朝" w:eastAsia="ＭＳ 明朝" w:hAnsi="ＭＳ 明朝" w:cs="ＭＳ 明朝"/>
              </w:rPr>
            </w:pPr>
            <w:r>
              <w:rPr>
                <w:rFonts w:ascii="ＭＳ 明朝" w:eastAsia="ＭＳ 明朝" w:hAnsi="ＭＳ 明朝" w:cs="ＭＳ 明朝"/>
              </w:rPr>
              <w:t>オリジナル：フランス語</w:t>
            </w:r>
          </w:p>
          <w:p w14:paraId="0000000E" w14:textId="77777777" w:rsidR="0097565A" w:rsidRDefault="00400FB1">
            <w:pPr>
              <w:rPr>
                <w:rFonts w:ascii="ＭＳ 明朝" w:eastAsia="ＭＳ 明朝" w:hAnsi="ＭＳ 明朝" w:cs="ＭＳ 明朝"/>
              </w:rPr>
            </w:pPr>
            <w:r>
              <w:rPr>
                <w:rFonts w:ascii="ＭＳ 明朝" w:eastAsia="ＭＳ 明朝" w:hAnsi="ＭＳ 明朝" w:cs="ＭＳ 明朝"/>
              </w:rPr>
              <w:t>アラビア語、英語、フランス語、スペイン語のみ</w:t>
            </w:r>
          </w:p>
        </w:tc>
      </w:tr>
    </w:tbl>
    <w:p w14:paraId="0000000F" w14:textId="77777777" w:rsidR="0097565A" w:rsidRDefault="00400FB1">
      <w:pPr>
        <w:spacing w:before="120"/>
        <w:rPr>
          <w:rFonts w:ascii="ＭＳ 明朝" w:eastAsia="ＭＳ 明朝" w:hAnsi="ＭＳ 明朝" w:cs="ＭＳ 明朝"/>
          <w:b/>
          <w:bCs/>
          <w:sz w:val="24"/>
          <w:szCs w:val="24"/>
        </w:rPr>
      </w:pPr>
      <w:r>
        <w:rPr>
          <w:rFonts w:ascii="ＭＳ 明朝" w:eastAsia="ＭＳ 明朝" w:hAnsi="ＭＳ 明朝" w:cs="ＭＳ 明朝"/>
          <w:b/>
          <w:bCs/>
          <w:sz w:val="24"/>
          <w:szCs w:val="24"/>
        </w:rPr>
        <w:t>障害者権利委員会</w:t>
      </w:r>
    </w:p>
    <w:p w14:paraId="00000010" w14:textId="4DE38A13" w:rsidR="0097565A" w:rsidRDefault="00400FB1">
      <w:pPr>
        <w:keepNext/>
        <w:keepLines/>
        <w:pBdr>
          <w:top w:val="nil"/>
          <w:left w:val="nil"/>
          <w:bottom w:val="nil"/>
          <w:right w:val="nil"/>
          <w:between w:val="nil"/>
        </w:pBdr>
        <w:tabs>
          <w:tab w:val="right" w:pos="851"/>
        </w:tabs>
        <w:spacing w:before="240" w:after="240" w:line="36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sz w:val="34"/>
          <w:szCs w:val="34"/>
        </w:rPr>
        <w:tab/>
      </w:r>
      <w:r>
        <w:rPr>
          <w:rFonts w:ascii="ＭＳ 明朝" w:eastAsia="ＭＳ 明朝" w:hAnsi="ＭＳ 明朝" w:cs="ＭＳ 明朝"/>
          <w:b/>
          <w:bCs/>
          <w:color w:val="000000"/>
          <w:sz w:val="34"/>
          <w:szCs w:val="34"/>
        </w:rPr>
        <w:tab/>
        <w:t>ベルギーが選択的報告手続きに従い条約第35条に基づいて提出した第2・3回合併報告（提出期限</w:t>
      </w:r>
      <w:r>
        <w:rPr>
          <w:rFonts w:ascii="ＭＳ 明朝" w:eastAsia="ＭＳ 明朝" w:hAnsi="ＭＳ 明朝" w:cs="ＭＳ 明朝"/>
          <w:color w:val="000000"/>
          <w:sz w:val="32"/>
          <w:szCs w:val="32"/>
          <w:vertAlign w:val="superscript"/>
        </w:rPr>
        <w:footnoteReference w:id="1"/>
      </w:r>
      <w:r>
        <w:rPr>
          <w:rFonts w:ascii="ＭＳ 明朝" w:eastAsia="ＭＳ 明朝" w:hAnsi="ＭＳ 明朝" w:cs="ＭＳ 明朝"/>
          <w:color w:val="000000"/>
          <w:sz w:val="32"/>
          <w:szCs w:val="32"/>
        </w:rPr>
        <w:t>2019</w:t>
      </w:r>
      <w:r>
        <w:rPr>
          <w:rFonts w:ascii="ＭＳ 明朝" w:eastAsia="ＭＳ 明朝" w:hAnsi="ＭＳ 明朝" w:cs="ＭＳ 明朝"/>
          <w:b/>
          <w:bCs/>
          <w:color w:val="000000"/>
          <w:sz w:val="34"/>
          <w:szCs w:val="34"/>
        </w:rPr>
        <w:t>年）</w:t>
      </w:r>
      <w:r w:rsidRPr="0080339E">
        <w:rPr>
          <w:rFonts w:ascii="ＭＳ 明朝" w:eastAsia="ＭＳ 明朝" w:hAnsi="ＭＳ 明朝" w:cs="ＭＳ 明朝"/>
          <w:color w:val="000000"/>
          <w:sz w:val="28"/>
          <w:szCs w:val="28"/>
          <w:vertAlign w:val="superscript"/>
        </w:rPr>
        <w:t>*</w:t>
      </w:r>
      <w:r w:rsidR="0080339E">
        <w:rPr>
          <w:rFonts w:ascii="ＭＳ 明朝" w:eastAsia="ＭＳ 明朝" w:hAnsi="ＭＳ 明朝" w:cs="ＭＳ 明朝" w:hint="eastAsia"/>
          <w:color w:val="000000"/>
          <w:sz w:val="28"/>
          <w:szCs w:val="28"/>
          <w:vertAlign w:val="superscript"/>
        </w:rPr>
        <w:t>,</w:t>
      </w:r>
      <w:bookmarkStart w:id="0" w:name="_Hlk225363562"/>
      <w:r w:rsidRPr="0080339E">
        <w:rPr>
          <w:rFonts w:ascii="ＭＳ 明朝" w:eastAsia="ＭＳ 明朝" w:hAnsi="ＭＳ 明朝" w:cs="ＭＳ 明朝"/>
          <w:color w:val="000000"/>
          <w:sz w:val="28"/>
          <w:szCs w:val="28"/>
          <w:vertAlign w:val="superscript"/>
        </w:rPr>
        <w:t>**</w:t>
      </w:r>
      <w:bookmarkEnd w:id="0"/>
    </w:p>
    <w:p w14:paraId="00000011" w14:textId="77777777" w:rsidR="0097565A" w:rsidRDefault="00400FB1">
      <w:pPr>
        <w:pBdr>
          <w:top w:val="nil"/>
          <w:left w:val="nil"/>
          <w:bottom w:val="nil"/>
          <w:right w:val="nil"/>
          <w:between w:val="nil"/>
        </w:pBdr>
        <w:tabs>
          <w:tab w:val="left" w:pos="1701"/>
          <w:tab w:val="left" w:pos="2268"/>
        </w:tabs>
        <w:spacing w:after="120"/>
        <w:ind w:left="1134" w:right="1134"/>
        <w:jc w:val="right"/>
        <w:rPr>
          <w:rFonts w:ascii="ＭＳ 明朝" w:eastAsia="ＭＳ 明朝" w:hAnsi="ＭＳ 明朝" w:cs="ＭＳ 明朝"/>
          <w:color w:val="000000"/>
        </w:rPr>
      </w:pPr>
      <w:r>
        <w:rPr>
          <w:rFonts w:ascii="ＭＳ 明朝" w:eastAsia="ＭＳ 明朝" w:hAnsi="ＭＳ 明朝" w:cs="ＭＳ 明朝"/>
          <w:color w:val="000000"/>
        </w:rPr>
        <w:t>[受信日：2020年4月14日］</w:t>
      </w:r>
    </w:p>
    <w:p w14:paraId="00000012" w14:textId="77777777" w:rsidR="0097565A" w:rsidRDefault="00400FB1">
      <w:pPr>
        <w:keepNext/>
        <w:keepLines/>
        <w:pBdr>
          <w:top w:val="nil"/>
          <w:left w:val="nil"/>
          <w:bottom w:val="nil"/>
          <w:right w:val="nil"/>
          <w:between w:val="nil"/>
        </w:pBdr>
        <w:tabs>
          <w:tab w:val="right" w:pos="851"/>
        </w:tabs>
        <w:spacing w:before="360" w:after="240" w:line="300" w:lineRule="auto"/>
        <w:ind w:left="1701" w:right="1134" w:hanging="1134"/>
        <w:rPr>
          <w:rFonts w:ascii="ＭＳ 明朝" w:eastAsia="ＭＳ 明朝" w:hAnsi="ＭＳ 明朝" w:cs="ＭＳ 明朝"/>
          <w:color w:val="000000"/>
          <w:sz w:val="21"/>
          <w:szCs w:val="21"/>
        </w:rPr>
      </w:pPr>
      <w:bookmarkStart w:id="1" w:name="_heading=h.x5pibtbe4be" w:colFirst="0" w:colLast="0"/>
      <w:bookmarkEnd w:id="1"/>
      <w:r>
        <w:rPr>
          <w:rFonts w:ascii="ＭＳ 明朝" w:eastAsia="ＭＳ 明朝" w:hAnsi="ＭＳ 明朝" w:cs="ＭＳ 明朝"/>
          <w:b/>
          <w:bCs/>
          <w:color w:val="000000"/>
          <w:sz w:val="28"/>
          <w:szCs w:val="28"/>
        </w:rPr>
        <w:t xml:space="preserve">　</w:t>
      </w:r>
      <w:r>
        <w:rPr>
          <w:rFonts w:ascii="ＭＳ 明朝" w:eastAsia="ＭＳ 明朝" w:hAnsi="ＭＳ 明朝" w:cs="ＭＳ 明朝"/>
          <w:color w:val="000000"/>
          <w:sz w:val="21"/>
          <w:szCs w:val="21"/>
        </w:rPr>
        <w:t xml:space="preserve">　訳注　ベルギーの3つの言語共同体と3つの地域をここでは次の訳語とした。</w:t>
      </w:r>
    </w:p>
    <w:p w14:paraId="00000013" w14:textId="7ABD9665" w:rsidR="0097565A" w:rsidRPr="0080339E" w:rsidRDefault="005F5B59" w:rsidP="0080339E">
      <w:pPr>
        <w:ind w:left="1701"/>
        <w:rPr>
          <w:rFonts w:asciiTheme="minorEastAsia" w:hAnsiTheme="minorEastAsia"/>
        </w:rPr>
      </w:pPr>
      <w:sdt>
        <w:sdtPr>
          <w:tag w:val="goog_rdk_0"/>
          <w:id w:val="-484558646"/>
        </w:sdtPr>
        <w:sdtEndPr>
          <w:rPr>
            <w:rFonts w:asciiTheme="minorEastAsia" w:hAnsiTheme="minorEastAsia"/>
          </w:rPr>
        </w:sdtEndPr>
        <w:sdtContent>
          <w:r w:rsidR="00400FB1">
            <w:rPr>
              <w:rFonts w:ascii="Gungsuh" w:eastAsia="Gungsuh" w:hAnsi="Gungsuh" w:cs="Gungsuh"/>
            </w:rPr>
            <w:t>Flemish Community：</w:t>
          </w:r>
          <w:r w:rsidR="00400FB1" w:rsidRPr="0080339E">
            <w:rPr>
              <w:rFonts w:asciiTheme="minorEastAsia" w:hAnsiTheme="minorEastAsia" w:cs="Gungsuh"/>
            </w:rPr>
            <w:t>フラマン語共同体</w:t>
          </w:r>
        </w:sdtContent>
      </w:sdt>
    </w:p>
    <w:p w14:paraId="00000014" w14:textId="77777777" w:rsidR="0097565A" w:rsidRDefault="005F5B59" w:rsidP="0080339E">
      <w:pPr>
        <w:ind w:left="1701"/>
      </w:pPr>
      <w:sdt>
        <w:sdtPr>
          <w:tag w:val="goog_rdk_1"/>
          <w:id w:val="1647111897"/>
        </w:sdtPr>
        <w:sdtEndPr>
          <w:rPr>
            <w:rFonts w:asciiTheme="minorEastAsia" w:hAnsiTheme="minorEastAsia"/>
          </w:rPr>
        </w:sdtEndPr>
        <w:sdtContent>
          <w:r w:rsidR="00400FB1">
            <w:rPr>
              <w:rFonts w:ascii="Gungsuh" w:eastAsia="Gungsuh" w:hAnsi="Gungsuh" w:cs="Gungsuh"/>
            </w:rPr>
            <w:t>French Community：</w:t>
          </w:r>
          <w:r w:rsidR="00400FB1" w:rsidRPr="0080339E">
            <w:rPr>
              <w:rFonts w:asciiTheme="minorEastAsia" w:hAnsiTheme="minorEastAsia" w:cs="Gungsuh"/>
            </w:rPr>
            <w:t>フランス語共同体</w:t>
          </w:r>
        </w:sdtContent>
      </w:sdt>
    </w:p>
    <w:p w14:paraId="00000015" w14:textId="77777777" w:rsidR="0097565A" w:rsidRDefault="005F5B59" w:rsidP="0080339E">
      <w:pPr>
        <w:ind w:left="1701"/>
      </w:pPr>
      <w:sdt>
        <w:sdtPr>
          <w:tag w:val="goog_rdk_2"/>
          <w:id w:val="970094087"/>
        </w:sdtPr>
        <w:sdtEndPr/>
        <w:sdtContent>
          <w:r w:rsidR="00400FB1">
            <w:rPr>
              <w:rFonts w:ascii="Gungsuh" w:eastAsia="Gungsuh" w:hAnsi="Gungsuh" w:cs="Gungsuh"/>
            </w:rPr>
            <w:t>German-speaking Community：</w:t>
          </w:r>
          <w:r w:rsidR="00400FB1" w:rsidRPr="0086525D">
            <w:rPr>
              <w:rFonts w:asciiTheme="minorEastAsia" w:hAnsiTheme="minorEastAsia" w:cs="Gungsuh"/>
            </w:rPr>
            <w:t>ドイツ語共同体</w:t>
          </w:r>
        </w:sdtContent>
      </w:sdt>
    </w:p>
    <w:p w14:paraId="00000016" w14:textId="77777777" w:rsidR="0097565A" w:rsidRDefault="005F5B59" w:rsidP="0080339E">
      <w:pPr>
        <w:ind w:left="1701"/>
      </w:pPr>
      <w:sdt>
        <w:sdtPr>
          <w:tag w:val="goog_rdk_3"/>
          <w:id w:val="-2080993961"/>
        </w:sdtPr>
        <w:sdtEndPr/>
        <w:sdtContent>
          <w:r w:rsidR="00400FB1">
            <w:rPr>
              <w:rFonts w:ascii="Gungsuh" w:eastAsia="Gungsuh" w:hAnsi="Gungsuh" w:cs="Gungsuh"/>
            </w:rPr>
            <w:t>Flemish Region：</w:t>
          </w:r>
          <w:r w:rsidR="00400FB1" w:rsidRPr="0086525D">
            <w:rPr>
              <w:rFonts w:asciiTheme="minorEastAsia" w:hAnsiTheme="minorEastAsia" w:cs="Gungsuh"/>
            </w:rPr>
            <w:t>フラマン地域</w:t>
          </w:r>
        </w:sdtContent>
      </w:sdt>
    </w:p>
    <w:p w14:paraId="00000017" w14:textId="77777777" w:rsidR="0097565A" w:rsidRDefault="005F5B59" w:rsidP="0080339E">
      <w:pPr>
        <w:ind w:left="1701"/>
      </w:pPr>
      <w:sdt>
        <w:sdtPr>
          <w:tag w:val="goog_rdk_4"/>
          <w:id w:val="-1158797320"/>
        </w:sdtPr>
        <w:sdtEndPr/>
        <w:sdtContent>
          <w:r w:rsidR="00400FB1">
            <w:rPr>
              <w:rFonts w:ascii="Gungsuh" w:eastAsia="Gungsuh" w:hAnsi="Gungsuh" w:cs="Gungsuh"/>
            </w:rPr>
            <w:t>Walloon Region：</w:t>
          </w:r>
          <w:r w:rsidR="00400FB1" w:rsidRPr="0086525D">
            <w:rPr>
              <w:rFonts w:asciiTheme="minorEastAsia" w:hAnsiTheme="minorEastAsia" w:cs="Gungsuh"/>
            </w:rPr>
            <w:t>ワロン地域</w:t>
          </w:r>
        </w:sdtContent>
      </w:sdt>
    </w:p>
    <w:p w14:paraId="00000018" w14:textId="77777777" w:rsidR="0097565A" w:rsidRDefault="005F5B59" w:rsidP="0080339E">
      <w:pPr>
        <w:ind w:left="1701"/>
      </w:pPr>
      <w:sdt>
        <w:sdtPr>
          <w:tag w:val="goog_rdk_5"/>
          <w:id w:val="-1312177561"/>
        </w:sdtPr>
        <w:sdtEndPr/>
        <w:sdtContent>
          <w:r w:rsidR="00400FB1">
            <w:rPr>
              <w:rFonts w:ascii="Gungsuh" w:eastAsia="Gungsuh" w:hAnsi="Gungsuh" w:cs="Gungsuh"/>
            </w:rPr>
            <w:t>Brussels(Brussels-Capital Region)：</w:t>
          </w:r>
          <w:r w:rsidR="00400FB1" w:rsidRPr="0086525D">
            <w:rPr>
              <w:rFonts w:asciiTheme="minorEastAsia" w:hAnsiTheme="minorEastAsia" w:cs="Gungsuh"/>
            </w:rPr>
            <w:t>ブリュッセル（ブリュッセル首都圏）</w:t>
          </w:r>
        </w:sdtContent>
      </w:sdt>
    </w:p>
    <w:p w14:paraId="00000019" w14:textId="77777777" w:rsidR="0097565A" w:rsidRDefault="00400FB1">
      <w:pPr>
        <w:keepNext/>
        <w:keepLines/>
        <w:pBdr>
          <w:top w:val="nil"/>
          <w:left w:val="nil"/>
          <w:bottom w:val="nil"/>
          <w:right w:val="nil"/>
          <w:between w:val="nil"/>
        </w:pBdr>
        <w:tabs>
          <w:tab w:val="right" w:pos="851"/>
        </w:tabs>
        <w:spacing w:before="360" w:after="240" w:line="300" w:lineRule="auto"/>
        <w:ind w:left="1134" w:right="1134" w:hanging="1134"/>
        <w:rPr>
          <w:rFonts w:ascii="ＭＳ 明朝" w:eastAsia="ＭＳ 明朝" w:hAnsi="ＭＳ 明朝" w:cs="ＭＳ 明朝"/>
          <w:b/>
          <w:bCs/>
          <w:color w:val="000000"/>
          <w:sz w:val="28"/>
          <w:szCs w:val="28"/>
        </w:rPr>
      </w:pPr>
      <w:r>
        <w:rPr>
          <w:rFonts w:ascii="ＭＳ 明朝" w:eastAsia="ＭＳ 明朝" w:hAnsi="ＭＳ 明朝" w:cs="ＭＳ 明朝"/>
          <w:b/>
          <w:bCs/>
          <w:color w:val="000000"/>
          <w:sz w:val="28"/>
          <w:szCs w:val="28"/>
        </w:rPr>
        <w:tab/>
        <w:t>I.</w:t>
      </w:r>
      <w:r>
        <w:rPr>
          <w:rFonts w:ascii="ＭＳ 明朝" w:eastAsia="ＭＳ 明朝" w:hAnsi="ＭＳ 明朝" w:cs="ＭＳ 明朝"/>
          <w:b/>
          <w:bCs/>
          <w:color w:val="000000"/>
          <w:sz w:val="28"/>
          <w:szCs w:val="28"/>
        </w:rPr>
        <w:tab/>
        <w:t>はじめに</w:t>
      </w:r>
    </w:p>
    <w:p w14:paraId="0000001A" w14:textId="6BB23718"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2" w:name="_heading=h.2dqt3riqzc6h" w:colFirst="0" w:colLast="0"/>
      <w:bookmarkEnd w:id="2"/>
      <w:r>
        <w:rPr>
          <w:rFonts w:ascii="ＭＳ 明朝" w:eastAsia="ＭＳ 明朝" w:hAnsi="ＭＳ 明朝" w:cs="ＭＳ 明朝"/>
          <w:color w:val="000000"/>
        </w:rPr>
        <w:t>1.</w:t>
      </w:r>
      <w:r>
        <w:rPr>
          <w:rFonts w:ascii="ＭＳ 明朝" w:eastAsia="ＭＳ 明朝" w:hAnsi="ＭＳ 明朝" w:cs="ＭＳ 明朝"/>
          <w:color w:val="000000"/>
        </w:rPr>
        <w:tab/>
        <w:t>本報告は、障害者権利条約第35条に基づ</w:t>
      </w:r>
      <w:r w:rsidR="0086525D">
        <w:rPr>
          <w:rFonts w:ascii="ＭＳ 明朝" w:eastAsia="ＭＳ 明朝" w:hAnsi="ＭＳ 明朝" w:cs="ＭＳ 明朝" w:hint="eastAsia"/>
          <w:color w:val="000000"/>
        </w:rPr>
        <w:t>いて</w:t>
      </w:r>
      <w:r>
        <w:rPr>
          <w:rFonts w:ascii="ＭＳ 明朝" w:eastAsia="ＭＳ 明朝" w:hAnsi="ＭＳ 明朝" w:cs="ＭＳ 明朝"/>
          <w:color w:val="000000"/>
        </w:rPr>
        <w:t>提出されたもので、2013年に委員会によって決定された選択的手続に従って作成された。</w:t>
      </w:r>
    </w:p>
    <w:p w14:paraId="0000001B"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Pr>
          <w:rFonts w:ascii="ＭＳ 明朝" w:eastAsia="ＭＳ 明朝" w:hAnsi="ＭＳ 明朝" w:cs="ＭＳ 明朝"/>
          <w:color w:val="000000"/>
        </w:rPr>
        <w:t>2.</w:t>
      </w:r>
      <w:r>
        <w:rPr>
          <w:rFonts w:ascii="ＭＳ 明朝" w:eastAsia="ＭＳ 明朝" w:hAnsi="ＭＳ 明朝" w:cs="ＭＳ 明朝"/>
          <w:color w:val="000000"/>
        </w:rPr>
        <w:tab/>
        <w:t>2011年のベルギーの初回報告（</w:t>
      </w:r>
      <w:r>
        <w:fldChar w:fldCharType="begin"/>
      </w:r>
      <w:r>
        <w:instrText>HYPERLINK "http://undocs.org/en/CRPD/C/BEL/1" \h</w:instrText>
      </w:r>
      <w:r>
        <w:fldChar w:fldCharType="separate"/>
      </w:r>
      <w:r>
        <w:rPr>
          <w:rFonts w:ascii="ＭＳ 明朝" w:eastAsia="ＭＳ 明朝" w:hAnsi="ＭＳ 明朝" w:cs="ＭＳ 明朝"/>
          <w:color w:val="0000FF"/>
        </w:rPr>
        <w:t>CRPD/C/BEL/1</w:t>
      </w:r>
      <w:r>
        <w:fldChar w:fldCharType="end"/>
      </w:r>
      <w:r>
        <w:rPr>
          <w:rFonts w:ascii="ＭＳ 明朝" w:eastAsia="ＭＳ 明朝" w:hAnsi="ＭＳ 明朝" w:cs="ＭＳ 明朝"/>
          <w:color w:val="000000"/>
        </w:rPr>
        <w:t>）、2014年の回答（</w:t>
      </w:r>
      <w:r>
        <w:fldChar w:fldCharType="begin"/>
      </w:r>
      <w:r>
        <w:instrText>HYPERLINK "http://undocs.org/en/CRPD/C/BEL/Q/1/Add.1" \h</w:instrText>
      </w:r>
      <w:r>
        <w:fldChar w:fldCharType="separate"/>
      </w:r>
      <w:r>
        <w:rPr>
          <w:rFonts w:ascii="ＭＳ 明朝" w:eastAsia="ＭＳ 明朝" w:hAnsi="ＭＳ 明朝" w:cs="ＭＳ 明朝"/>
          <w:color w:val="0000FF"/>
        </w:rPr>
        <w:t>CRPD/C/BEL/Q/1/Add.1</w:t>
      </w:r>
      <w:r>
        <w:fldChar w:fldCharType="end"/>
      </w:r>
      <w:r>
        <w:rPr>
          <w:rFonts w:ascii="ＭＳ 明朝" w:eastAsia="ＭＳ 明朝" w:hAnsi="ＭＳ 明朝" w:cs="ＭＳ 明朝"/>
          <w:color w:val="000000"/>
        </w:rPr>
        <w:t>）、</w:t>
      </w:r>
      <w:r w:rsidRPr="004E713D">
        <w:rPr>
          <w:rFonts w:ascii="ＭＳ 明朝" w:eastAsia="ＭＳ 明朝" w:hAnsi="ＭＳ 明朝" w:cs="ＭＳ 明朝"/>
          <w:color w:val="000000" w:themeColor="text1"/>
        </w:rPr>
        <w:t>国連委員会</w:t>
      </w:r>
      <w:r>
        <w:rPr>
          <w:rFonts w:ascii="ＭＳ 明朝" w:eastAsia="ＭＳ 明朝" w:hAnsi="ＭＳ 明朝" w:cs="ＭＳ 明朝"/>
          <w:color w:val="000000"/>
        </w:rPr>
        <w:t>の総括所見（</w:t>
      </w:r>
      <w:hyperlink r:id="rId9">
        <w:r>
          <w:rPr>
            <w:rFonts w:ascii="ＭＳ 明朝" w:eastAsia="ＭＳ 明朝" w:hAnsi="ＭＳ 明朝" w:cs="ＭＳ 明朝"/>
            <w:color w:val="0000FF"/>
          </w:rPr>
          <w:t>CRPD/C/BEL/CO/1</w:t>
        </w:r>
      </w:hyperlink>
      <w:r>
        <w:rPr>
          <w:rFonts w:ascii="ＭＳ 明朝" w:eastAsia="ＭＳ 明朝" w:hAnsi="ＭＳ 明朝" w:cs="ＭＳ 明朝"/>
          <w:color w:val="000000"/>
        </w:rPr>
        <w:t>）に対する中間フォローアップ以降、2019年12月31日までに採択された新たな政策や、法律、規制、法理、行政措置の変更について記述している。それ以降に採択された新たな措置については、報告の口頭紹介の中で議</w:t>
      </w:r>
      <w:r w:rsidRPr="004E713D">
        <w:rPr>
          <w:rFonts w:ascii="ＭＳ 明朝" w:eastAsia="ＭＳ 明朝" w:hAnsi="ＭＳ 明朝" w:cs="ＭＳ 明朝"/>
          <w:color w:val="000000" w:themeColor="text1"/>
        </w:rPr>
        <w:t>論されることになる。一般的な情報については、共通コア文書を参照されたい。</w:t>
      </w:r>
    </w:p>
    <w:p w14:paraId="0000001C" w14:textId="5CFCA345"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3" w:name="_heading=h.4q7fxevletdn" w:colFirst="0" w:colLast="0"/>
      <w:bookmarkEnd w:id="3"/>
      <w:r>
        <w:rPr>
          <w:rFonts w:ascii="ＭＳ 明朝" w:eastAsia="ＭＳ 明朝" w:hAnsi="ＭＳ 明朝" w:cs="ＭＳ 明朝"/>
          <w:color w:val="000000"/>
        </w:rPr>
        <w:t>3.</w:t>
      </w:r>
      <w:r>
        <w:rPr>
          <w:rFonts w:ascii="ＭＳ 明朝" w:eastAsia="ＭＳ 明朝" w:hAnsi="ＭＳ 明朝" w:cs="ＭＳ 明朝"/>
          <w:color w:val="000000"/>
        </w:rPr>
        <w:tab/>
        <w:t>本報告作成の一環として、2020年3月5日、ベルギー当局と市民社会（ベルギー障害フォーラム、GRIP（障害のあるすべての人の平等な権利）および</w:t>
      </w:r>
      <w:proofErr w:type="spellStart"/>
      <w:r>
        <w:rPr>
          <w:rFonts w:ascii="ＭＳ 明朝" w:eastAsia="ＭＳ 明朝" w:hAnsi="ＭＳ 明朝" w:cs="ＭＳ 明朝"/>
          <w:color w:val="000000"/>
        </w:rPr>
        <w:t>Unia</w:t>
      </w:r>
      <w:proofErr w:type="spellEnd"/>
      <w:r>
        <w:rPr>
          <w:rFonts w:ascii="ＭＳ 明朝" w:eastAsia="ＭＳ 明朝" w:hAnsi="ＭＳ 明朝" w:cs="ＭＳ 明朝"/>
          <w:color w:val="000000"/>
        </w:rPr>
        <w:t>（連邦間機会均等センター）の代表者による会合が開催された。</w:t>
      </w:r>
    </w:p>
    <w:p w14:paraId="0000001D" w14:textId="77777777" w:rsidR="0097565A" w:rsidRDefault="00400FB1">
      <w:pPr>
        <w:keepNext/>
        <w:keepLines/>
        <w:pBdr>
          <w:top w:val="nil"/>
          <w:left w:val="nil"/>
          <w:bottom w:val="nil"/>
          <w:right w:val="nil"/>
          <w:between w:val="nil"/>
        </w:pBdr>
        <w:tabs>
          <w:tab w:val="right" w:pos="851"/>
        </w:tabs>
        <w:spacing w:before="360" w:after="240" w:line="300" w:lineRule="auto"/>
        <w:ind w:left="1134" w:right="1134" w:hanging="1134"/>
        <w:rPr>
          <w:rFonts w:ascii="ＭＳ 明朝" w:eastAsia="ＭＳ 明朝" w:hAnsi="ＭＳ 明朝" w:cs="ＭＳ 明朝"/>
          <w:color w:val="000000"/>
          <w:sz w:val="24"/>
          <w:szCs w:val="24"/>
        </w:rPr>
      </w:pPr>
      <w:bookmarkStart w:id="4" w:name="_heading=h.pvb0kdqdwrh9" w:colFirst="0" w:colLast="0"/>
      <w:bookmarkEnd w:id="4"/>
      <w:r>
        <w:rPr>
          <w:rFonts w:ascii="ＭＳ 明朝" w:eastAsia="ＭＳ 明朝" w:hAnsi="ＭＳ 明朝" w:cs="ＭＳ 明朝"/>
          <w:b/>
          <w:bCs/>
          <w:color w:val="000000"/>
          <w:sz w:val="28"/>
          <w:szCs w:val="28"/>
        </w:rPr>
        <w:tab/>
        <w:t>II.目的と一般的義務（第1～4条）</w:t>
      </w:r>
    </w:p>
    <w:p w14:paraId="0000001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w:t>
      </w:r>
      <w:hyperlink r:id="rId10">
        <w:r>
          <w:rPr>
            <w:rFonts w:ascii="ＭＳ 明朝" w:eastAsia="ＭＳ 明朝" w:hAnsi="ＭＳ 明朝" w:cs="ＭＳ 明朝"/>
            <w:b/>
            <w:bCs/>
            <w:color w:val="0000FF"/>
          </w:rPr>
          <w:t>CRPD/C/BEL/QPR/2-3</w:t>
        </w:r>
      </w:hyperlink>
      <w:r>
        <w:rPr>
          <w:rFonts w:ascii="ＭＳ 明朝" w:eastAsia="ＭＳ 明朝" w:hAnsi="ＭＳ 明朝" w:cs="ＭＳ 明朝"/>
          <w:b/>
          <w:bCs/>
          <w:color w:val="000000"/>
        </w:rPr>
        <w:t>）のパラグラフ1（a）への回答</w:t>
      </w:r>
    </w:p>
    <w:p w14:paraId="0000001F"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w:t>
      </w:r>
      <w:r w:rsidRPr="004E713D">
        <w:rPr>
          <w:rFonts w:ascii="ＭＳ 明朝" w:eastAsia="ＭＳ 明朝" w:hAnsi="ＭＳ 明朝" w:cs="ＭＳ 明朝"/>
          <w:color w:val="000000" w:themeColor="text1"/>
        </w:rPr>
        <w:tab/>
        <w:t>権限の分割を考慮し、法令は、様々なレベルの政府（訳注　連邦、州、地方</w:t>
      </w:r>
      <w:r>
        <w:rPr>
          <w:rFonts w:ascii="ＭＳ 明朝" w:eastAsia="ＭＳ 明朝" w:hAnsi="ＭＳ 明朝" w:cs="ＭＳ 明朝"/>
          <w:color w:val="000000"/>
        </w:rPr>
        <w:t>自治体のこと）で条約から生じる義務を遵守するために修正される。各主体は、これらの修正を管理・調整するための独自の方法論に従っている（事前質問事項のパラグラフ2への回答を参照）。条約の実施に関する連邦間の協力は、調整メカニズムの支援を受けて、行政レベルで連絡先（focal points）の間で行われる</w:t>
      </w:r>
      <w:r w:rsidRPr="004E713D">
        <w:rPr>
          <w:rFonts w:ascii="ＭＳ 明朝" w:eastAsia="ＭＳ 明朝" w:hAnsi="ＭＳ 明朝" w:cs="ＭＳ 明朝"/>
          <w:color w:val="000000" w:themeColor="text1"/>
        </w:rPr>
        <w:t>（パラグラフ31の質問への回答を参照）。</w:t>
      </w:r>
    </w:p>
    <w:p w14:paraId="00000020"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5" w:name="_heading=h.i5wifv4zkfml" w:colFirst="0" w:colLast="0"/>
      <w:bookmarkEnd w:id="5"/>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事前質問事項のパラグラフ1（b）への回答</w:t>
      </w:r>
    </w:p>
    <w:p w14:paraId="0000002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6" w:name="_heading=h.3ebndds2aus7" w:colFirst="0" w:colLast="0"/>
      <w:bookmarkEnd w:id="6"/>
      <w:r w:rsidRPr="004E713D">
        <w:rPr>
          <w:rFonts w:ascii="ＭＳ 明朝" w:eastAsia="ＭＳ 明朝" w:hAnsi="ＭＳ 明朝" w:cs="ＭＳ 明朝"/>
          <w:color w:val="000000" w:themeColor="text1"/>
        </w:rPr>
        <w:t>5.</w:t>
      </w:r>
      <w:r w:rsidRPr="004E713D">
        <w:rPr>
          <w:rFonts w:ascii="ＭＳ 明朝" w:eastAsia="ＭＳ 明朝" w:hAnsi="ＭＳ 明朝" w:cs="ＭＳ 明朝"/>
          <w:color w:val="000000" w:themeColor="text1"/>
        </w:rPr>
        <w:tab/>
        <w:t>人権に基づく障害の概念についてはパラグラフ1(c)への回答を参照のこと。</w:t>
      </w:r>
    </w:p>
    <w:p w14:paraId="00000022" w14:textId="6310704C"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4E713D">
        <w:rPr>
          <w:rFonts w:ascii="ＭＳ 明朝" w:eastAsia="ＭＳ 明朝" w:hAnsi="ＭＳ 明朝" w:cs="ＭＳ 明朝"/>
          <w:color w:val="000000" w:themeColor="text1"/>
        </w:rPr>
        <w:t>6.</w:t>
      </w:r>
      <w:r w:rsidRPr="004E713D">
        <w:rPr>
          <w:rFonts w:ascii="ＭＳ 明朝" w:eastAsia="ＭＳ 明朝" w:hAnsi="ＭＳ 明朝" w:cs="ＭＳ 明朝"/>
          <w:color w:val="000000" w:themeColor="text1"/>
        </w:rPr>
        <w:tab/>
        <w:t>フラマン語共同体は、障害のある人の</w:t>
      </w:r>
      <w:r w:rsidR="00C3031A" w:rsidRPr="004E713D">
        <w:rPr>
          <w:rFonts w:ascii="ＭＳ 明朝" w:eastAsia="ＭＳ 明朝" w:hAnsi="ＭＳ 明朝" w:cs="ＭＳ 明朝" w:hint="eastAsia"/>
          <w:color w:val="000000" w:themeColor="text1"/>
        </w:rPr>
        <w:t>自律と</w:t>
      </w:r>
      <w:r w:rsidRPr="004E713D">
        <w:rPr>
          <w:rFonts w:ascii="ＭＳ 明朝" w:eastAsia="ＭＳ 明朝" w:hAnsi="ＭＳ 明朝" w:cs="ＭＳ 明朝"/>
          <w:color w:val="000000" w:themeColor="text1"/>
        </w:rPr>
        <w:t>自立を促進するため、個人資金助成（personal funding）に関する法令（パラ18への回答参照）と教育に関する</w:t>
      </w:r>
      <w:r>
        <w:rPr>
          <w:rFonts w:ascii="ＭＳ 明朝" w:eastAsia="ＭＳ 明朝" w:hAnsi="ＭＳ 明朝" w:cs="ＭＳ 明朝"/>
          <w:color w:val="000000"/>
        </w:rPr>
        <w:t>法律（パラ22への回答参照）を採択した。</w:t>
      </w:r>
    </w:p>
    <w:p w14:paraId="00000023" w14:textId="2EF876A0"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7.</w:t>
      </w:r>
      <w:r>
        <w:rPr>
          <w:rFonts w:ascii="ＭＳ 明朝" w:eastAsia="ＭＳ 明朝" w:hAnsi="ＭＳ 明朝" w:cs="ＭＳ 明朝"/>
          <w:color w:val="000000"/>
        </w:rPr>
        <w:tab/>
        <w:t>フラマン地域は雇用に関する法令を変更した（パラ25への回答参照）。</w:t>
      </w:r>
    </w:p>
    <w:p w14:paraId="0000002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w:t>
      </w:r>
      <w:r w:rsidRPr="004E713D">
        <w:rPr>
          <w:rFonts w:ascii="ＭＳ 明朝" w:eastAsia="ＭＳ 明朝" w:hAnsi="ＭＳ 明朝" w:cs="ＭＳ 明朝"/>
          <w:color w:val="000000" w:themeColor="text1"/>
        </w:rPr>
        <w:tab/>
        <w:t>ブリュッセルでは、フランス語共同体委員会が法律への障害のある人の組み入れを強化した。</w:t>
      </w:r>
    </w:p>
    <w:p w14:paraId="0000002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w:t>
      </w:r>
      <w:r w:rsidRPr="004E713D">
        <w:rPr>
          <w:rFonts w:ascii="ＭＳ 明朝" w:eastAsia="ＭＳ 明朝" w:hAnsi="ＭＳ 明朝" w:cs="ＭＳ 明朝"/>
          <w:color w:val="000000" w:themeColor="text1"/>
        </w:rPr>
        <w:tab/>
        <w:t>ドイツ語共同体は、法律を改正し、障害者支援サービスの改善を図った（パラグラフ1(c)への回答を参照）。</w:t>
      </w:r>
    </w:p>
    <w:p w14:paraId="00000026"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事前質問事項のパラグラフ1（c）への回答</w:t>
      </w:r>
    </w:p>
    <w:p w14:paraId="0000002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w:t>
      </w:r>
      <w:r w:rsidRPr="004E713D">
        <w:rPr>
          <w:rFonts w:ascii="ＭＳ 明朝" w:eastAsia="ＭＳ 明朝" w:hAnsi="ＭＳ 明朝" w:cs="ＭＳ 明朝"/>
          <w:color w:val="000000" w:themeColor="text1"/>
        </w:rPr>
        <w:tab/>
        <w:t>現在のところ、障害の概念の間の整合性を確保することを目指した取り組みはない。しかし、新しい法律に含まれる定義は一貫性があり、人権モデルに基づいている。加えて、給付金やその他の社会的支援の認定のために、既存の障害の考え方を修正する措置が取られている。</w:t>
      </w:r>
    </w:p>
    <w:p w14:paraId="0000002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11.</w:t>
      </w:r>
      <w:r w:rsidRPr="004E713D">
        <w:rPr>
          <w:rFonts w:ascii="ＭＳ 明朝" w:eastAsia="ＭＳ 明朝" w:hAnsi="ＭＳ 明朝" w:cs="ＭＳ 明朝"/>
          <w:color w:val="000000" w:themeColor="text1"/>
        </w:rPr>
        <w:tab/>
        <w:t>連邦レベルでは、複数の大学が障害者統合手当（integration allowance）のための新しい評価ツールを提案することを委託された。2019年に開発・発表されたこの新しいツールは、国際生活機能分類（ICF）の概念に基づいたもので、医学モデルから脱却し、社会生活への参加をより重視している。</w:t>
      </w:r>
    </w:p>
    <w:p w14:paraId="0000002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4E713D">
        <w:rPr>
          <w:rFonts w:ascii="ＭＳ 明朝" w:eastAsia="ＭＳ 明朝" w:hAnsi="ＭＳ 明朝" w:cs="ＭＳ 明朝"/>
          <w:color w:val="000000" w:themeColor="text1"/>
        </w:rPr>
        <w:t>12.</w:t>
      </w:r>
      <w:r w:rsidRPr="004E713D">
        <w:rPr>
          <w:rFonts w:ascii="ＭＳ 明朝" w:eastAsia="ＭＳ 明朝" w:hAnsi="ＭＳ 明朝" w:cs="ＭＳ 明朝"/>
          <w:color w:val="000000" w:themeColor="text1"/>
        </w:rPr>
        <w:tab/>
        <w:t>ドイツ語共同体では、自立生活サービス（DSL）が2019年からICFとベルギー居住者評価尺度（</w:t>
      </w:r>
      <w:proofErr w:type="spellStart"/>
      <w:r w:rsidRPr="004E713D">
        <w:rPr>
          <w:rFonts w:ascii="ＭＳ 明朝" w:eastAsia="ＭＳ 明朝" w:hAnsi="ＭＳ 明朝" w:cs="ＭＳ 明朝"/>
          <w:color w:val="000000" w:themeColor="text1"/>
        </w:rPr>
        <w:t>BelRAI</w:t>
      </w:r>
      <w:proofErr w:type="spellEnd"/>
      <w:r w:rsidRPr="004E713D">
        <w:rPr>
          <w:rFonts w:ascii="ＭＳ 明朝" w:eastAsia="ＭＳ 明朝" w:hAnsi="ＭＳ 明朝" w:cs="ＭＳ 明朝"/>
          <w:color w:val="000000" w:themeColor="text1"/>
        </w:rPr>
        <w:t>）を使ってケアニーズの評価を行っている。これらで考慮されているのは医学的な基準ではない。地域開発計画の次の実施段階として、社会法制を人権モデルに沿わせ、支援サービスが障害のある人が明確に求めているニーズを満たすようにするための社会法制の修正と更新が期待されてい</w:t>
      </w:r>
      <w:r>
        <w:rPr>
          <w:rFonts w:ascii="ＭＳ 明朝" w:eastAsia="ＭＳ 明朝" w:hAnsi="ＭＳ 明朝" w:cs="ＭＳ 明朝"/>
          <w:color w:val="000000"/>
        </w:rPr>
        <w:t xml:space="preserve">る。　</w:t>
      </w:r>
    </w:p>
    <w:p w14:paraId="0000002A"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7" w:name="_heading=h.92p48hd0jqf6" w:colFirst="0" w:colLast="0"/>
      <w:bookmarkEnd w:id="7"/>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事前質問事項のパラグラフ2への回答</w:t>
      </w:r>
    </w:p>
    <w:p w14:paraId="0000002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4E713D">
        <w:rPr>
          <w:rFonts w:ascii="ＭＳ 明朝" w:eastAsia="ＭＳ 明朝" w:hAnsi="ＭＳ 明朝" w:cs="ＭＳ 明朝"/>
          <w:color w:val="000000" w:themeColor="text1"/>
        </w:rPr>
        <w:t>13.</w:t>
      </w:r>
      <w:r w:rsidRPr="004E713D">
        <w:rPr>
          <w:rFonts w:ascii="ＭＳ 明朝" w:eastAsia="ＭＳ 明朝" w:hAnsi="ＭＳ 明朝" w:cs="ＭＳ 明朝"/>
          <w:color w:val="000000" w:themeColor="text1"/>
        </w:rPr>
        <w:tab/>
        <w:t>障害のある人の権利に焦点を当てた計画や戦略が、レベルの異なる政府で策</w:t>
      </w:r>
      <w:r>
        <w:rPr>
          <w:rFonts w:ascii="ＭＳ 明朝" w:eastAsia="ＭＳ 明朝" w:hAnsi="ＭＳ 明朝" w:cs="ＭＳ 明朝"/>
          <w:color w:val="000000"/>
        </w:rPr>
        <w:t>定されている。</w:t>
      </w:r>
    </w:p>
    <w:p w14:paraId="0000002C" w14:textId="77777777" w:rsidR="0097565A" w:rsidRPr="004E713D" w:rsidRDefault="00400FB1">
      <w:pPr>
        <w:pBdr>
          <w:top w:val="nil"/>
          <w:left w:val="nil"/>
          <w:bottom w:val="nil"/>
          <w:right w:val="nil"/>
          <w:between w:val="nil"/>
        </w:pBdr>
        <w:tabs>
          <w:tab w:val="left" w:pos="1701"/>
          <w:tab w:val="left" w:pos="2268"/>
          <w:tab w:val="left" w:pos="1504"/>
        </w:tabs>
        <w:spacing w:after="120"/>
        <w:ind w:left="1134" w:right="1134"/>
        <w:jc w:val="both"/>
        <w:rPr>
          <w:rFonts w:ascii="ＭＳ 明朝" w:eastAsia="ＭＳ 明朝" w:hAnsi="ＭＳ 明朝" w:cs="ＭＳ 明朝"/>
          <w:color w:val="000000" w:themeColor="text1"/>
        </w:rPr>
      </w:pPr>
      <w:bookmarkStart w:id="8" w:name="_heading=h.3d2jmxj7auv8" w:colFirst="0" w:colLast="0"/>
      <w:bookmarkEnd w:id="8"/>
      <w:r>
        <w:rPr>
          <w:rFonts w:ascii="ＭＳ 明朝" w:eastAsia="ＭＳ 明朝" w:hAnsi="ＭＳ 明朝" w:cs="ＭＳ 明朝"/>
          <w:color w:val="000000"/>
        </w:rPr>
        <w:t>14.</w:t>
      </w:r>
      <w:r>
        <w:rPr>
          <w:rFonts w:ascii="ＭＳ 明朝" w:eastAsia="ＭＳ 明朝" w:hAnsi="ＭＳ 明朝" w:cs="ＭＳ 明朝"/>
          <w:color w:val="000000"/>
        </w:rPr>
        <w:tab/>
        <w:t>連邦レベルでは、2016年に採択された連邦障害者行動計画には2つの要素がある。「障害の主流化（</w:t>
      </w:r>
      <w:proofErr w:type="spellStart"/>
      <w:r>
        <w:rPr>
          <w:rFonts w:ascii="ＭＳ 明朝" w:eastAsia="ＭＳ 明朝" w:hAnsi="ＭＳ 明朝" w:cs="ＭＳ 明朝"/>
          <w:i/>
          <w:iCs/>
          <w:color w:val="000000"/>
        </w:rPr>
        <w:t>handistreaming</w:t>
      </w:r>
      <w:proofErr w:type="spellEnd"/>
      <w:r>
        <w:rPr>
          <w:rFonts w:ascii="ＭＳ 明朝" w:eastAsia="ＭＳ 明朝" w:hAnsi="ＭＳ 明朝" w:cs="ＭＳ 明朝"/>
          <w:color w:val="000000"/>
        </w:rPr>
        <w:t>）：分野横断的な行動と目標」という構成要素については、各大臣や国務長官が毎年、政策声明の中で少なくとも2つの政</w:t>
      </w:r>
      <w:r w:rsidRPr="004E713D">
        <w:rPr>
          <w:rFonts w:ascii="ＭＳ 明朝" w:eastAsia="ＭＳ 明朝" w:hAnsi="ＭＳ 明朝" w:cs="ＭＳ 明朝"/>
          <w:color w:val="000000" w:themeColor="text1"/>
        </w:rPr>
        <w:t xml:space="preserve">策での障害の主流化を約束している。このような政策措置における障害の主流化は、閣僚会議への報告の主題となった。その目的は、問題とされている政策措置が障害のある人に及ぼしうる影響を検討し、様々な権限領域に障害主流化を反映させることである。第二の構成要素である「分野別の措置と目標」は、市民社会と独立（監視）機構の見解と意見を参考として、障害者権利委員会の勧告をフォローアップすることを目的としている。 </w:t>
      </w:r>
    </w:p>
    <w:p w14:paraId="0000002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15.</w:t>
      </w:r>
      <w:r w:rsidRPr="004E713D">
        <w:rPr>
          <w:rFonts w:ascii="ＭＳ 明朝" w:eastAsia="ＭＳ 明朝" w:hAnsi="ＭＳ 明朝" w:cs="ＭＳ 明朝"/>
          <w:color w:val="000000" w:themeColor="text1"/>
        </w:rPr>
        <w:tab/>
        <w:t>フラマン政府は、障害（およびジェンダー）の主流化のために、様々な権限分野や部門において、オープン方式による調整（open method of coordination）を採用している。この方式は、政令で機会均等政策に位置づけられ、機会均等担当大臣だけでなく、内閣を構成する全メンバーに責任があることを意味する。選挙で選ばれた各議会の会期が始まると、政府は市民社会と緊密に協議しながら共通の目標の枠組みを定め、それを2段階で実施する行動計画に移行させる。これは、機会均等に関する水平戦略計画（horizontal strategic plans）に反映されている。この計画は、条約の実施を促進するための明確な意志と行動の概要を示すものである。2015から2019年の立法期間では、社会啓発、データ収集と監視、アクセシビリティと参加という目標に焦点が当てられている。</w:t>
      </w:r>
    </w:p>
    <w:p w14:paraId="0000002E"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16.</w:t>
      </w:r>
      <w:r w:rsidRPr="004E713D">
        <w:rPr>
          <w:rFonts w:ascii="ＭＳ 明朝" w:eastAsia="ＭＳ 明朝" w:hAnsi="ＭＳ 明朝" w:cs="ＭＳ 明朝"/>
          <w:color w:val="000000" w:themeColor="text1"/>
        </w:rPr>
        <w:tab/>
        <w:t>ワロン地域では、ワロン保健・社会保護・障害・家族庁（通称「生活の質庁」(AVIQ）)が、ワロンの公益団体における障害の主流化の的確性について、3年ごとに報告を作成している。最初の報告では、ジェンダーの主流化に関する法令は「メンタリティーを変え、公共政策を全面的に強化することに役立っている」と指摘されている。ジェンダーの主流化は、現在の立法期間での地域政策声明に盛り込まれている。</w:t>
      </w:r>
    </w:p>
    <w:p w14:paraId="0000002F"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17.</w:t>
      </w:r>
      <w:r w:rsidRPr="004E713D">
        <w:rPr>
          <w:rFonts w:ascii="ＭＳ 明朝" w:eastAsia="ＭＳ 明朝" w:hAnsi="ＭＳ 明朝" w:cs="ＭＳ 明朝"/>
          <w:color w:val="000000" w:themeColor="text1"/>
        </w:rPr>
        <w:tab/>
        <w:t>ブリュッセルでは、2015年にブリュッセル首都圏地域、共通共同体委員会、およびフランス語共同体委員会により「障害の主流化憲章」が採択された。この憲章には、各大臣はその権限の範囲内で障害のある人の権利に特別な注意を払わなければならないことが示されている。この憲章は、ブリュッセルの3つの連合体の法律の根拠とされている。フランス語共同体委員会では、職業訓練を担当するブリュッセルの公的機関「ブリュッセルの布陣」(</w:t>
      </w:r>
      <w:proofErr w:type="spellStart"/>
      <w:r w:rsidRPr="004E713D">
        <w:rPr>
          <w:rFonts w:ascii="ＭＳ 明朝" w:eastAsia="ＭＳ 明朝" w:hAnsi="ＭＳ 明朝" w:cs="ＭＳ 明朝"/>
          <w:color w:val="000000" w:themeColor="text1"/>
        </w:rPr>
        <w:t>Bruxelles</w:t>
      </w:r>
      <w:proofErr w:type="spellEnd"/>
      <w:r w:rsidRPr="004E713D">
        <w:rPr>
          <w:rFonts w:ascii="ＭＳ 明朝" w:eastAsia="ＭＳ 明朝" w:hAnsi="ＭＳ 明朝" w:cs="ＭＳ 明朝"/>
          <w:color w:val="000000" w:themeColor="text1"/>
        </w:rPr>
        <w:t xml:space="preserve"> Formation)が、いくつかの個別の支援サービスの承認を得て、障害の主流化を優先事項として実施している。さらに、様々な分野で障害を主流化するためのブリュッセル首都圏戦略の一環として、「平等なブリュッセル」(</w:t>
      </w:r>
      <w:proofErr w:type="spellStart"/>
      <w:r w:rsidRPr="004E713D">
        <w:rPr>
          <w:rFonts w:ascii="ＭＳ 明朝" w:eastAsia="ＭＳ 明朝" w:hAnsi="ＭＳ 明朝" w:cs="ＭＳ 明朝"/>
          <w:color w:val="000000" w:themeColor="text1"/>
        </w:rPr>
        <w:t>equal.brussels</w:t>
      </w:r>
      <w:proofErr w:type="spellEnd"/>
      <w:r w:rsidRPr="004E713D">
        <w:rPr>
          <w:rFonts w:ascii="ＭＳ 明朝" w:eastAsia="ＭＳ 明朝" w:hAnsi="ＭＳ 明朝" w:cs="ＭＳ 明朝"/>
          <w:color w:val="000000" w:themeColor="text1"/>
        </w:rPr>
        <w:t>)とワロン・ブリュッセル・アクセシビリティ連合は、2018年から2019年にかけて8つのパイロットプロジェクトの実施を支援した。</w:t>
      </w:r>
    </w:p>
    <w:p w14:paraId="00000030"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18.</w:t>
      </w:r>
      <w:r w:rsidRPr="004E713D">
        <w:rPr>
          <w:rFonts w:ascii="ＭＳ 明朝" w:eastAsia="ＭＳ 明朝" w:hAnsi="ＭＳ 明朝" w:cs="ＭＳ 明朝"/>
          <w:color w:val="000000" w:themeColor="text1"/>
        </w:rPr>
        <w:tab/>
        <w:t xml:space="preserve">ドイツ語圏では、パラグラフ6の勧告を受けて、2015年に自立生活サービス部門によって、障害者権利条約実施のためのドイツ語共同体の行動計画（DG </w:t>
      </w:r>
      <w:proofErr w:type="spellStart"/>
      <w:r w:rsidRPr="004E713D">
        <w:rPr>
          <w:rFonts w:ascii="ＭＳ 明朝" w:eastAsia="ＭＳ 明朝" w:hAnsi="ＭＳ 明朝" w:cs="ＭＳ 明朝"/>
          <w:color w:val="000000" w:themeColor="text1"/>
        </w:rPr>
        <w:t>Inklusiv</w:t>
      </w:r>
      <w:proofErr w:type="spellEnd"/>
      <w:r w:rsidRPr="004E713D">
        <w:rPr>
          <w:rFonts w:ascii="ＭＳ 明朝" w:eastAsia="ＭＳ 明朝" w:hAnsi="ＭＳ 明朝" w:cs="ＭＳ 明朝"/>
          <w:color w:val="000000" w:themeColor="text1"/>
        </w:rPr>
        <w:t xml:space="preserve"> 2025）が採択された。この計画は、障害のある人のインクルージョンを促進するための政策実施指針としての役割を果たすことになる。（訳注　2014年10月のベルギーへの総括所見のパラグラフ６では条約実施計画の策定が勧告されていた。）</w:t>
      </w:r>
    </w:p>
    <w:p w14:paraId="00000031"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bookmarkStart w:id="9" w:name="_heading=h.36vxfz1wkkyx" w:colFirst="0" w:colLast="0"/>
      <w:bookmarkEnd w:id="9"/>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事前質問事項のパラグラフ3への回答</w:t>
      </w:r>
    </w:p>
    <w:p w14:paraId="0000003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10" w:name="_heading=h.g4nn5iwm25lo" w:colFirst="0" w:colLast="0"/>
      <w:bookmarkEnd w:id="10"/>
      <w:r w:rsidRPr="004E713D">
        <w:rPr>
          <w:rFonts w:ascii="ＭＳ 明朝" w:eastAsia="ＭＳ 明朝" w:hAnsi="ＭＳ 明朝" w:cs="ＭＳ 明朝"/>
          <w:color w:val="000000" w:themeColor="text1"/>
        </w:rPr>
        <w:t>19.</w:t>
      </w:r>
      <w:r w:rsidRPr="004E713D">
        <w:rPr>
          <w:rFonts w:ascii="ＭＳ 明朝" w:eastAsia="ＭＳ 明朝" w:hAnsi="ＭＳ 明朝" w:cs="ＭＳ 明朝"/>
          <w:color w:val="000000" w:themeColor="text1"/>
        </w:rPr>
        <w:tab/>
        <w:t>連邦レベルでは、障害に関連する法律や政策の立案、実施、見直しへの障害のある人の参加は、主に全国障害者高等評議会（National High Council for Persons with Disabilities）への報告と交流を通じて行われる。そして評議会は、障害のある人の生活に影響を及ぼす可能性のあるすべての事項を検討する責任を負う。政府や公共サービスは、提案に対する意見をここに求めることができ、一方で、評議会は独自の判断で意見を発表することもある。このような意見発表は、障害者手当に関する提案では必要不可欠である。調整機構は、評議会の報告を関係するすべての公共サービスに周知させることにより、評議会を支援している。</w:t>
      </w:r>
    </w:p>
    <w:p w14:paraId="00000033"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11" w:name="_heading=h.br0eajpg4zkk" w:colFirst="0" w:colLast="0"/>
      <w:bookmarkEnd w:id="11"/>
      <w:r w:rsidRPr="004E713D">
        <w:rPr>
          <w:rFonts w:ascii="ＭＳ 明朝" w:eastAsia="ＭＳ 明朝" w:hAnsi="ＭＳ 明朝" w:cs="ＭＳ 明朝"/>
          <w:color w:val="000000" w:themeColor="text1"/>
        </w:rPr>
        <w:t>20.</w:t>
      </w:r>
      <w:r w:rsidRPr="004E713D">
        <w:rPr>
          <w:rFonts w:ascii="ＭＳ 明朝" w:eastAsia="ＭＳ 明朝" w:hAnsi="ＭＳ 明朝" w:cs="ＭＳ 明朝"/>
          <w:color w:val="000000" w:themeColor="text1"/>
        </w:rPr>
        <w:tab/>
        <w:t>フラマン語共同体およびフラマン地域のレベルでは、様々な作業部会や委員会に障害のある人が代表として参加するなど、分野レベルでの障害のある人の政治参加の伝統がある。2015年から2019年にかけての横断的機会均等政策（cross-cutting equal opportunities policy）の目的の枠組みでは、障害のある人の参加をまず政策から強化しなければならないと定めている。フラマンのアクセシビリティ担当機関であるインター（Inter）は、経験による専門家（experts by experience、訳注　主に当事者のこと）の参加を増やすための取り組みを展開している。さらに、フラマン政府は、GRIPや「私たちの新しい未来」(</w:t>
      </w:r>
      <w:proofErr w:type="spellStart"/>
      <w:r w:rsidRPr="004E713D">
        <w:rPr>
          <w:rFonts w:ascii="ＭＳ 明朝" w:eastAsia="ＭＳ 明朝" w:hAnsi="ＭＳ 明朝" w:cs="ＭＳ 明朝"/>
          <w:color w:val="000000" w:themeColor="text1"/>
        </w:rPr>
        <w:t>Onze</w:t>
      </w:r>
      <w:proofErr w:type="spellEnd"/>
      <w:r w:rsidRPr="004E713D">
        <w:rPr>
          <w:rFonts w:ascii="ＭＳ 明朝" w:eastAsia="ＭＳ 明朝" w:hAnsi="ＭＳ 明朝" w:cs="ＭＳ 明朝"/>
          <w:color w:val="000000" w:themeColor="text1"/>
        </w:rPr>
        <w:t xml:space="preserve"> </w:t>
      </w:r>
      <w:proofErr w:type="spellStart"/>
      <w:r w:rsidRPr="004E713D">
        <w:rPr>
          <w:rFonts w:ascii="ＭＳ 明朝" w:eastAsia="ＭＳ 明朝" w:hAnsi="ＭＳ 明朝" w:cs="ＭＳ 明朝"/>
          <w:color w:val="000000" w:themeColor="text1"/>
        </w:rPr>
        <w:t>Nieuwe</w:t>
      </w:r>
      <w:proofErr w:type="spellEnd"/>
      <w:r w:rsidRPr="004E713D">
        <w:rPr>
          <w:rFonts w:ascii="ＭＳ 明朝" w:eastAsia="ＭＳ 明朝" w:hAnsi="ＭＳ 明朝" w:cs="ＭＳ 明朝"/>
          <w:color w:val="000000" w:themeColor="text1"/>
        </w:rPr>
        <w:t xml:space="preserve"> Toekomst)を含む多くの障害者団体に助成し、あらゆる種類の直接的・間接的な介入を通じて、障害のある人の政治への参加を促している。 </w:t>
      </w:r>
    </w:p>
    <w:p w14:paraId="0000003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21.</w:t>
      </w:r>
      <w:r w:rsidRPr="004E713D">
        <w:rPr>
          <w:rFonts w:ascii="ＭＳ 明朝" w:eastAsia="ＭＳ 明朝" w:hAnsi="ＭＳ 明朝" w:cs="ＭＳ 明朝"/>
          <w:color w:val="000000" w:themeColor="text1"/>
        </w:rPr>
        <w:tab/>
        <w:t>フランス語共同体では、インクルーシブ高等教育に関する2014年1月30日付法令および社会参加教育（social advancement education）に関する2016年6月30日付法令が、それらの教育を専門とする委員会への障害のある人を代表する団体の参加を規定している。</w:t>
      </w:r>
    </w:p>
    <w:p w14:paraId="0000003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22.</w:t>
      </w:r>
      <w:r w:rsidRPr="004E713D">
        <w:rPr>
          <w:rFonts w:ascii="ＭＳ 明朝" w:eastAsia="ＭＳ 明朝" w:hAnsi="ＭＳ 明朝" w:cs="ＭＳ 明朝"/>
          <w:color w:val="000000" w:themeColor="text1"/>
        </w:rPr>
        <w:tab/>
        <w:t>ワロン地域では、戦略・将来計画審議会への障害のある人の参加は、随時設置される専門家グループを通じて行われる。施行令が採択されるまでの間、障害のある人は、障害分野委員会により任命された2名の委員により代表される。</w:t>
      </w:r>
    </w:p>
    <w:p w14:paraId="00000036"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12" w:name="_heading=h.7g2kwjnmxy1u" w:colFirst="0" w:colLast="0"/>
      <w:bookmarkEnd w:id="12"/>
      <w:r w:rsidRPr="004E713D">
        <w:rPr>
          <w:rFonts w:ascii="ＭＳ 明朝" w:eastAsia="ＭＳ 明朝" w:hAnsi="ＭＳ 明朝" w:cs="ＭＳ 明朝"/>
          <w:color w:val="000000" w:themeColor="text1"/>
        </w:rPr>
        <w:t>23.</w:t>
      </w:r>
      <w:r w:rsidRPr="004E713D">
        <w:rPr>
          <w:rFonts w:ascii="ＭＳ 明朝" w:eastAsia="ＭＳ 明朝" w:hAnsi="ＭＳ 明朝" w:cs="ＭＳ 明朝"/>
          <w:color w:val="000000" w:themeColor="text1"/>
        </w:rPr>
        <w:tab/>
        <w:t>ブリュッセル首都圏では、新たに「ブリュッセル障害者評議会」（Brussels Council for Persons with Disabilities）が法律の起草、施行、監視に携わっている。同評議会の役割は、ブリュッセル首都圏における障害のある人のインクルージョンに関するあらゆる問題について意見と勧告をまとめ、ブリュッセル首都圏に影響が及ぶ範囲での、他のレベル（訳注　上位および下位）の政府におけるこの問題を監視することである。</w:t>
      </w:r>
    </w:p>
    <w:p w14:paraId="0000003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24.</w:t>
      </w:r>
      <w:r w:rsidRPr="004E713D">
        <w:rPr>
          <w:rFonts w:ascii="ＭＳ 明朝" w:eastAsia="ＭＳ 明朝" w:hAnsi="ＭＳ 明朝" w:cs="ＭＳ 明朝"/>
          <w:color w:val="000000" w:themeColor="text1"/>
        </w:rPr>
        <w:tab/>
        <w:t>フランス語共同体委員会では、2017年以降、委員会理事会で採択された規則はすべて、障害の主流化の観点から審査されている。障害の主流化に関する政令の実施を担当する調整グループは、計画案、中間報告、最終報告を諮問委員会に提出する。</w:t>
      </w:r>
    </w:p>
    <w:p w14:paraId="00000038"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事前質問事項のパラグラフ4への回答</w:t>
      </w:r>
    </w:p>
    <w:p w14:paraId="00000039" w14:textId="08B0F279" w:rsidR="0097565A" w:rsidRPr="004E713D" w:rsidRDefault="00400FB1">
      <w:pPr>
        <w:pBdr>
          <w:top w:val="nil"/>
          <w:left w:val="nil"/>
          <w:bottom w:val="nil"/>
          <w:right w:val="nil"/>
          <w:between w:val="nil"/>
        </w:pBdr>
        <w:tabs>
          <w:tab w:val="left" w:pos="1701"/>
          <w:tab w:val="left" w:pos="2268"/>
          <w:tab w:val="left" w:pos="1660"/>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25.</w:t>
      </w:r>
      <w:r w:rsidRPr="004E713D">
        <w:rPr>
          <w:rFonts w:ascii="ＭＳ 明朝" w:eastAsia="ＭＳ 明朝" w:hAnsi="ＭＳ 明朝" w:cs="ＭＳ 明朝"/>
          <w:color w:val="000000" w:themeColor="text1"/>
        </w:rPr>
        <w:tab/>
        <w:t>フラマン語共同体およびフラマン地域では、2018年に、20以上の障害者団体からなるグループによって、政策への完全参加を実現するためのフラマン諮問評議会に関する議論が開始され、その諮問協議会の拠りどころとなる指導原則「私たち抜きで、私たちについて決めないで」の概要が示された。その目的は、現場にいるすべての障害関係者と、主流の市民社会では代表されない人々の参加を最大化することであった。パイロット・プロジェクトには70万ユーロの予算が計上されている。2020年には、</w:t>
      </w:r>
      <w:bookmarkStart w:id="13" w:name="_Hlk224927611"/>
      <w:r w:rsidRPr="004E713D">
        <w:rPr>
          <w:rFonts w:ascii="ＭＳ 明朝" w:eastAsia="ＭＳ 明朝" w:hAnsi="ＭＳ 明朝" w:cs="ＭＳ 明朝"/>
          <w:color w:val="000000" w:themeColor="text1"/>
        </w:rPr>
        <w:t>政令による</w:t>
      </w:r>
      <w:r w:rsidR="007465C5" w:rsidRPr="004E713D">
        <w:rPr>
          <w:rFonts w:ascii="ＭＳ 明朝" w:eastAsia="ＭＳ 明朝" w:hAnsi="ＭＳ 明朝" w:cs="ＭＳ 明朝" w:hint="eastAsia"/>
          <w:color w:val="000000" w:themeColor="text1"/>
        </w:rPr>
        <w:t>制度化</w:t>
      </w:r>
      <w:r w:rsidRPr="004E713D">
        <w:rPr>
          <w:rFonts w:ascii="ＭＳ 明朝" w:eastAsia="ＭＳ 明朝" w:hAnsi="ＭＳ 明朝" w:cs="ＭＳ 明朝"/>
          <w:color w:val="000000" w:themeColor="text1"/>
        </w:rPr>
        <w:t>の可能性</w:t>
      </w:r>
      <w:bookmarkEnd w:id="13"/>
      <w:r w:rsidRPr="004E713D">
        <w:rPr>
          <w:rFonts w:ascii="ＭＳ 明朝" w:eastAsia="ＭＳ 明朝" w:hAnsi="ＭＳ 明朝" w:cs="ＭＳ 明朝"/>
          <w:color w:val="000000" w:themeColor="text1"/>
        </w:rPr>
        <w:t>を視野に入れたプロジェクト評価が予定されている。</w:t>
      </w:r>
    </w:p>
    <w:p w14:paraId="0000003A"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26.</w:t>
      </w:r>
      <w:r w:rsidRPr="004E713D">
        <w:rPr>
          <w:rFonts w:ascii="ＭＳ 明朝" w:eastAsia="ＭＳ 明朝" w:hAnsi="ＭＳ 明朝" w:cs="ＭＳ 明朝"/>
          <w:color w:val="000000" w:themeColor="text1"/>
        </w:rPr>
        <w:tab/>
        <w:t>ワロン地域では、障害のある人とその代表団体はワロン障害者委員会を通じて政策に関与している。そして、2016年1月1日の政令によるワロン保健・社会保護・障害・家族庁の設立により、最終的にはワロン障害者委員会に代わる同庁の機関を通じて諮問機能が遂行されることが想定されている。</w:t>
      </w:r>
    </w:p>
    <w:p w14:paraId="0000003B"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27.</w:t>
      </w:r>
      <w:r w:rsidRPr="004E713D">
        <w:rPr>
          <w:rFonts w:ascii="ＭＳ 明朝" w:eastAsia="ＭＳ 明朝" w:hAnsi="ＭＳ 明朝" w:cs="ＭＳ 明朝"/>
          <w:color w:val="000000" w:themeColor="text1"/>
        </w:rPr>
        <w:tab/>
        <w:t>ブリュッセル首都圏では、2018年にブリュッセル障害者協議会が設立された。この協議会は、ブリュッセル首都圏の共同体の他の諮問委員会のメンバー、市民社会からの5人の障害の主流化の専門家、</w:t>
      </w:r>
      <w:proofErr w:type="spellStart"/>
      <w:r w:rsidRPr="004E713D">
        <w:rPr>
          <w:rFonts w:ascii="ＭＳ 明朝" w:eastAsia="ＭＳ 明朝" w:hAnsi="ＭＳ 明朝" w:cs="ＭＳ 明朝"/>
          <w:color w:val="000000" w:themeColor="text1"/>
        </w:rPr>
        <w:t>Unia</w:t>
      </w:r>
      <w:proofErr w:type="spellEnd"/>
      <w:r w:rsidRPr="004E713D">
        <w:rPr>
          <w:rFonts w:ascii="ＭＳ 明朝" w:eastAsia="ＭＳ 明朝" w:hAnsi="ＭＳ 明朝" w:cs="ＭＳ 明朝"/>
          <w:color w:val="000000" w:themeColor="text1"/>
        </w:rPr>
        <w:t>（訳注　パラグラフ３参照）の代表で構成されている。同協議会は独立した機関であり、予算も独自に計上されている（2019年は30,000ユーロ）。</w:t>
      </w:r>
    </w:p>
    <w:p w14:paraId="0000003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14" w:name="_heading=h.79p8dbo4y3wl" w:colFirst="0" w:colLast="0"/>
      <w:bookmarkEnd w:id="14"/>
      <w:r w:rsidRPr="004E713D">
        <w:rPr>
          <w:rFonts w:ascii="ＭＳ 明朝" w:eastAsia="ＭＳ 明朝" w:hAnsi="ＭＳ 明朝" w:cs="ＭＳ 明朝"/>
          <w:color w:val="000000" w:themeColor="text1"/>
        </w:rPr>
        <w:t>28.</w:t>
      </w:r>
      <w:r w:rsidRPr="004E713D">
        <w:rPr>
          <w:rFonts w:ascii="ＭＳ 明朝" w:eastAsia="ＭＳ 明朝" w:hAnsi="ＭＳ 明朝" w:cs="ＭＳ 明朝"/>
          <w:color w:val="000000" w:themeColor="text1"/>
        </w:rPr>
        <w:tab/>
        <w:t>共通共同体委員会（Common Community Commission）では、諮問機能は社会保護のための公益組織であるアイリスケア（</w:t>
      </w:r>
      <w:proofErr w:type="spellStart"/>
      <w:r w:rsidRPr="004E713D">
        <w:rPr>
          <w:rFonts w:ascii="ＭＳ 明朝" w:eastAsia="ＭＳ 明朝" w:hAnsi="ＭＳ 明朝" w:cs="ＭＳ 明朝"/>
          <w:color w:val="000000" w:themeColor="text1"/>
        </w:rPr>
        <w:t>Iriscare</w:t>
      </w:r>
      <w:proofErr w:type="spellEnd"/>
      <w:r w:rsidRPr="004E713D">
        <w:rPr>
          <w:rFonts w:ascii="ＭＳ 明朝" w:eastAsia="ＭＳ 明朝" w:hAnsi="ＭＳ 明朝" w:cs="ＭＳ 明朝"/>
          <w:color w:val="000000" w:themeColor="text1"/>
        </w:rPr>
        <w:t>）に一本化されてきている。障害者委員会は分科組織として設置され、この分野のサービス提供者や保証機関を代表する団体、障害のある人を代表する団体で構成され、それぞれの団体が代表者または利用者代表を委員として任命する。</w:t>
      </w:r>
    </w:p>
    <w:p w14:paraId="0000003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29.</w:t>
      </w:r>
      <w:r w:rsidRPr="004E713D">
        <w:rPr>
          <w:rFonts w:ascii="ＭＳ 明朝" w:eastAsia="ＭＳ 明朝" w:hAnsi="ＭＳ 明朝" w:cs="ＭＳ 明朝"/>
          <w:color w:val="000000" w:themeColor="text1"/>
        </w:rPr>
        <w:tab/>
        <w:t>ドイツ語共同体政府は、代表団体が協議会の規約、目的、内部活動に関する合意に到達し次第、適切な財源を提供することを含め、法人格を持つ協議会の創設において市民社会を支援することを約束した。</w:t>
      </w:r>
    </w:p>
    <w:p w14:paraId="0000003E" w14:textId="77777777" w:rsidR="0097565A" w:rsidRPr="004E713D" w:rsidRDefault="00400FB1">
      <w:pPr>
        <w:keepNext/>
        <w:keepLines/>
        <w:pBdr>
          <w:top w:val="nil"/>
          <w:left w:val="nil"/>
          <w:bottom w:val="nil"/>
          <w:right w:val="nil"/>
          <w:between w:val="nil"/>
        </w:pBdr>
        <w:tabs>
          <w:tab w:val="right" w:pos="851"/>
        </w:tabs>
        <w:spacing w:before="360" w:after="240" w:line="300" w:lineRule="auto"/>
        <w:ind w:left="1134" w:right="1134" w:hanging="1134"/>
        <w:rPr>
          <w:rFonts w:ascii="ＭＳ 明朝" w:eastAsia="ＭＳ 明朝" w:hAnsi="ＭＳ 明朝" w:cs="ＭＳ 明朝"/>
          <w:b/>
          <w:bCs/>
          <w:color w:val="000000" w:themeColor="text1"/>
          <w:sz w:val="28"/>
          <w:szCs w:val="28"/>
        </w:rPr>
      </w:pPr>
      <w:bookmarkStart w:id="15" w:name="_heading=h.i0ktnqbufhah" w:colFirst="0" w:colLast="0"/>
      <w:bookmarkEnd w:id="15"/>
      <w:r w:rsidRPr="004E713D">
        <w:rPr>
          <w:rFonts w:ascii="ＭＳ 明朝" w:eastAsia="ＭＳ 明朝" w:hAnsi="ＭＳ 明朝" w:cs="ＭＳ 明朝"/>
          <w:b/>
          <w:bCs/>
          <w:color w:val="000000" w:themeColor="text1"/>
          <w:sz w:val="28"/>
          <w:szCs w:val="28"/>
        </w:rPr>
        <w:tab/>
        <w:t>III.</w:t>
      </w:r>
      <w:r w:rsidRPr="004E713D">
        <w:rPr>
          <w:rFonts w:ascii="ＭＳ 明朝" w:eastAsia="ＭＳ 明朝" w:hAnsi="ＭＳ 明朝" w:cs="ＭＳ 明朝"/>
          <w:b/>
          <w:bCs/>
          <w:color w:val="000000" w:themeColor="text1"/>
          <w:sz w:val="28"/>
          <w:szCs w:val="28"/>
        </w:rPr>
        <w:tab/>
        <w:t>具体的な権利</w:t>
      </w:r>
    </w:p>
    <w:p w14:paraId="0000003F"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16" w:name="_heading=h.96jvxaj0lhok" w:colFirst="0" w:colLast="0"/>
      <w:bookmarkEnd w:id="16"/>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平等と無差別（第5条）</w:t>
      </w:r>
    </w:p>
    <w:p w14:paraId="00000040"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bookmarkStart w:id="17" w:name="_heading=h.47pakccq00f3" w:colFirst="0" w:colLast="0"/>
      <w:bookmarkEnd w:id="17"/>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事前質問事項のパラグラフ5（a）への回答</w:t>
      </w:r>
    </w:p>
    <w:p w14:paraId="0000004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30.</w:t>
      </w:r>
      <w:r w:rsidRPr="004E713D">
        <w:rPr>
          <w:rFonts w:ascii="ＭＳ 明朝" w:eastAsia="ＭＳ 明朝" w:hAnsi="ＭＳ 明朝" w:cs="ＭＳ 明朝"/>
          <w:color w:val="000000" w:themeColor="text1"/>
        </w:rPr>
        <w:tab/>
        <w:t>職場における差別に関しては、パラグラフ25（c）への回答を参照のこと。連邦レベルに関しては、パラグラフ5（b）への回答を参照のこと。</w:t>
      </w:r>
    </w:p>
    <w:p w14:paraId="0000004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31.</w:t>
      </w:r>
      <w:r w:rsidRPr="004E713D">
        <w:rPr>
          <w:rFonts w:ascii="ＭＳ 明朝" w:eastAsia="ＭＳ 明朝" w:hAnsi="ＭＳ 明朝" w:cs="ＭＳ 明朝"/>
          <w:color w:val="000000" w:themeColor="text1"/>
        </w:rPr>
        <w:tab/>
        <w:t xml:space="preserve">フラマン語共同体およびフラマン地域のレベルでは、2019年に機会均等令、特に非差別政策の規定に関する評価研究が開始された。この政令は、関連する欧州指令の（国内法への）置き換えと、女性差別撤廃条約や障害者権利条約などの条約の実施を規定している。中心的な問題は、現行の法令が効果的な差別禁止政策のための適切な枠組みを提供しているかどうかである。 </w:t>
      </w:r>
    </w:p>
    <w:p w14:paraId="00000043"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32.</w:t>
      </w:r>
      <w:r w:rsidRPr="004E713D">
        <w:rPr>
          <w:rFonts w:ascii="ＭＳ 明朝" w:eastAsia="ＭＳ 明朝" w:hAnsi="ＭＳ 明朝" w:cs="ＭＳ 明朝"/>
          <w:color w:val="000000" w:themeColor="text1"/>
        </w:rPr>
        <w:tab/>
        <w:t>ワロン地域は2019年、障害や性別による差別を含む複合差別を差別禁止法の枠組に加えた。</w:t>
      </w:r>
    </w:p>
    <w:p w14:paraId="0000004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33.</w:t>
      </w:r>
      <w:r w:rsidRPr="004E713D">
        <w:rPr>
          <w:rFonts w:ascii="ＭＳ 明朝" w:eastAsia="ＭＳ 明朝" w:hAnsi="ＭＳ 明朝" w:cs="ＭＳ 明朝"/>
          <w:color w:val="000000" w:themeColor="text1"/>
        </w:rPr>
        <w:tab/>
        <w:t>ブリュッセル首都圏は、特定の形態の差別と闘い、待遇の平等を促進することを目的とした2017年10月5日の条例、地方行政での多様性政策の確保と差別との闘いを目的とした2019年4月25日の枠組み条例、住宅へのアクセスにおける差別との闘いを強化するためのブリュッセル住宅法典を改正する2018年12月21日の条例の採択により、差別禁止法を強化している。この住宅法典では、地域検査局の職務のひとつは、状況テスト（situation testing）を行って差別が発生したかどうかを判断することとされている。</w:t>
      </w:r>
    </w:p>
    <w:p w14:paraId="0000004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34.</w:t>
      </w:r>
      <w:r w:rsidRPr="004E713D">
        <w:rPr>
          <w:rFonts w:ascii="ＭＳ 明朝" w:eastAsia="ＭＳ 明朝" w:hAnsi="ＭＳ 明朝" w:cs="ＭＳ 明朝"/>
          <w:color w:val="000000" w:themeColor="text1"/>
        </w:rPr>
        <w:tab/>
        <w:t>ドイツ語共同体では、2017年から差別問題に対応する窓口が設けられている。女性と暴力被害者のためのカウンセリングセンターであるプリズマ（Prisma）、およびウニア（</w:t>
      </w:r>
      <w:proofErr w:type="spellStart"/>
      <w:r w:rsidRPr="004E713D">
        <w:rPr>
          <w:rFonts w:ascii="ＭＳ 明朝" w:eastAsia="ＭＳ 明朝" w:hAnsi="ＭＳ 明朝" w:cs="ＭＳ 明朝"/>
          <w:color w:val="000000" w:themeColor="text1"/>
        </w:rPr>
        <w:t>Unia</w:t>
      </w:r>
      <w:proofErr w:type="spellEnd"/>
      <w:r w:rsidRPr="004E713D">
        <w:rPr>
          <w:rFonts w:ascii="ＭＳ 明朝" w:eastAsia="ＭＳ 明朝" w:hAnsi="ＭＳ 明朝" w:cs="ＭＳ 明朝"/>
          <w:color w:val="000000" w:themeColor="text1"/>
        </w:rPr>
        <w:t>）は、議事堂で定期的に相談時間を設けている。</w:t>
      </w:r>
    </w:p>
    <w:p w14:paraId="00000046"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事前質問事項のパラグラフ5（b）への回答</w:t>
      </w:r>
    </w:p>
    <w:p w14:paraId="0000004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35.</w:t>
      </w:r>
      <w:r w:rsidRPr="004E713D">
        <w:rPr>
          <w:rFonts w:ascii="ＭＳ 明朝" w:eastAsia="ＭＳ 明朝" w:hAnsi="ＭＳ 明朝" w:cs="ＭＳ 明朝"/>
          <w:color w:val="000000" w:themeColor="text1"/>
        </w:rPr>
        <w:tab/>
        <w:t>連邦レベルでは、12人の専門家からなる委員会が、3つの反差別法を評価する任務を担った。その任務の期間は2016年から2021年までである。2017年、委員会は法律の有効性を高め実施を改善する33の勧告を含む最初の中間報告を作成した。</w:t>
      </w:r>
    </w:p>
    <w:p w14:paraId="0000004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36.</w:t>
      </w:r>
      <w:r w:rsidRPr="004E713D">
        <w:rPr>
          <w:rFonts w:ascii="ＭＳ 明朝" w:eastAsia="ＭＳ 明朝" w:hAnsi="ＭＳ 明朝" w:cs="ＭＳ 明朝"/>
          <w:color w:val="000000" w:themeColor="text1"/>
        </w:rPr>
        <w:tab/>
        <w:t>これらの勧告には、交差差別および多重差別、障害のある人の関係者であることを理由にした差別、以前の健康状態に基づく差別を法律に含めるべきことが含まれている。また、多重差別が行われた場合の適切な罰則の見直しや、平等団体（equality bodies）の判決請求権の調整も提言している。これらの勧告の一部を盛り込んだ法案が現在準備中である。</w:t>
      </w:r>
    </w:p>
    <w:p w14:paraId="00000049"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37.</w:t>
      </w:r>
      <w:r w:rsidRPr="004E713D">
        <w:rPr>
          <w:rFonts w:ascii="ＭＳ 明朝" w:eastAsia="ＭＳ 明朝" w:hAnsi="ＭＳ 明朝" w:cs="ＭＳ 明朝"/>
          <w:color w:val="000000" w:themeColor="text1"/>
        </w:rPr>
        <w:tab/>
        <w:t xml:space="preserve">この委員会はまた、2007年の法律によって導入された罰則制度全体を再検討する意向である。この再検討では、現行の罰金制度が適切であり、応分（過度とならない）であり、かつ抑止効果を持つことに関して確認する。なお、応分の観点は刑罰が過度でないことも意味すると理解されている。また、諸外国の経験に照らして、罰金以外の刑罰を導入することの妥当性と適切性も検討する。 </w:t>
      </w:r>
    </w:p>
    <w:p w14:paraId="0000004A"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18" w:name="_heading=h.1ys2cfbcwbf9" w:colFirst="0" w:colLast="0"/>
      <w:bookmarkEnd w:id="18"/>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障害のある女性（第6条）</w:t>
      </w:r>
    </w:p>
    <w:p w14:paraId="0000004B"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bookmarkStart w:id="19" w:name="_heading=h.xyymkj9dv06s" w:colFirst="0" w:colLast="0"/>
      <w:bookmarkEnd w:id="19"/>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事前質問事項のパラグラフ6（a）への回答</w:t>
      </w:r>
    </w:p>
    <w:p w14:paraId="0000004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38.</w:t>
      </w:r>
      <w:r w:rsidRPr="004E713D">
        <w:rPr>
          <w:rFonts w:ascii="ＭＳ 明朝" w:eastAsia="ＭＳ 明朝" w:hAnsi="ＭＳ 明朝" w:cs="ＭＳ 明朝"/>
          <w:color w:val="000000" w:themeColor="text1"/>
        </w:rPr>
        <w:tab/>
        <w:t>政府は、様々なレベルで、障害政策を含むすべての政策にジェンダーの次元を統合すること（ジェンダーの主流化）を目指すとともに、ジェンダー政策を含むすべての政策に障害の次元を統合すること（障害の主流化）を目指している。</w:t>
      </w:r>
    </w:p>
    <w:p w14:paraId="0000004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39.</w:t>
      </w:r>
      <w:r w:rsidRPr="004E713D">
        <w:rPr>
          <w:rFonts w:ascii="ＭＳ 明朝" w:eastAsia="ＭＳ 明朝" w:hAnsi="ＭＳ 明朝" w:cs="ＭＳ 明朝"/>
          <w:color w:val="000000" w:themeColor="text1"/>
        </w:rPr>
        <w:tab/>
        <w:t>複合差別および交差差別との闘いについては、事前質問事項のパラグラフ5への回答を参照のこと。障害のある女性と少女への暴力については、パラグラフ16（a）への回答を参照のこと。また、障害の側面を組み込むための行動計画については、パラグラフ2への回答を参照のこと。</w:t>
      </w:r>
    </w:p>
    <w:p w14:paraId="0000004E" w14:textId="3245D118"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i/>
          <w:iCs/>
          <w:color w:val="000000" w:themeColor="text1"/>
        </w:rPr>
      </w:pPr>
      <w:r w:rsidRPr="004E713D">
        <w:rPr>
          <w:rFonts w:ascii="ＭＳ 明朝" w:eastAsia="ＭＳ 明朝" w:hAnsi="ＭＳ 明朝" w:cs="ＭＳ 明朝"/>
          <w:color w:val="000000" w:themeColor="text1"/>
        </w:rPr>
        <w:t>40.</w:t>
      </w:r>
      <w:r w:rsidRPr="004E713D">
        <w:rPr>
          <w:rFonts w:ascii="ＭＳ 明朝" w:eastAsia="ＭＳ 明朝" w:hAnsi="ＭＳ 明朝" w:cs="ＭＳ 明朝"/>
          <w:color w:val="000000" w:themeColor="text1"/>
        </w:rPr>
        <w:tab/>
        <w:t xml:space="preserve">2018年、ベルギーは障害者権利条約締約国会議の中で、性と生殖の権利に焦点を当てたジェンダーと障害に関するサイドイベントを開催した。　</w:t>
      </w:r>
    </w:p>
    <w:p w14:paraId="0CD162FC" w14:textId="3B736241" w:rsidR="001151C8" w:rsidRPr="004E713D" w:rsidRDefault="00400FB1" w:rsidP="00540B7E">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41.</w:t>
      </w:r>
      <w:r w:rsidRPr="004E713D">
        <w:rPr>
          <w:rFonts w:ascii="ＭＳ 明朝" w:eastAsia="ＭＳ 明朝" w:hAnsi="ＭＳ 明朝" w:cs="ＭＳ 明朝"/>
          <w:color w:val="000000" w:themeColor="text1"/>
        </w:rPr>
        <w:tab/>
        <w:t>女性の地位委員会（Commission on the Status of Women）（訳注　国連・経済社会理事会のもとに1946年に設けられた委員会）の合意された結論に至る交渉過程で、ベルギーは常に、複合差別および交差差別を含めるべきであると主張している。ベルギーは何度か、このテーマに関する欧州連合の交渉役を担ってきている。</w:t>
      </w:r>
      <w:r w:rsidR="00DB0E36" w:rsidRPr="004E713D">
        <w:rPr>
          <w:rFonts w:ascii="ＭＳ 明朝" w:eastAsia="ＭＳ 明朝" w:hAnsi="ＭＳ 明朝" w:cs="ＭＳ 明朝" w:hint="eastAsia"/>
          <w:color w:val="000000" w:themeColor="text1"/>
          <w:highlight w:val="cyan"/>
        </w:rPr>
        <w:t xml:space="preserve">　</w:t>
      </w:r>
    </w:p>
    <w:p w14:paraId="00000050" w14:textId="24A52C4A"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42.</w:t>
      </w:r>
      <w:r w:rsidRPr="004E713D">
        <w:rPr>
          <w:rFonts w:ascii="ＭＳ 明朝" w:eastAsia="ＭＳ 明朝" w:hAnsi="ＭＳ 明朝" w:cs="ＭＳ 明朝"/>
          <w:color w:val="000000" w:themeColor="text1"/>
        </w:rPr>
        <w:tab/>
        <w:t>連邦レベルでは、2014年以降、閣僚理事会に提出されるすべての法令草案は、ジェンダーの要素を含む政策影響評価の対象とされる。2015年、政府は連邦ジェンダー主流化計画を採択した。この計画には、例えば障害者政策などにジェンダーの次元を統合するための一連の約束が含まれていた。ジェンダーの主流化に関する研修は、障害のある人の連邦給付を担当する連邦社会保障公社内で</w:t>
      </w:r>
      <w:r w:rsidR="00543D1A" w:rsidRPr="004E713D">
        <w:rPr>
          <w:rFonts w:ascii="ＭＳ 明朝" w:eastAsia="ＭＳ 明朝" w:hAnsi="ＭＳ 明朝" w:cs="ＭＳ 明朝" w:hint="eastAsia"/>
          <w:color w:val="000000" w:themeColor="text1"/>
        </w:rPr>
        <w:t>行われた</w:t>
      </w:r>
      <w:r w:rsidRPr="004E713D">
        <w:rPr>
          <w:rFonts w:ascii="ＭＳ 明朝" w:eastAsia="ＭＳ 明朝" w:hAnsi="ＭＳ 明朝" w:cs="ＭＳ 明朝"/>
          <w:color w:val="000000" w:themeColor="text1"/>
        </w:rPr>
        <w:t>。この研修には、ベルギー障害フォーラム（BDF）事務局と障害者権利条約の調整機関のメンバーも関与した。</w:t>
      </w:r>
    </w:p>
    <w:p w14:paraId="0000005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43.</w:t>
      </w:r>
      <w:r w:rsidRPr="004E713D">
        <w:rPr>
          <w:rFonts w:ascii="ＭＳ 明朝" w:eastAsia="ＭＳ 明朝" w:hAnsi="ＭＳ 明朝" w:cs="ＭＳ 明朝"/>
          <w:color w:val="000000" w:themeColor="text1"/>
        </w:rPr>
        <w:tab/>
        <w:t>フランス語共同体は2016年にすべての政策におけるジェンダーの主流化に関する法令を採択し、2017年にジェンダー影響評価（</w:t>
      </w:r>
      <w:r w:rsidRPr="004E713D">
        <w:rPr>
          <w:rFonts w:ascii="ＭＳ 明朝" w:eastAsia="ＭＳ 明朝" w:hAnsi="ＭＳ 明朝" w:cs="ＭＳ 明朝"/>
          <w:i/>
          <w:iCs/>
          <w:color w:val="000000" w:themeColor="text1"/>
        </w:rPr>
        <w:t>test genre</w:t>
      </w:r>
      <w:r w:rsidRPr="004E713D">
        <w:rPr>
          <w:rFonts w:ascii="ＭＳ 明朝" w:eastAsia="ＭＳ 明朝" w:hAnsi="ＭＳ 明朝" w:cs="ＭＳ 明朝"/>
          <w:color w:val="000000" w:themeColor="text1"/>
        </w:rPr>
        <w:t>）を導入した。</w:t>
      </w:r>
    </w:p>
    <w:p w14:paraId="0000005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44.</w:t>
      </w:r>
      <w:r w:rsidRPr="004E713D">
        <w:rPr>
          <w:rFonts w:ascii="ＭＳ 明朝" w:eastAsia="ＭＳ 明朝" w:hAnsi="ＭＳ 明朝" w:cs="ＭＳ 明朝"/>
          <w:color w:val="000000" w:themeColor="text1"/>
        </w:rPr>
        <w:tab/>
        <w:t>ワロン地域では、ジェンダー影響評価を導入するために政令を改正する法律が成立した。</w:t>
      </w:r>
    </w:p>
    <w:p w14:paraId="00000053"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45.</w:t>
      </w:r>
      <w:r w:rsidRPr="004E713D">
        <w:rPr>
          <w:rFonts w:ascii="ＭＳ 明朝" w:eastAsia="ＭＳ 明朝" w:hAnsi="ＭＳ 明朝" w:cs="ＭＳ 明朝"/>
          <w:color w:val="000000" w:themeColor="text1"/>
        </w:rPr>
        <w:tab/>
        <w:t>ブリュッセルでは、フランス語共同体委員会はすべての規則草案をジェンダーの主流化分析手続きに従わせている。</w:t>
      </w:r>
    </w:p>
    <w:p w14:paraId="00000054"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事前質問事項のパラグラフ6（b）への回答</w:t>
      </w:r>
    </w:p>
    <w:p w14:paraId="0000005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46.</w:t>
      </w:r>
      <w:r w:rsidRPr="004E713D">
        <w:rPr>
          <w:rFonts w:ascii="ＭＳ 明朝" w:eastAsia="ＭＳ 明朝" w:hAnsi="ＭＳ 明朝" w:cs="ＭＳ 明朝"/>
          <w:color w:val="000000" w:themeColor="text1"/>
        </w:rPr>
        <w:tab/>
        <w:t>一般的な対策については、パラグラフ22と25への回答を参照のこと。</w:t>
      </w:r>
    </w:p>
    <w:p w14:paraId="00000056"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47.</w:t>
      </w:r>
      <w:r w:rsidRPr="004E713D">
        <w:rPr>
          <w:rFonts w:ascii="ＭＳ 明朝" w:eastAsia="ＭＳ 明朝" w:hAnsi="ＭＳ 明朝" w:cs="ＭＳ 明朝"/>
          <w:color w:val="000000" w:themeColor="text1"/>
        </w:rPr>
        <w:tab/>
        <w:t>フランス語共同体、ワロン地域、ブリュッセル首都圏、ドイツ語共同体は、障害のある女性のため自己強化ワークショップを開催している。目的は、自信と自己主張を高めることである。</w:t>
      </w:r>
    </w:p>
    <w:p w14:paraId="00000057"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20" w:name="_heading=h.yy6gpf8qadnv" w:colFirst="0" w:colLast="0"/>
      <w:bookmarkEnd w:id="20"/>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障害のある子ども（第7条）</w:t>
      </w:r>
    </w:p>
    <w:p w14:paraId="00000058"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color w:val="000000" w:themeColor="text1"/>
        </w:rPr>
      </w:pPr>
      <w:bookmarkStart w:id="21" w:name="_heading=h.j0yy89yhed02" w:colFirst="0" w:colLast="0"/>
      <w:bookmarkEnd w:id="21"/>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事前質問事項のパラグラフ7（a）への回答</w:t>
      </w:r>
    </w:p>
    <w:p w14:paraId="0000005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4E713D">
        <w:rPr>
          <w:rFonts w:ascii="ＭＳ 明朝" w:eastAsia="ＭＳ 明朝" w:hAnsi="ＭＳ 明朝" w:cs="ＭＳ 明朝"/>
          <w:color w:val="000000" w:themeColor="text1"/>
        </w:rPr>
        <w:t>48.</w:t>
      </w:r>
      <w:r w:rsidRPr="004E713D">
        <w:rPr>
          <w:rFonts w:ascii="ＭＳ 明朝" w:eastAsia="ＭＳ 明朝" w:hAnsi="ＭＳ 明朝" w:cs="ＭＳ 明朝"/>
          <w:color w:val="000000" w:themeColor="text1"/>
        </w:rPr>
        <w:tab/>
        <w:t>家族手当については、パラグラフ26への回答を参照のこと。報告</w:t>
      </w:r>
      <w:r>
        <w:fldChar w:fldCharType="begin"/>
      </w:r>
      <w:r>
        <w:instrText>HYPERLINK "http://undocs.org/en/CRC/C/BEL/5-6" \h</w:instrText>
      </w:r>
      <w:r>
        <w:fldChar w:fldCharType="separate"/>
      </w:r>
      <w:r>
        <w:rPr>
          <w:rFonts w:ascii="ＭＳ 明朝" w:eastAsia="ＭＳ 明朝" w:hAnsi="ＭＳ 明朝" w:cs="ＭＳ 明朝"/>
          <w:color w:val="0000FF"/>
        </w:rPr>
        <w:t>CRC/C/BEL/5-6</w:t>
      </w:r>
      <w:r>
        <w:fldChar w:fldCharType="end"/>
      </w:r>
      <w:r>
        <w:rPr>
          <w:rFonts w:ascii="ＭＳ 明朝" w:eastAsia="ＭＳ 明朝" w:hAnsi="ＭＳ 明朝" w:cs="ＭＳ 明朝"/>
          <w:color w:val="000000"/>
        </w:rPr>
        <w:t>（パラグラフ110-120）も参照されたい（訳注　子どもの権利条約第5・6回締約国報告）。</w:t>
      </w:r>
    </w:p>
    <w:p w14:paraId="0000005A"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49.</w:t>
      </w:r>
      <w:r w:rsidRPr="004E713D">
        <w:rPr>
          <w:rFonts w:ascii="ＭＳ 明朝" w:eastAsia="ＭＳ 明朝" w:hAnsi="ＭＳ 明朝" w:cs="ＭＳ 明朝"/>
          <w:color w:val="000000" w:themeColor="text1"/>
        </w:rPr>
        <w:tab/>
        <w:t xml:space="preserve">フラマン語共同体では、近年、障害のある子どもへの特定の支援を提供する組織は、インクルージョンの向上を目的とする需要主導の支援（demand led support）を実現するための組織として、大きく変化してきている。 </w:t>
      </w:r>
    </w:p>
    <w:p w14:paraId="0000005B"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50.</w:t>
      </w:r>
      <w:r w:rsidRPr="004E713D">
        <w:rPr>
          <w:rFonts w:ascii="ＭＳ 明朝" w:eastAsia="ＭＳ 明朝" w:hAnsi="ＭＳ 明朝" w:cs="ＭＳ 明朝"/>
          <w:color w:val="000000" w:themeColor="text1"/>
        </w:rPr>
        <w:tab/>
        <w:t>直接アクセス可能な支援（2019年に200万ユーロ追加）、ケアのための月額基本予算（300ユーロ）、</w:t>
      </w:r>
      <w:sdt>
        <w:sdtPr>
          <w:rPr>
            <w:color w:val="000000" w:themeColor="text1"/>
          </w:rPr>
          <w:tag w:val="goog_rdk_6"/>
          <w:id w:val="2119916814"/>
        </w:sdtPr>
        <w:sdtEndPr/>
        <w:sdtContent>
          <w:commentRangeStart w:id="22"/>
        </w:sdtContent>
      </w:sdt>
      <w:sdt>
        <w:sdtPr>
          <w:rPr>
            <w:color w:val="000000" w:themeColor="text1"/>
          </w:rPr>
          <w:tag w:val="goog_rdk_7"/>
          <w:id w:val="-612660485"/>
        </w:sdtPr>
        <w:sdtEndPr/>
        <w:sdtContent>
          <w:commentRangeStart w:id="23"/>
        </w:sdtContent>
      </w:sdt>
      <w:r w:rsidRPr="004E713D">
        <w:rPr>
          <w:rFonts w:ascii="ＭＳ 明朝" w:eastAsia="ＭＳ 明朝" w:hAnsi="ＭＳ 明朝" w:cs="ＭＳ 明朝"/>
          <w:color w:val="000000" w:themeColor="text1"/>
        </w:rPr>
        <w:t>おょび</w:t>
      </w:r>
      <w:commentRangeEnd w:id="22"/>
      <w:r w:rsidRPr="004E713D">
        <w:rPr>
          <w:rStyle w:val="af3"/>
          <w:rFonts w:ascii="ＭＳ 明朝" w:eastAsia="ＭＳ 明朝" w:hAnsi="ＭＳ 明朝" w:cs="ＭＳ 明朝"/>
          <w:color w:val="000000" w:themeColor="text1"/>
          <w:sz w:val="20"/>
          <w:szCs w:val="20"/>
        </w:rPr>
        <w:commentReference w:id="22"/>
      </w:r>
      <w:commentRangeEnd w:id="23"/>
      <w:r w:rsidRPr="004E713D">
        <w:rPr>
          <w:rStyle w:val="af3"/>
          <w:rFonts w:ascii="ＭＳ 明朝" w:eastAsia="ＭＳ 明朝" w:hAnsi="ＭＳ 明朝" w:cs="ＭＳ 明朝"/>
          <w:color w:val="000000" w:themeColor="text1"/>
          <w:sz w:val="20"/>
          <w:szCs w:val="20"/>
        </w:rPr>
        <w:commentReference w:id="23"/>
      </w:r>
      <w:r w:rsidRPr="004E713D">
        <w:rPr>
          <w:rFonts w:ascii="ＭＳ 明朝" w:eastAsia="ＭＳ 明朝" w:hAnsi="ＭＳ 明朝" w:cs="ＭＳ 明朝"/>
          <w:color w:val="000000" w:themeColor="text1"/>
        </w:rPr>
        <w:t>障害児ネットワークへの支援が強化された。同時に、パーソナルアシスタンスの費用に当てられる予算も増額された。その結果、2018年6月30日現在、882人の若者がこの支援を受け、2017年と比較して29.8％増加した。2019年、パーソナルアシスタンス予算は全体で3,850万ユーロとなり、このうち新たな増加分は1,200万ユーロ以上である。「本人のニーズに連動する資金援助」の原則は、成人に対してはすでに実行に移されている。子どもへの個人予算（personal funding）は2020年から実施される予定である。</w:t>
      </w:r>
    </w:p>
    <w:p w14:paraId="0000005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51.</w:t>
      </w:r>
      <w:r w:rsidRPr="004E713D">
        <w:rPr>
          <w:rFonts w:ascii="ＭＳ 明朝" w:eastAsia="ＭＳ 明朝" w:hAnsi="ＭＳ 明朝" w:cs="ＭＳ 明朝"/>
          <w:color w:val="000000" w:themeColor="text1"/>
        </w:rPr>
        <w:tab/>
        <w:t>幼児ケアに関しては、2014年以降、16のインクルーシブ児童ケアセンターが設立された。そこではインクルーシブなケアを確実に行い、他のケアの場に対してもインクルージョンを指導している。毎年、16人のコーチが200から240の保育チームのインクルーシブ活動を支援している。</w:t>
      </w:r>
    </w:p>
    <w:p w14:paraId="0000005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52.</w:t>
      </w:r>
      <w:r w:rsidRPr="004E713D">
        <w:rPr>
          <w:rFonts w:ascii="ＭＳ 明朝" w:eastAsia="ＭＳ 明朝" w:hAnsi="ＭＳ 明朝" w:cs="ＭＳ 明朝"/>
          <w:color w:val="000000" w:themeColor="text1"/>
        </w:rPr>
        <w:tab/>
        <w:t>フラマン政府は、余暇活動におけるインクルージョンを促進するための先駆的な取り組みも行っている。それには、例えば、青少年運動やホリデーキャンプをよりインクルーシブにするための研修、障害のある子どもや若者のための青少年活動への組織補助金、障害のある子どもや若者に適応した一層インクルーシブな政策を推進するための「多様性と青少年活動のマスタープラン」などがある。</w:t>
      </w:r>
    </w:p>
    <w:p w14:paraId="0000005E" w14:textId="0FAE18B2"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53.</w:t>
      </w:r>
      <w:r w:rsidRPr="004E713D">
        <w:rPr>
          <w:rFonts w:ascii="ＭＳ 明朝" w:eastAsia="ＭＳ 明朝" w:hAnsi="ＭＳ 明朝" w:cs="ＭＳ 明朝"/>
          <w:color w:val="000000" w:themeColor="text1"/>
        </w:rPr>
        <w:tab/>
        <w:t>フランス語共同体では、障害のある子どもの学校から就労の世界への移行を個別に支援するプロジェクトがある。ワロン地域とフランス語共同体との協力により、0～3歳児の就学を支援する8つの支援施設と、0～6歳児の就学を支援する19の早期介入サービスが開発された。約1,500世帯がこれらのサービスを受けている。さらに、ワロン地域は、障害告知プラットフォーム（Disability Notice Platform）を支援している。これは障害告知時の家族への情報を改善し、専門職を訓練することを目的としている。</w:t>
      </w:r>
      <w:r w:rsidR="009B24AE" w:rsidRPr="004E713D">
        <w:rPr>
          <w:rFonts w:ascii="ＭＳ 明朝" w:eastAsia="ＭＳ 明朝" w:hAnsi="ＭＳ 明朝" w:cs="ＭＳ 明朝" w:hint="eastAsia"/>
          <w:color w:val="000000" w:themeColor="text1"/>
        </w:rPr>
        <w:t>また</w:t>
      </w:r>
      <w:r w:rsidRPr="004E713D">
        <w:rPr>
          <w:rFonts w:ascii="ＭＳ 明朝" w:eastAsia="ＭＳ 明朝" w:hAnsi="ＭＳ 明朝" w:cs="ＭＳ 明朝"/>
          <w:color w:val="000000" w:themeColor="text1"/>
        </w:rPr>
        <w:t>353人の子どもに</w:t>
      </w:r>
      <w:r w:rsidR="000C5B34" w:rsidRPr="004E713D">
        <w:rPr>
          <w:rFonts w:ascii="ＭＳ 明朝" w:eastAsia="ＭＳ 明朝" w:hAnsi="ＭＳ 明朝" w:cs="ＭＳ 明朝" w:hint="eastAsia"/>
          <w:color w:val="000000" w:themeColor="text1"/>
        </w:rPr>
        <w:t>支援機器</w:t>
      </w:r>
      <w:r w:rsidRPr="004E713D">
        <w:rPr>
          <w:rFonts w:ascii="ＭＳ 明朝" w:eastAsia="ＭＳ 明朝" w:hAnsi="ＭＳ 明朝" w:cs="ＭＳ 明朝"/>
          <w:color w:val="000000" w:themeColor="text1"/>
        </w:rPr>
        <w:t>が提供された。</w:t>
      </w:r>
    </w:p>
    <w:p w14:paraId="0000005F" w14:textId="6FA0D2A5"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54.</w:t>
      </w:r>
      <w:r w:rsidRPr="004E713D">
        <w:rPr>
          <w:rFonts w:ascii="ＭＳ 明朝" w:eastAsia="ＭＳ 明朝" w:hAnsi="ＭＳ 明朝" w:cs="ＭＳ 明朝"/>
          <w:color w:val="000000" w:themeColor="text1"/>
        </w:rPr>
        <w:tab/>
        <w:t>ワロン地域では、個別の支援を必要とする特定の子どもは、地域に31ある統合サービス（integration services）のひとつから支援を受けることができる。このようにして、3,000人の子どもが自分の生活環境の中で支援を受け、家族や外部の関係者が関わって用意された個別プロジェクトの恩恵を受けている。家族のための特別な研修コースも設けられている。さらに、5つの家族支援サービスを通じて、2017年には137人の子どもが里親に迎え入れられ、一時的または部分的に不登校となった437人の子どもが、学校と連携して段階的な復帰を支援することを目的とした16の専門デイケアサービス（Sas-J）のいずれかに受け入れられた。さらに、2,051人の子どもが、52の青少年向け入所サービスのいずれかで保護された。これらのサービスでは、地域社会に開かれていることを目指し、子どもとの合意のもと、子どものライフプランの策定を保証している。2018年には、65の支援住宅サービスが設置されたことにより、390人の若者が自立と成人後の人生設計の具体化を目指した新しいプロジェクトの恩恵を受けた。革新的な管理住宅計画の一環で、合計17人が試験的に入居した（monitored）。連邦政府とワロン地域の協力により、重複診断（dual diagnosis）の人々を支援する7つの移動介入ユニットが設置された。これは特に子どもについて、できるだけ入院を避けるためである。ワロン保健・社会保護・障害・家族局では、優先的なケースのために追加的なリソースを利用できるようにした。</w:t>
      </w:r>
    </w:p>
    <w:p w14:paraId="00000060"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55.</w:t>
      </w:r>
      <w:r w:rsidRPr="004E713D">
        <w:rPr>
          <w:rFonts w:ascii="ＭＳ 明朝" w:eastAsia="ＭＳ 明朝" w:hAnsi="ＭＳ 明朝" w:cs="ＭＳ 明朝"/>
          <w:color w:val="000000" w:themeColor="text1"/>
        </w:rPr>
        <w:tab/>
        <w:t>ブリュッセル首都圏は、障害のある人の家族と社会・医療分野の学生を結びつける「</w:t>
      </w:r>
      <w:proofErr w:type="spellStart"/>
      <w:r w:rsidRPr="004E713D">
        <w:rPr>
          <w:rFonts w:ascii="ＭＳ 明朝" w:eastAsia="ＭＳ 明朝" w:hAnsi="ＭＳ 明朝" w:cs="ＭＳ 明朝"/>
          <w:color w:val="000000" w:themeColor="text1"/>
        </w:rPr>
        <w:t>Handyfriends</w:t>
      </w:r>
      <w:proofErr w:type="spellEnd"/>
      <w:r w:rsidRPr="004E713D">
        <w:rPr>
          <w:rFonts w:ascii="ＭＳ 明朝" w:eastAsia="ＭＳ 明朝" w:hAnsi="ＭＳ 明朝" w:cs="ＭＳ 明朝"/>
          <w:color w:val="000000" w:themeColor="text1"/>
        </w:rPr>
        <w:t>」プラットフォームを支援している。</w:t>
      </w:r>
    </w:p>
    <w:p w14:paraId="0000006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56.</w:t>
      </w:r>
      <w:r w:rsidRPr="004E713D">
        <w:rPr>
          <w:rFonts w:ascii="ＭＳ 明朝" w:eastAsia="ＭＳ 明朝" w:hAnsi="ＭＳ 明朝" w:cs="ＭＳ 明朝"/>
          <w:color w:val="000000" w:themeColor="text1"/>
        </w:rPr>
        <w:tab/>
        <w:t>フランス語共同体委員会では、2018年に規則が改正され、保育施設における障害児支援サービスや主流教育における学校インクルージョンの業務が強化された。</w:t>
      </w:r>
    </w:p>
    <w:p w14:paraId="0000006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57.</w:t>
      </w:r>
      <w:r w:rsidRPr="004E713D">
        <w:rPr>
          <w:rFonts w:ascii="ＭＳ 明朝" w:eastAsia="ＭＳ 明朝" w:hAnsi="ＭＳ 明朝" w:cs="ＭＳ 明朝"/>
          <w:color w:val="000000" w:themeColor="text1"/>
        </w:rPr>
        <w:tab/>
        <w:t>2016年、ドイツ語共同体は、一般的な課外活動支援の一環として、障害のある子どもに対応できるよう、試験的プロジェクトを立ち上げた。ケアラーは、障害のある子どものケアのために研修を受け、障害問題を理解するようになる。</w:t>
      </w:r>
    </w:p>
    <w:p w14:paraId="00000063"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事前質問事項のパラグラフ7（b）への回答</w:t>
      </w:r>
    </w:p>
    <w:p w14:paraId="0000006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58.</w:t>
      </w:r>
      <w:r w:rsidRPr="004E713D">
        <w:rPr>
          <w:rFonts w:ascii="ＭＳ 明朝" w:eastAsia="ＭＳ 明朝" w:hAnsi="ＭＳ 明朝" w:cs="ＭＳ 明朝"/>
          <w:color w:val="000000" w:themeColor="text1"/>
        </w:rPr>
        <w:tab/>
        <w:t>フラマン語共同体では、児童ケア施設に関する規則が改められた。従来から認められていた様々な形態の施設は、需要に応じた役割を柔軟に果たすことのできる多機能センターへと変容した。サポートの機能は、入所、デイケア、サポートなどに区別されている。障害のある子どものケア提供におけるこのような柔軟性の向上は、フラマン地域において施設入所の必要性を減らすのに役立っている。</w:t>
      </w:r>
    </w:p>
    <w:p w14:paraId="0000006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59.</w:t>
      </w:r>
      <w:r w:rsidRPr="004E713D">
        <w:rPr>
          <w:rFonts w:ascii="ＭＳ 明朝" w:eastAsia="ＭＳ 明朝" w:hAnsi="ＭＳ 明朝" w:cs="ＭＳ 明朝"/>
          <w:color w:val="000000" w:themeColor="text1"/>
        </w:rPr>
        <w:tab/>
        <w:t>2018年、約11,000人の子どもと若者が多機能センターからの支援を受け、その64％が提案された支援の一環として少なくとも1日のステイの恩恵を受けた。予算は11,099人の子どもに対しての約4億3,500万ユーロである。</w:t>
      </w:r>
    </w:p>
    <w:p w14:paraId="00000066" w14:textId="11EBD90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60.</w:t>
      </w:r>
      <w:r w:rsidRPr="004E713D">
        <w:rPr>
          <w:rFonts w:ascii="ＭＳ 明朝" w:eastAsia="ＭＳ 明朝" w:hAnsi="ＭＳ 明朝" w:cs="ＭＳ 明朝"/>
          <w:color w:val="000000" w:themeColor="text1"/>
        </w:rPr>
        <w:tab/>
        <w:t>上記のような直接アクセスできない支援に加えて、フラマン障害者庁（VAPH）は、子どもが直接アクセスできる支援も認め、助成している。2018年には、21歳未満の子どもと若者約14,000人がこれらのサービスを利用し、そのうちの3％がこの直接アクセス可能な支援を利用して年間60泊未満の滞在の機会を得た。</w:t>
      </w:r>
    </w:p>
    <w:p w14:paraId="0000006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61.</w:t>
      </w:r>
      <w:r w:rsidRPr="004E713D">
        <w:rPr>
          <w:rFonts w:ascii="ＭＳ 明朝" w:eastAsia="ＭＳ 明朝" w:hAnsi="ＭＳ 明朝" w:cs="ＭＳ 明朝"/>
          <w:color w:val="000000" w:themeColor="text1"/>
        </w:rPr>
        <w:tab/>
        <w:t>里親ケアのもとにいる障害のある子どもに関する数字は、直接アクセスできない里親ホーム（foster homes）についてのみ入手可能である。直接支援の場合、児童に障害があるかどうかは記録されていない。</w:t>
      </w:r>
    </w:p>
    <w:p w14:paraId="0000006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62.</w:t>
      </w:r>
      <w:r w:rsidRPr="004E713D">
        <w:rPr>
          <w:rFonts w:ascii="ＭＳ 明朝" w:eastAsia="ＭＳ 明朝" w:hAnsi="ＭＳ 明朝" w:cs="ＭＳ 明朝"/>
          <w:color w:val="000000" w:themeColor="text1"/>
        </w:rPr>
        <w:tab/>
        <w:t>ワロン地域には、52の青少年向け入所サービス（residential services）があり、3,132人の定員（places）を設定している一方、16の青少年向け専門ケアサービスがあり、437人の定員を設けている。2017年12月の家族手当基金からの推計によると、障害のある子ども1,402人が施設に預けられ、子ども総数20,217人のうち69人が個人宅に預けられた。</w:t>
      </w:r>
    </w:p>
    <w:p w14:paraId="00000069"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63.</w:t>
      </w:r>
      <w:r w:rsidRPr="004E713D">
        <w:rPr>
          <w:rFonts w:ascii="ＭＳ 明朝" w:eastAsia="ＭＳ 明朝" w:hAnsi="ＭＳ 明朝" w:cs="ＭＳ 明朝"/>
          <w:color w:val="000000" w:themeColor="text1"/>
        </w:rPr>
        <w:tab/>
        <w:t>ドイツ語圏では、障害のある子どもだけを受け入れようとしている里親家庭はない。家族は支援サービスによって支援され、ショートステイやレスパイトサービスを利用する選択肢がある。中学校以降は、障害のある子どもは、特別支援教育センターが運営する寄宿学校に入ることも可能である。2014年以降では、青少年福祉サービスが支援する平均20人の障害のある子どもが、里親家庭、施設、または寄宿学校で生活している。内訳は、平均10～11人が里親家庭、7～10人が施設、1～2人が寄宿学校となってきている。</w:t>
      </w:r>
    </w:p>
    <w:p w14:paraId="0000006A"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24" w:name="_heading=h.xdi9mjuadoza" w:colFirst="0" w:colLast="0"/>
      <w:bookmarkEnd w:id="24"/>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意識の向上（第8条）</w:t>
      </w:r>
    </w:p>
    <w:p w14:paraId="0000006B"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bookmarkStart w:id="25" w:name="_heading=h.r53lykc5tiz6" w:colFirst="0" w:colLast="0"/>
      <w:bookmarkEnd w:id="25"/>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事前質問事項のパラグラフ8（a）への回答</w:t>
      </w:r>
    </w:p>
    <w:p w14:paraId="0000006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64.</w:t>
      </w:r>
      <w:r w:rsidRPr="004E713D">
        <w:rPr>
          <w:rFonts w:ascii="ＭＳ 明朝" w:eastAsia="ＭＳ 明朝" w:hAnsi="ＭＳ 明朝" w:cs="ＭＳ 明朝"/>
          <w:color w:val="000000" w:themeColor="text1"/>
        </w:rPr>
        <w:tab/>
        <w:t>条約の目的を達成するためにフラマン政府が行っている取り組みのすべては、条約に記されている。特に、様々な障害啓発キャンペーンがそれに当てはまる。</w:t>
      </w:r>
    </w:p>
    <w:p w14:paraId="0000006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65.</w:t>
      </w:r>
      <w:r w:rsidRPr="004E713D">
        <w:rPr>
          <w:rFonts w:ascii="ＭＳ 明朝" w:eastAsia="ＭＳ 明朝" w:hAnsi="ＭＳ 明朝" w:cs="ＭＳ 明朝"/>
          <w:color w:val="000000" w:themeColor="text1"/>
        </w:rPr>
        <w:tab/>
        <w:t>ワロン地域では、ワロン保健・社会保護・障害者・家族局が、日常生活のあらゆる分野における障害のある人の権利や支援・助言を網羅した、アクセシブルなテーマ別のファクトシートを提供するため、</w:t>
      </w:r>
      <w:proofErr w:type="spellStart"/>
      <w:r w:rsidRPr="004E713D">
        <w:rPr>
          <w:rFonts w:ascii="ＭＳ 明朝" w:eastAsia="ＭＳ 明朝" w:hAnsi="ＭＳ 明朝" w:cs="ＭＳ 明朝"/>
          <w:color w:val="000000" w:themeColor="text1"/>
        </w:rPr>
        <w:t>Wikiwiph</w:t>
      </w:r>
      <w:proofErr w:type="spellEnd"/>
      <w:r w:rsidRPr="004E713D">
        <w:rPr>
          <w:rFonts w:ascii="ＭＳ 明朝" w:eastAsia="ＭＳ 明朝" w:hAnsi="ＭＳ 明朝" w:cs="ＭＳ 明朝"/>
          <w:color w:val="000000" w:themeColor="text1"/>
        </w:rPr>
        <w:t>と呼ばれるウェブサイトを開設した。</w:t>
      </w:r>
    </w:p>
    <w:p w14:paraId="0000006E"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66.</w:t>
      </w:r>
      <w:r w:rsidRPr="004E713D">
        <w:rPr>
          <w:rFonts w:ascii="ＭＳ 明朝" w:eastAsia="ＭＳ 明朝" w:hAnsi="ＭＳ 明朝" w:cs="ＭＳ 明朝"/>
          <w:color w:val="000000" w:themeColor="text1"/>
        </w:rPr>
        <w:tab/>
        <w:t>ドイツ語圏では、自立生活サービス（Service for Independent Living）がパンフレットを作成し、条約と関連する概念を広く平易に説明している。その対象は、障害のある人とともに働いている人、および障害のある人とその家族である。</w:t>
      </w:r>
    </w:p>
    <w:p w14:paraId="0000006F"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事前質問事項のパラグラフ8（b）への回答</w:t>
      </w:r>
    </w:p>
    <w:p w14:paraId="00000070" w14:textId="76610136"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26" w:name="_heading=h.tko9fb2fzycp" w:colFirst="0" w:colLast="0"/>
      <w:bookmarkEnd w:id="26"/>
      <w:r w:rsidRPr="004E713D">
        <w:rPr>
          <w:rFonts w:ascii="ＭＳ 明朝" w:eastAsia="ＭＳ 明朝" w:hAnsi="ＭＳ 明朝" w:cs="ＭＳ 明朝"/>
          <w:color w:val="000000" w:themeColor="text1"/>
        </w:rPr>
        <w:t>67.</w:t>
      </w:r>
      <w:r w:rsidRPr="004E713D">
        <w:rPr>
          <w:rFonts w:ascii="ＭＳ 明朝" w:eastAsia="ＭＳ 明朝" w:hAnsi="ＭＳ 明朝" w:cs="ＭＳ 明朝"/>
          <w:color w:val="000000" w:themeColor="text1"/>
        </w:rPr>
        <w:tab/>
        <w:t>フラマン政府は、障害に対する医学的視点からのアプローチがいまだに社会に強く残っており、人権の視点への転換が大幅に遅れていることを認識している。そのため政府は、固定観念によるイメージの払拭に焦点を当て続けている。</w:t>
      </w:r>
      <w:r w:rsidR="00B32DC5" w:rsidRPr="004E713D">
        <w:rPr>
          <w:rFonts w:ascii="ＭＳ 明朝" w:eastAsia="ＭＳ 明朝" w:hAnsi="ＭＳ 明朝" w:cs="ＭＳ 明朝" w:hint="eastAsia"/>
          <w:color w:val="000000" w:themeColor="text1"/>
        </w:rPr>
        <w:t>構造</w:t>
      </w:r>
      <w:r w:rsidR="00A405A2" w:rsidRPr="004E713D">
        <w:rPr>
          <w:rFonts w:ascii="ＭＳ 明朝" w:eastAsia="ＭＳ 明朝" w:hAnsi="ＭＳ 明朝" w:cs="ＭＳ 明朝" w:hint="eastAsia"/>
          <w:color w:val="000000" w:themeColor="text1"/>
        </w:rPr>
        <w:t>基金</w:t>
      </w:r>
      <w:r w:rsidR="00B32DC5" w:rsidRPr="004E713D">
        <w:rPr>
          <w:rFonts w:ascii="ＭＳ 明朝" w:eastAsia="ＭＳ 明朝" w:hAnsi="ＭＳ 明朝" w:cs="ＭＳ 明朝" w:hint="eastAsia"/>
          <w:color w:val="000000" w:themeColor="text1"/>
        </w:rPr>
        <w:t>（</w:t>
      </w:r>
      <w:r w:rsidR="00B32DC5" w:rsidRPr="004E713D">
        <w:rPr>
          <w:rFonts w:ascii="ＭＳ 明朝" w:eastAsia="ＭＳ 明朝" w:hAnsi="ＭＳ 明朝" w:cs="ＭＳ 明朝"/>
          <w:color w:val="000000" w:themeColor="text1"/>
        </w:rPr>
        <w:t>structural funding</w:t>
      </w:r>
      <w:r w:rsidR="00B32DC5" w:rsidRPr="004E713D">
        <w:rPr>
          <w:rFonts w:ascii="ＭＳ 明朝" w:eastAsia="ＭＳ 明朝" w:hAnsi="ＭＳ 明朝" w:cs="ＭＳ 明朝" w:hint="eastAsia"/>
          <w:color w:val="000000" w:themeColor="text1"/>
        </w:rPr>
        <w:t>）</w:t>
      </w:r>
      <w:r w:rsidRPr="004E713D">
        <w:rPr>
          <w:rFonts w:ascii="ＭＳ 明朝" w:eastAsia="ＭＳ 明朝" w:hAnsi="ＭＳ 明朝" w:cs="ＭＳ 明朝"/>
          <w:color w:val="000000" w:themeColor="text1"/>
        </w:rPr>
        <w:t>に基づく資金を受ける団体による取り組みに加え、知的障害や視覚障害のある人に関する固定観念を払拭することを目的としたプロジェクトや、ジャーナリスト(志望者を含む)の意識を高めるための取り組みも行われてきた。また、メディアにおける障害の表現と認識、インクルージョンの個人的な経験に関しても検討されてきている。フラマン語共同体の公共放送VRTの運用指針では、多様性への配慮が重視され、障害の微妙な</w:t>
      </w:r>
      <w:r w:rsidR="004C76A8" w:rsidRPr="004E713D">
        <w:rPr>
          <w:rFonts w:ascii="ＭＳ 明朝" w:eastAsia="ＭＳ 明朝" w:hAnsi="ＭＳ 明朝" w:cs="ＭＳ 明朝"/>
          <w:color w:val="000000" w:themeColor="text1"/>
        </w:rPr>
        <w:t>（nuanced）</w:t>
      </w:r>
      <w:r w:rsidRPr="004E713D">
        <w:rPr>
          <w:rFonts w:ascii="ＭＳ 明朝" w:eastAsia="ＭＳ 明朝" w:hAnsi="ＭＳ 明朝" w:cs="ＭＳ 明朝"/>
          <w:color w:val="000000" w:themeColor="text1"/>
        </w:rPr>
        <w:t xml:space="preserve">側面に留意し、固定観念からの思い込みを避けるアプローチが適用されている。 </w:t>
      </w:r>
    </w:p>
    <w:p w14:paraId="0000007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68.</w:t>
      </w:r>
      <w:r w:rsidRPr="004E713D">
        <w:rPr>
          <w:rFonts w:ascii="ＭＳ 明朝" w:eastAsia="ＭＳ 明朝" w:hAnsi="ＭＳ 明朝" w:cs="ＭＳ 明朝"/>
          <w:color w:val="000000" w:themeColor="text1"/>
        </w:rPr>
        <w:tab/>
        <w:t>フランス語共同体は、「読書への情熱」（passion for reading）と題した障害に関する小冊子を発行、配布した。</w:t>
      </w:r>
    </w:p>
    <w:p w14:paraId="0000007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69.</w:t>
      </w:r>
      <w:r w:rsidRPr="004E713D">
        <w:rPr>
          <w:rFonts w:ascii="ＭＳ 明朝" w:eastAsia="ＭＳ 明朝" w:hAnsi="ＭＳ 明朝" w:cs="ＭＳ 明朝"/>
          <w:color w:val="000000" w:themeColor="text1"/>
        </w:rPr>
        <w:tab/>
        <w:t xml:space="preserve">ワロン地域は、ソーシャルネットワーク、テレビ、ラジオで放送されるコミュニケーション・キャンペーン、公共イベントの場での啓発活動、学校、地域、病院でのイベントを通じて、市民の意識を高め、インクルーシブな行動をとるよう促している。ワロン保健・社会保護・障害・家族局は、保育所や小学校の教員向けの教材キットも作成した。 </w:t>
      </w:r>
    </w:p>
    <w:p w14:paraId="00000073" w14:textId="182FBE2E"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70.</w:t>
      </w:r>
      <w:r w:rsidRPr="004E713D">
        <w:rPr>
          <w:rFonts w:ascii="ＭＳ 明朝" w:eastAsia="ＭＳ 明朝" w:hAnsi="ＭＳ 明朝" w:cs="ＭＳ 明朝"/>
          <w:color w:val="000000" w:themeColor="text1"/>
        </w:rPr>
        <w:tab/>
        <w:t>ブリュッセル首都圏地域は、公共スペースで障害のある人が直面する困難への配慮を促し、小さな助けが重要な意味を持つことがあるという啓発キャンペーンを開始した。また「椅子の芸術：自律の</w:t>
      </w:r>
      <w:r w:rsidRPr="004E713D">
        <w:rPr>
          <w:rFonts w:ascii="ＭＳ 明朝" w:eastAsia="ＭＳ 明朝" w:hAnsi="ＭＳ 明朝" w:cs="ＭＳ 明朝"/>
          <w:i/>
          <w:iCs/>
          <w:color w:val="000000" w:themeColor="text1"/>
        </w:rPr>
        <w:t>ための展覧会</w:t>
      </w:r>
      <w:r w:rsidRPr="004E713D">
        <w:rPr>
          <w:rFonts w:ascii="ＭＳ 明朝" w:eastAsia="ＭＳ 明朝" w:hAnsi="ＭＳ 明朝" w:cs="ＭＳ 明朝"/>
          <w:color w:val="000000" w:themeColor="text1"/>
        </w:rPr>
        <w:t>」というプロジェクトにも助成した。</w:t>
      </w:r>
    </w:p>
    <w:p w14:paraId="0000007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71.</w:t>
      </w:r>
      <w:r w:rsidRPr="004E713D">
        <w:rPr>
          <w:rFonts w:ascii="ＭＳ 明朝" w:eastAsia="ＭＳ 明朝" w:hAnsi="ＭＳ 明朝" w:cs="ＭＳ 明朝"/>
          <w:color w:val="000000" w:themeColor="text1"/>
        </w:rPr>
        <w:tab/>
        <w:t>ドイツ語共同体では、条約実施のための行動計画の目的を、社会の様々な関係者の障害に対する認識を高め、学校、スポーツクラブ、協会、企業がその活動を障害のある人に開放することを奨励して、インクルージョンを促進することとしている。</w:t>
      </w:r>
    </w:p>
    <w:p w14:paraId="00000075"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事前質問事項のパラグラフ8（c）への回答</w:t>
      </w:r>
    </w:p>
    <w:p w14:paraId="00000076"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72.</w:t>
      </w:r>
      <w:r w:rsidRPr="004E713D">
        <w:rPr>
          <w:rFonts w:ascii="ＭＳ 明朝" w:eastAsia="ＭＳ 明朝" w:hAnsi="ＭＳ 明朝" w:cs="ＭＳ 明朝"/>
          <w:color w:val="000000" w:themeColor="text1"/>
        </w:rPr>
        <w:tab/>
        <w:t xml:space="preserve">フラマン語共同体およびフラマン地域では、障害者団体は、フォーカス・グループや啓発・情報ツールの作成、開発、更新を通じて、新しい啓発キャンペーンに関与している。GRIPは啓発分野における主要なパートナーであり、様々な啓発キャンペーンを展開している。 </w:t>
      </w:r>
    </w:p>
    <w:p w14:paraId="0000007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73.</w:t>
      </w:r>
      <w:r w:rsidRPr="004E713D">
        <w:rPr>
          <w:rFonts w:ascii="ＭＳ 明朝" w:eastAsia="ＭＳ 明朝" w:hAnsi="ＭＳ 明朝" w:cs="ＭＳ 明朝"/>
          <w:color w:val="000000" w:themeColor="text1"/>
        </w:rPr>
        <w:tab/>
        <w:t>フランス語共同体の啓発活動は、インクルージョンの拡大を目指す団体で活動する障害のある人が主導した。</w:t>
      </w:r>
    </w:p>
    <w:p w14:paraId="0000007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74.</w:t>
      </w:r>
      <w:r w:rsidRPr="004E713D">
        <w:rPr>
          <w:rFonts w:ascii="ＭＳ 明朝" w:eastAsia="ＭＳ 明朝" w:hAnsi="ＭＳ 明朝" w:cs="ＭＳ 明朝"/>
          <w:color w:val="000000" w:themeColor="text1"/>
        </w:rPr>
        <w:tab/>
        <w:t xml:space="preserve">ドイツ語共同体では、条約実施のための行動計画に基づき、障害に関する認識を高めるための活動が、障害のある人を積極的に関与させて、多様な層の人々に合わせて行われている。 </w:t>
      </w:r>
    </w:p>
    <w:p w14:paraId="00000079"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27" w:name="_heading=h.npb9wplobsq0" w:colFirst="0" w:colLast="0"/>
      <w:bookmarkEnd w:id="27"/>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アクセシビリティ（第9条）</w:t>
      </w:r>
    </w:p>
    <w:p w14:paraId="0000007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75.</w:t>
      </w:r>
      <w:r>
        <w:rPr>
          <w:rFonts w:ascii="ＭＳ 明朝" w:eastAsia="ＭＳ 明朝" w:hAnsi="ＭＳ 明朝" w:cs="ＭＳ 明朝"/>
          <w:color w:val="000000"/>
        </w:rPr>
        <w:tab/>
        <w:t>ウェブアクセシビリティについては、事前質問事項のパラグラフ20への回答を参照のこと。</w:t>
      </w:r>
    </w:p>
    <w:p w14:paraId="0000007B"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28" w:name="_heading=h.d5t05omlvxlu" w:colFirst="0" w:colLast="0"/>
      <w:bookmarkEnd w:id="28"/>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事前質問事項のパラグラフ9（a）への回答</w:t>
      </w:r>
    </w:p>
    <w:p w14:paraId="0000007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76.</w:t>
      </w:r>
      <w:r w:rsidRPr="004E713D">
        <w:rPr>
          <w:rFonts w:ascii="ＭＳ 明朝" w:eastAsia="ＭＳ 明朝" w:hAnsi="ＭＳ 明朝" w:cs="ＭＳ 明朝"/>
          <w:color w:val="000000" w:themeColor="text1"/>
        </w:rPr>
        <w:tab/>
        <w:t xml:space="preserve">連邦レベルでは、建物庁が2018年に一連の新しい責務と勧告を取り入れた。これらは建物の設計者や管理者に適用される。さらに、当局は、所有する建物のアクセシビリティを評価するための電子書式を提示し、連邦政府の建物の占有者に向けた意識啓発のための文書を配布した。2016年以降、中央サービス部門に配置された条約担当者に加え、建物庁の各地方支部に、すべてのプロジェクトにおけるアクセシビリティ問題を監督する担当官が任命された。　</w:t>
      </w:r>
    </w:p>
    <w:p w14:paraId="0000007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77.</w:t>
      </w:r>
      <w:r w:rsidRPr="004E713D">
        <w:rPr>
          <w:rFonts w:ascii="ＭＳ 明朝" w:eastAsia="ＭＳ 明朝" w:hAnsi="ＭＳ 明朝" w:cs="ＭＳ 明朝"/>
          <w:color w:val="000000" w:themeColor="text1"/>
        </w:rPr>
        <w:tab/>
        <w:t>フラマン語共同体およびフラマン地域では、2015年5月1日からフラマン・アクセシビリティ庁「インター」（Inter）が始動している。インターは、フラマン政府、州、地方自治体への支援と政策助言を提供し、建築プロセスの全段階における支援、一般市民の意識向上、研究、アクセシビリティに関する研修やプレゼンテーションに関与している。「水平的機会均等政策計画2015-2019」には、完全なアクセシビリティの達成という目標が盛り込まれている。そして、以下の取り組みが行われてきている：</w:t>
      </w:r>
    </w:p>
    <w:p w14:paraId="0000007E"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ab/>
        <w:t>-高齢者向けサービスの認定に関する新しい規則に、アクセシビリティに関する規定を設ける</w:t>
      </w:r>
      <w:r w:rsidRPr="004E713D">
        <w:rPr>
          <w:rFonts w:ascii="ＭＳ 明朝" w:eastAsia="ＭＳ 明朝" w:hAnsi="ＭＳ 明朝" w:cs="ＭＳ 明朝"/>
          <w:color w:val="000000" w:themeColor="text1"/>
        </w:rPr>
        <w:tab/>
        <w:t>。</w:t>
      </w:r>
    </w:p>
    <w:p w14:paraId="0000007F"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ab/>
        <w:t>-社会住宅の設計と建設に関するガイドラインを含む、新しい社会住宅設計指針。</w:t>
      </w:r>
    </w:p>
    <w:p w14:paraId="00000080"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ab/>
        <w:t>-オフィスビルのアクセシビリティ表記法の開発</w:t>
      </w:r>
    </w:p>
    <w:p w14:paraId="0000008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78.</w:t>
      </w:r>
      <w:r w:rsidRPr="004E713D">
        <w:rPr>
          <w:rFonts w:ascii="ＭＳ 明朝" w:eastAsia="ＭＳ 明朝" w:hAnsi="ＭＳ 明朝" w:cs="ＭＳ 明朝"/>
          <w:color w:val="000000" w:themeColor="text1"/>
        </w:rPr>
        <w:tab/>
        <w:t>アクセシブル・フランダース（</w:t>
      </w:r>
      <w:proofErr w:type="spellStart"/>
      <w:r w:rsidRPr="004E713D">
        <w:rPr>
          <w:rFonts w:ascii="ＭＳ 明朝" w:eastAsia="ＭＳ 明朝" w:hAnsi="ＭＳ 明朝" w:cs="ＭＳ 明朝"/>
          <w:color w:val="000000" w:themeColor="text1"/>
        </w:rPr>
        <w:t>ToeGankelijk</w:t>
      </w:r>
      <w:proofErr w:type="spellEnd"/>
      <w:r w:rsidRPr="004E713D">
        <w:rPr>
          <w:rFonts w:ascii="ＭＳ 明朝" w:eastAsia="ＭＳ 明朝" w:hAnsi="ＭＳ 明朝" w:cs="ＭＳ 明朝"/>
          <w:color w:val="000000" w:themeColor="text1"/>
        </w:rPr>
        <w:t xml:space="preserve"> Vlaanderen：</w:t>
      </w:r>
      <w:proofErr w:type="spellStart"/>
      <w:r w:rsidRPr="004E713D">
        <w:rPr>
          <w:rFonts w:ascii="ＭＳ 明朝" w:eastAsia="ＭＳ 明朝" w:hAnsi="ＭＳ 明朝" w:cs="ＭＳ 明朝"/>
          <w:color w:val="000000" w:themeColor="text1"/>
        </w:rPr>
        <w:t>ToeVla</w:t>
      </w:r>
      <w:proofErr w:type="spellEnd"/>
      <w:r w:rsidRPr="004E713D">
        <w:rPr>
          <w:rFonts w:ascii="ＭＳ 明朝" w:eastAsia="ＭＳ 明朝" w:hAnsi="ＭＳ 明朝" w:cs="ＭＳ 明朝"/>
          <w:color w:val="000000" w:themeColor="text1"/>
        </w:rPr>
        <w:t xml:space="preserve">）データベースのアクセシビリティに関する情報の収集とアクセスを最適化するプロジェクトが開始された。 </w:t>
      </w:r>
    </w:p>
    <w:p w14:paraId="0000008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79.</w:t>
      </w:r>
      <w:r w:rsidRPr="004E713D">
        <w:rPr>
          <w:rFonts w:ascii="ＭＳ 明朝" w:eastAsia="ＭＳ 明朝" w:hAnsi="ＭＳ 明朝" w:cs="ＭＳ 明朝"/>
          <w:color w:val="000000" w:themeColor="text1"/>
        </w:rPr>
        <w:tab/>
        <w:t>ワロン地域では、「ワロン・アクセシビリティ計画2017-2019」が、社会福祉、空間計画、住宅、インフラ、移動、観光、地方自治の各分野におけるユニバーサル・アクセシビリティの促進を目指している。この計画には以下が含まれる：</w:t>
      </w:r>
    </w:p>
    <w:p w14:paraId="00000083"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ab/>
        <w:t>-ワロン保健・社会保護・障害・家族庁からの補助金を要望するイベントに対して適用されるアクセシビリティ憲章を制定。</w:t>
      </w:r>
    </w:p>
    <w:p w14:paraId="00000084"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ab/>
        <w:t>-移動が困難な人のワロン自然公園へのアクセスを促進し、アクセシブルな観光インフラを整備して登録する。</w:t>
      </w:r>
    </w:p>
    <w:p w14:paraId="00000085" w14:textId="77777777" w:rsidR="0097565A" w:rsidRPr="004E713D"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-「適応可能な建設」（Adaptable Construction）事業を引き続き支援し、シンポジウムを開催するとともに、ウニア、同庁、公共住宅協会、ワロン住宅協会が協力して作業部会を設置した。</w:t>
      </w:r>
    </w:p>
    <w:p w14:paraId="00000086"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80.</w:t>
      </w:r>
      <w:r w:rsidRPr="004E713D">
        <w:rPr>
          <w:rFonts w:ascii="ＭＳ 明朝" w:eastAsia="ＭＳ 明朝" w:hAnsi="ＭＳ 明朝" w:cs="ＭＳ 明朝"/>
          <w:color w:val="000000" w:themeColor="text1"/>
        </w:rPr>
        <w:tab/>
        <w:t>さらに、一般の人々が利用できるサービスや商品のアクセシビリティを評価するための方法論が、同庁と国立観光局の支援のもと、非営利団体「アクセス・アイ（Access-</w:t>
      </w:r>
      <w:proofErr w:type="spellStart"/>
      <w:r w:rsidRPr="004E713D">
        <w:rPr>
          <w:rFonts w:ascii="ＭＳ 明朝" w:eastAsia="ＭＳ 明朝" w:hAnsi="ＭＳ 明朝" w:cs="ＭＳ 明朝"/>
          <w:color w:val="000000" w:themeColor="text1"/>
        </w:rPr>
        <w:t>i</w:t>
      </w:r>
      <w:proofErr w:type="spellEnd"/>
      <w:r w:rsidRPr="004E713D">
        <w:rPr>
          <w:rFonts w:ascii="ＭＳ 明朝" w:eastAsia="ＭＳ 明朝" w:hAnsi="ＭＳ 明朝" w:cs="ＭＳ 明朝"/>
          <w:color w:val="000000" w:themeColor="text1"/>
        </w:rPr>
        <w:t>）」によって開発された。</w:t>
      </w:r>
    </w:p>
    <w:p w14:paraId="00000087"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81.</w:t>
      </w:r>
      <w:r w:rsidRPr="004E713D">
        <w:rPr>
          <w:rFonts w:ascii="ＭＳ 明朝" w:eastAsia="ＭＳ 明朝" w:hAnsi="ＭＳ 明朝" w:cs="ＭＳ 明朝"/>
          <w:color w:val="000000" w:themeColor="text1"/>
        </w:rPr>
        <w:tab/>
        <w:t>ワロン地域、ブリュッセル首都圏、フランス語共同体委員会は、ワロン・ブリュッセル・アクセシビリティ連合（Wallonia-Brussels Accessibility Coalition）を支援している。</w:t>
      </w:r>
    </w:p>
    <w:p w14:paraId="0000008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82.</w:t>
      </w:r>
      <w:r w:rsidRPr="004E713D">
        <w:rPr>
          <w:rFonts w:ascii="ＭＳ 明朝" w:eastAsia="ＭＳ 明朝" w:hAnsi="ＭＳ 明朝" w:cs="ＭＳ 明朝"/>
          <w:color w:val="000000" w:themeColor="text1"/>
        </w:rPr>
        <w:tab/>
        <w:t>フランス語共同体は、自己所有および賃貸の建物について、効果的な空間計画を確保するため、主要な団体と協議している。学校インフラ補助金事業の優先事業プログラムは、特に、移動が困難な人々のために、建物のアクセシビリティを向上させることを目的としている。</w:t>
      </w:r>
    </w:p>
    <w:p w14:paraId="00000089" w14:textId="77777777" w:rsidR="0097565A" w:rsidRPr="004E713D" w:rsidRDefault="00400FB1">
      <w:pPr>
        <w:pBdr>
          <w:top w:val="nil"/>
          <w:left w:val="nil"/>
          <w:bottom w:val="nil"/>
          <w:right w:val="nil"/>
          <w:between w:val="nil"/>
        </w:pBdr>
        <w:tabs>
          <w:tab w:val="left" w:pos="1701"/>
          <w:tab w:val="left" w:pos="2268"/>
          <w:tab w:val="left" w:pos="1864"/>
        </w:tabs>
        <w:spacing w:after="120"/>
        <w:ind w:left="1134" w:right="1134"/>
        <w:jc w:val="both"/>
        <w:rPr>
          <w:rFonts w:ascii="ＭＳ 明朝" w:eastAsia="ＭＳ 明朝" w:hAnsi="ＭＳ 明朝" w:cs="ＭＳ 明朝"/>
          <w:color w:val="000000" w:themeColor="text1"/>
        </w:rPr>
      </w:pPr>
      <w:bookmarkStart w:id="29" w:name="_heading=h.n4fcsod6ht3" w:colFirst="0" w:colLast="0"/>
      <w:bookmarkEnd w:id="29"/>
      <w:r w:rsidRPr="004E713D">
        <w:rPr>
          <w:rFonts w:ascii="ＭＳ 明朝" w:eastAsia="ＭＳ 明朝" w:hAnsi="ＭＳ 明朝" w:cs="ＭＳ 明朝"/>
          <w:color w:val="000000" w:themeColor="text1"/>
        </w:rPr>
        <w:t>83.</w:t>
      </w:r>
      <w:r w:rsidRPr="004E713D">
        <w:rPr>
          <w:rFonts w:ascii="ＭＳ 明朝" w:eastAsia="ＭＳ 明朝" w:hAnsi="ＭＳ 明朝" w:cs="ＭＳ 明朝"/>
          <w:color w:val="000000" w:themeColor="text1"/>
        </w:rPr>
        <w:tab/>
        <w:t>2017年、ブリュッセル首都圏は、ワロン・ブリュッセル・アクセシビリティ連合の各団体が作成した指針の改訂を支援した。その目的は、移動困難者のためのアクセシビリティの枠組みを建設の専門家に提示することである。したがって、これは、アクセシビリティに関わる設計者、請負業者、都市計画者を対象としている。2017年から2018年にかけて、ブリュッセル首都圏は、全国障害者住宅協会と共同で、5つの地域公共サービス施設において、移動困難者のためのアクセシビリティ監査、診断、認証を開始した。共通共同体委員会は多様な協会を支援・補助しており、その中には公共の場のアクセシビリティを改善する活動をしているものも含まれる。フランス語共同体委員会のレベルでは、専門的なサービスがPHAREサービス（「自律を求める障害者」を表すフランス語の頭字語で、「灯台」を意味する）によって認定され、障害のある人にとっての社会空間のアクセシビリティを認定している。フランス語共同体委員会は「アクセシビリティ計画2025」を主導し、その資金を援助している。文化・スポーツ活動へのアクセスも奨励されている。</w:t>
      </w:r>
    </w:p>
    <w:p w14:paraId="0000008A"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84.</w:t>
      </w:r>
      <w:r w:rsidRPr="004E713D">
        <w:rPr>
          <w:rFonts w:ascii="ＭＳ 明朝" w:eastAsia="ＭＳ 明朝" w:hAnsi="ＭＳ 明朝" w:cs="ＭＳ 明朝"/>
          <w:color w:val="000000" w:themeColor="text1"/>
        </w:rPr>
        <w:tab/>
        <w:t>ドイツ語共同体では、2019年末から2024年まで、アクセシビリティの現状調査が実施され、概況把握をしたうえで優先課題を決める予定である。</w:t>
      </w:r>
    </w:p>
    <w:p w14:paraId="0000008B"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事前質問事項のパラグラフ9（b）への回答</w:t>
      </w:r>
    </w:p>
    <w:p w14:paraId="0000008C"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85.</w:t>
      </w:r>
      <w:r w:rsidRPr="004E713D">
        <w:rPr>
          <w:rFonts w:ascii="ＭＳ 明朝" w:eastAsia="ＭＳ 明朝" w:hAnsi="ＭＳ 明朝" w:cs="ＭＳ 明朝"/>
          <w:color w:val="000000" w:themeColor="text1"/>
        </w:rPr>
        <w:tab/>
        <w:t>連邦レベルでは、2018年にベルギー国有鉄道会社（SNCB）が、アクセシブルなインフラに関するSNCBの参照マニュアルである</w:t>
      </w:r>
      <w:proofErr w:type="spellStart"/>
      <w:r w:rsidRPr="004E713D">
        <w:rPr>
          <w:rFonts w:ascii="ＭＳ 明朝" w:eastAsia="ＭＳ 明朝" w:hAnsi="ＭＳ 明朝" w:cs="ＭＳ 明朝"/>
          <w:color w:val="000000" w:themeColor="text1"/>
        </w:rPr>
        <w:t>Revalor</w:t>
      </w:r>
      <w:proofErr w:type="spellEnd"/>
      <w:r w:rsidRPr="004E713D">
        <w:rPr>
          <w:rFonts w:ascii="ＭＳ 明朝" w:eastAsia="ＭＳ 明朝" w:hAnsi="ＭＳ 明朝" w:cs="ＭＳ 明朝"/>
          <w:color w:val="000000" w:themeColor="text1"/>
        </w:rPr>
        <w:t xml:space="preserve">を変更した。その改訂版が現在作成されている。改定では、旧版と同様、全国障害者高等評議会などの様々な利益団体からの意見が求められた。ベルギーは2016年末、欧州の規制に従い、鉄道システムのアクセシビリティに関する国家実施計画を提出した最初の国のひとつである。鉄道インフラを管理するInfrabel、およびSNCBは、2025年までに完全にアクセシブルな駅の数を倍増させる計画である。 </w:t>
      </w:r>
    </w:p>
    <w:p w14:paraId="0000008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86.</w:t>
      </w:r>
      <w:r w:rsidRPr="004E713D">
        <w:rPr>
          <w:rFonts w:ascii="ＭＳ 明朝" w:eastAsia="ＭＳ 明朝" w:hAnsi="ＭＳ 明朝" w:cs="ＭＳ 明朝"/>
          <w:color w:val="000000" w:themeColor="text1"/>
        </w:rPr>
        <w:tab/>
        <w:t>2016年、専門家によるブリュッセル空港のアクセシビリティ監査が実施され、障害者も同行した。</w:t>
      </w:r>
    </w:p>
    <w:p w14:paraId="0000008E" w14:textId="13217642"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87.</w:t>
      </w:r>
      <w:r w:rsidRPr="004E713D">
        <w:rPr>
          <w:rFonts w:ascii="ＭＳ 明朝" w:eastAsia="ＭＳ 明朝" w:hAnsi="ＭＳ 明朝" w:cs="ＭＳ 明朝"/>
          <w:color w:val="000000" w:themeColor="text1"/>
        </w:rPr>
        <w:tab/>
        <w:t>フラマン地域では、2018年末までに、フラマン地域の交通会社</w:t>
      </w:r>
      <w:r w:rsidR="009365A9" w:rsidRPr="004E713D">
        <w:rPr>
          <w:rFonts w:ascii="ＭＳ 明朝" w:eastAsia="ＭＳ 明朝" w:hAnsi="ＭＳ 明朝" w:cs="ＭＳ 明朝"/>
          <w:color w:val="000000" w:themeColor="text1"/>
        </w:rPr>
        <w:t>De Lijn</w:t>
      </w:r>
      <w:r w:rsidRPr="004E713D">
        <w:rPr>
          <w:rFonts w:ascii="ＭＳ 明朝" w:eastAsia="ＭＳ 明朝" w:hAnsi="ＭＳ 明朝" w:cs="ＭＳ 明朝"/>
          <w:color w:val="000000" w:themeColor="text1"/>
        </w:rPr>
        <w:t>が運行するバスの97％、トラムの55.5％がバリアフリー化された。トラムの運行時間の分析によると、アクセシブル・トラムはトラムサービスの70％以上を提供している。停留所の一覧は、様々な障害のある人が利用できる停留所を示している。この情報は常に最新の状態に保たれ、路線案内、時刻表、乗換案内板などの旅行情報に直接リンクされている。この一覧によると、2018年末までに、28.8％の停留所が、移動が困難な人でも介助があれば利用可能であった。介助なしの場合は11.5％である。5.7％に触覚案内システムが設置されている。交通政策と公共事業の分野では、アクセシビリティの情報拠点（knowledge hub）が2019年から運営されている。このMeerMobiel.beを通じて、障害のある乗客は、彼らの権利、フラマンの交通サービス、交通政策について情報を得ることができる。</w:t>
      </w:r>
    </w:p>
    <w:p w14:paraId="0000008F"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30" w:name="_heading=h.bi1ptlp248na" w:colFirst="0" w:colLast="0"/>
      <w:bookmarkEnd w:id="30"/>
      <w:r w:rsidRPr="004E713D">
        <w:rPr>
          <w:rFonts w:ascii="ＭＳ 明朝" w:eastAsia="ＭＳ 明朝" w:hAnsi="ＭＳ 明朝" w:cs="ＭＳ 明朝"/>
          <w:color w:val="000000" w:themeColor="text1"/>
        </w:rPr>
        <w:t>88.</w:t>
      </w:r>
      <w:r w:rsidRPr="004E713D">
        <w:rPr>
          <w:rFonts w:ascii="ＭＳ 明朝" w:eastAsia="ＭＳ 明朝" w:hAnsi="ＭＳ 明朝" w:cs="ＭＳ 明朝"/>
          <w:color w:val="000000" w:themeColor="text1"/>
        </w:rPr>
        <w:tab/>
        <w:t xml:space="preserve">ワロン地域では、ワロン・ブリュッセル・アクセシビリティ連合とワロン交通事業者の間で、公共交通機関のアクセシビリティを向上させるための協定が結ばれた。このプロセスの一環として、どの路線がアクセシブルであるかを提示するため、協定に定められた基準に従って、様々な路線と停留所が評価されることになる。現在のところ、停留所と車両が評価されつつある。この協定には、ワロン交通運営会社の職員を対象にした、移動困難者のニーズやバリアフリー機器の使用法に関する情報提供、啓発、研修が含まれている。 </w:t>
      </w:r>
    </w:p>
    <w:p w14:paraId="00000090" w14:textId="405C3CE0"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89.</w:t>
      </w:r>
      <w:r w:rsidRPr="004E713D">
        <w:rPr>
          <w:rFonts w:ascii="ＭＳ 明朝" w:eastAsia="ＭＳ 明朝" w:hAnsi="ＭＳ 明朝" w:cs="ＭＳ 明朝"/>
          <w:color w:val="000000" w:themeColor="text1"/>
        </w:rPr>
        <w:tab/>
        <w:t>ワロン地域とワロン交通運営会社と</w:t>
      </w:r>
      <w:r w:rsidR="0036384A" w:rsidRPr="004E713D">
        <w:rPr>
          <w:rFonts w:ascii="ＭＳ 明朝" w:eastAsia="ＭＳ 明朝" w:hAnsi="ＭＳ 明朝" w:cs="ＭＳ 明朝" w:hint="eastAsia"/>
          <w:color w:val="000000" w:themeColor="text1"/>
        </w:rPr>
        <w:t>の</w:t>
      </w:r>
      <w:r w:rsidRPr="004E713D">
        <w:rPr>
          <w:rFonts w:ascii="ＭＳ 明朝" w:eastAsia="ＭＳ 明朝" w:hAnsi="ＭＳ 明朝" w:cs="ＭＳ 明朝"/>
          <w:color w:val="000000" w:themeColor="text1"/>
        </w:rPr>
        <w:t>間</w:t>
      </w:r>
      <w:r w:rsidR="00A92670" w:rsidRPr="004E713D">
        <w:rPr>
          <w:rFonts w:ascii="ＭＳ 明朝" w:eastAsia="ＭＳ 明朝" w:hAnsi="ＭＳ 明朝" w:cs="ＭＳ 明朝" w:hint="eastAsia"/>
          <w:color w:val="000000" w:themeColor="text1"/>
        </w:rPr>
        <w:t>で</w:t>
      </w:r>
      <w:r w:rsidRPr="004E713D">
        <w:rPr>
          <w:rFonts w:ascii="ＭＳ 明朝" w:eastAsia="ＭＳ 明朝" w:hAnsi="ＭＳ 明朝" w:cs="ＭＳ 明朝"/>
          <w:color w:val="000000" w:themeColor="text1"/>
        </w:rPr>
        <w:t>の公共サービス契約には、インフラ、サポート、情報への投資を通じて、公共交通のユニバーサル・アクセシビリティを改善・発展させることを目的とした</w:t>
      </w:r>
      <w:r w:rsidR="009365A9" w:rsidRPr="004E713D">
        <w:rPr>
          <w:rFonts w:ascii="ＭＳ 明朝" w:eastAsia="ＭＳ 明朝" w:hAnsi="ＭＳ 明朝" w:cs="ＭＳ 明朝" w:hint="eastAsia"/>
          <w:color w:val="000000" w:themeColor="text1"/>
        </w:rPr>
        <w:t>節</w:t>
      </w:r>
      <w:r w:rsidRPr="004E713D">
        <w:rPr>
          <w:rFonts w:ascii="ＭＳ 明朝" w:eastAsia="ＭＳ 明朝" w:hAnsi="ＭＳ 明朝" w:cs="ＭＳ 明朝"/>
          <w:color w:val="000000" w:themeColor="text1"/>
        </w:rPr>
        <w:t xml:space="preserve">も含まれている。この契約では、2021年1月1日までにバスの100％にスロープを設置することになっている。 </w:t>
      </w:r>
    </w:p>
    <w:p w14:paraId="00000091"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90.</w:t>
      </w:r>
      <w:r w:rsidRPr="004E713D">
        <w:rPr>
          <w:rFonts w:ascii="ＭＳ 明朝" w:eastAsia="ＭＳ 明朝" w:hAnsi="ＭＳ 明朝" w:cs="ＭＳ 明朝"/>
          <w:color w:val="000000" w:themeColor="text1"/>
        </w:rPr>
        <w:tab/>
        <w:t>運輸管理局は、ワロン運輸業者および移動困難者輸送での利害関係者との建設的な対話を通じて、契約に定められた目標の達成を監督・管理する責任を負う。</w:t>
      </w:r>
    </w:p>
    <w:p w14:paraId="00000092"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31" w:name="_heading=h.ohks9ul4mz1j" w:colFirst="0" w:colLast="0"/>
      <w:bookmarkEnd w:id="31"/>
      <w:r w:rsidRPr="004E713D">
        <w:rPr>
          <w:rFonts w:ascii="ＭＳ 明朝" w:eastAsia="ＭＳ 明朝" w:hAnsi="ＭＳ 明朝" w:cs="ＭＳ 明朝"/>
          <w:color w:val="000000" w:themeColor="text1"/>
        </w:rPr>
        <w:t>91.</w:t>
      </w:r>
      <w:r w:rsidRPr="004E713D">
        <w:rPr>
          <w:rFonts w:ascii="ＭＳ 明朝" w:eastAsia="ＭＳ 明朝" w:hAnsi="ＭＳ 明朝" w:cs="ＭＳ 明朝"/>
          <w:color w:val="000000" w:themeColor="text1"/>
        </w:rPr>
        <w:tab/>
        <w:t>ブリュッセル首都圏地域は、公共交通機関運営会社であるブリュッセル地域間運輸会社（STIB）の経営契約に、公共交通機関のバリアフリー化に関する10年間の戦略計画を追加した。この計画には、毎年70カ所の地上駅をバリアフリーにすること、毎年2カ所の地下鉄駅にエレベーターを設置すること、故障を減らすためにエレベーターのメンテナンスを見直すこと、バスのスロープを改善することなどが含まれている。都市インフラに関しては、2014年から2019年にかけて、地域のすべての地区が道路と公共スペースのアクセシビリティ計画を策定した。この計画では、3,600kmの舗装路のマッピングを行い、移動困難者に対する不適合箇所を特定し、データベースに座標登録する。これらの計画に基づくアクセシビリティの確保作業は、舗装の改善や整備が行われるたびに実施される。道路研究センターは、舗装路面の使用品質、快適性、滑りやすさを測定するセンサー付き車椅子を開発した。道路や建物の建設におけるアクセシビリティに関する規則は、2019年末にコメントが公募される地域計画規則の改正時に導入され、すべての新規プロジェクトに適用される。</w:t>
      </w:r>
    </w:p>
    <w:p w14:paraId="00000093"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事前質問事項のパラグラフ9（c）への回答</w:t>
      </w:r>
    </w:p>
    <w:p w14:paraId="00000094"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92.</w:t>
      </w:r>
      <w:r w:rsidRPr="004E713D">
        <w:rPr>
          <w:rFonts w:ascii="ＭＳ 明朝" w:eastAsia="ＭＳ 明朝" w:hAnsi="ＭＳ 明朝" w:cs="ＭＳ 明朝"/>
          <w:color w:val="000000" w:themeColor="text1"/>
        </w:rPr>
        <w:tab/>
        <w:t>ワロン地域では、様々な公共サービスが認知度向上と案内のためのツールを導入し、補助率も調整している。</w:t>
      </w:r>
    </w:p>
    <w:p w14:paraId="00000095"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事前質問事項のパラグラフ9（d）への回答</w:t>
      </w:r>
    </w:p>
    <w:p w14:paraId="00000096"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93.</w:t>
      </w:r>
      <w:r w:rsidRPr="004E713D">
        <w:rPr>
          <w:rFonts w:ascii="ＭＳ 明朝" w:eastAsia="ＭＳ 明朝" w:hAnsi="ＭＳ 明朝" w:cs="ＭＳ 明朝"/>
          <w:color w:val="000000" w:themeColor="text1"/>
        </w:rPr>
        <w:tab/>
        <w:t>フラマン地域は、2018年と2019年にアクセシビリティ条例を評価し、条例の内容と妥当性の両方に注目してその有効性を概観した。評価の結果、より効果的かつ効率的な規制を達成するためには修正が望ましいことがわかった。現状のアクセシビリティに関する規制や枠組み的な取り組みは、許可を要する新築や改築の場合でも、効果的で基本的なアクセシビリティを保証するにはまだ不十分である。</w:t>
      </w:r>
    </w:p>
    <w:p w14:paraId="00000097"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事前質問事項のパラグラフ9（e）への回答</w:t>
      </w:r>
    </w:p>
    <w:p w14:paraId="0000009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94.</w:t>
      </w:r>
      <w:r w:rsidRPr="004E713D">
        <w:rPr>
          <w:rFonts w:ascii="ＭＳ 明朝" w:eastAsia="ＭＳ 明朝" w:hAnsi="ＭＳ 明朝" w:cs="ＭＳ 明朝"/>
          <w:color w:val="000000" w:themeColor="text1"/>
        </w:rPr>
        <w:tab/>
        <w:t>建築、デザイン、製品開発を学ぶ学生にユニバーサルデザインを普及させるため、フラマン政府は第2回「デッドライン24（Deadline 24）」デザインコンペを開催した。また、ユニバーサルデザイン週間には、デザイナーや建設分野の専門家向けだけでなく、学生を対象とした啓発活動も行われる。</w:t>
      </w:r>
    </w:p>
    <w:p w14:paraId="00000099"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95.</w:t>
      </w:r>
      <w:r w:rsidRPr="004E713D">
        <w:rPr>
          <w:rFonts w:ascii="ＭＳ 明朝" w:eastAsia="ＭＳ 明朝" w:hAnsi="ＭＳ 明朝" w:cs="ＭＳ 明朝"/>
          <w:color w:val="000000" w:themeColor="text1"/>
        </w:rPr>
        <w:tab/>
        <w:t>ワロン地域では、「現在および将来の建設専門家へのアクセシビリティ研修の推進」キャンペーンがアクセシビリティ計画に盛り込まれた。これに関連して、ワロン・ブリュッセル・アクセシビリティ連合と研究・高等教育アカデミーの間で会合が開かれた。アカデミーは、大学関係者に働きかけて建築家養成課程との接触を図る前に、まず技術教育委員会に連合を紹介することを提案した。</w:t>
      </w:r>
    </w:p>
    <w:p w14:paraId="0000009A"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32" w:name="_heading=h.iylbrf7rnjx5" w:colFirst="0" w:colLast="0"/>
      <w:bookmarkEnd w:id="32"/>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危機的状況と人道的緊急事態（第11条）</w:t>
      </w:r>
    </w:p>
    <w:p w14:paraId="0000009B"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color w:val="000000" w:themeColor="text1"/>
        </w:rPr>
      </w:pPr>
      <w:bookmarkStart w:id="33" w:name="_heading=h.du0mpzwo0ggg" w:colFirst="0" w:colLast="0"/>
      <w:bookmarkEnd w:id="33"/>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事前質問事項のパラグラフ10（a）への回答</w:t>
      </w:r>
    </w:p>
    <w:p w14:paraId="0000009C" w14:textId="1B974F31"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96.</w:t>
      </w:r>
      <w:r w:rsidRPr="004E713D">
        <w:rPr>
          <w:rFonts w:ascii="ＭＳ 明朝" w:eastAsia="ＭＳ 明朝" w:hAnsi="ＭＳ 明朝" w:cs="ＭＳ 明朝"/>
          <w:color w:val="000000" w:themeColor="text1"/>
        </w:rPr>
        <w:tab/>
        <w:t>2018年に到着者センター（arrivals centre）が設置された。このセンター特に登録デスクは、移動能力の低下した人にも全面的にアクセシブルである。</w:t>
      </w:r>
    </w:p>
    <w:p w14:paraId="0000009D"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97.</w:t>
      </w:r>
      <w:r w:rsidRPr="004E713D">
        <w:rPr>
          <w:rFonts w:ascii="ＭＳ 明朝" w:eastAsia="ＭＳ 明朝" w:hAnsi="ＭＳ 明朝" w:cs="ＭＳ 明朝"/>
          <w:color w:val="000000" w:themeColor="text1"/>
        </w:rPr>
        <w:tab/>
        <w:t>登録が済み次第、スタッフはリスクのある人の初期評価を行う。リスクのある人は最優先でセンターに受け入れられる。また、リスクのある人は、パチェコ多目的ビル（</w:t>
      </w:r>
      <w:proofErr w:type="spellStart"/>
      <w:r w:rsidRPr="004E713D">
        <w:rPr>
          <w:rFonts w:ascii="ＭＳ 明朝" w:eastAsia="ＭＳ 明朝" w:hAnsi="ＭＳ 明朝" w:cs="ＭＳ 明朝"/>
          <w:color w:val="000000" w:themeColor="text1"/>
        </w:rPr>
        <w:t>Pachéco</w:t>
      </w:r>
      <w:proofErr w:type="spellEnd"/>
      <w:r w:rsidRPr="004E713D">
        <w:rPr>
          <w:rFonts w:ascii="ＭＳ 明朝" w:eastAsia="ＭＳ 明朝" w:hAnsi="ＭＳ 明朝" w:cs="ＭＳ 明朝"/>
          <w:color w:val="000000" w:themeColor="text1"/>
        </w:rPr>
        <w:t xml:space="preserve"> building）への移送を避けるため、国際保護申請を直ちに提出することも可能である。さらに職員は、申請を処理する際に考慮する必要がある手続き上の要件を前もって評価できる。その手続きの間、考慮すべき手続き上の必要性が（もう一度）評価される。この情報は難民・無国籍者総監オフィスに転送される。</w:t>
      </w:r>
    </w:p>
    <w:p w14:paraId="0000009E"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98.</w:t>
      </w:r>
      <w:r w:rsidRPr="004E713D">
        <w:rPr>
          <w:rFonts w:ascii="ＭＳ 明朝" w:eastAsia="ＭＳ 明朝" w:hAnsi="ＭＳ 明朝" w:cs="ＭＳ 明朝"/>
          <w:color w:val="000000" w:themeColor="text1"/>
        </w:rPr>
        <w:tab/>
        <w:t>亡命希望者に特定のニーズがある場合、ベルギー亡命希望者受入連邦機関（</w:t>
      </w:r>
      <w:proofErr w:type="spellStart"/>
      <w:r w:rsidRPr="004E713D">
        <w:rPr>
          <w:rFonts w:ascii="ＭＳ 明朝" w:eastAsia="ＭＳ 明朝" w:hAnsi="ＭＳ 明朝" w:cs="ＭＳ 明朝"/>
          <w:color w:val="000000" w:themeColor="text1"/>
        </w:rPr>
        <w:t>Fedasil</w:t>
      </w:r>
      <w:proofErr w:type="spellEnd"/>
      <w:r w:rsidRPr="004E713D">
        <w:rPr>
          <w:rFonts w:ascii="ＭＳ 明朝" w:eastAsia="ＭＳ 明朝" w:hAnsi="ＭＳ 明朝" w:cs="ＭＳ 明朝"/>
          <w:color w:val="000000" w:themeColor="text1"/>
        </w:rPr>
        <w:t>）は、その特定のニーズに適合しているというラベルの付いた受入場所を割り当てることができる。指定された受け入れ施設では、障害のある人に適切な支援が提供される。必要であれば、亡命希望者の到着日にも適切な場所を割り当てることができる。</w:t>
      </w:r>
    </w:p>
    <w:p w14:paraId="0000009F"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事前質問事項のパラグラフ10（b）への回答</w:t>
      </w:r>
    </w:p>
    <w:p w14:paraId="000000A0"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99.</w:t>
      </w:r>
      <w:r w:rsidRPr="004E713D">
        <w:rPr>
          <w:rFonts w:ascii="ＭＳ 明朝" w:eastAsia="ＭＳ 明朝" w:hAnsi="ＭＳ 明朝" w:cs="ＭＳ 明朝"/>
          <w:color w:val="000000" w:themeColor="text1"/>
        </w:rPr>
        <w:tab/>
        <w:t>2014年末、環境のリスクへのすべての人の意識を高め、こころがまえのレベルを向上させるためのウェブポータルが開設された。障害者を含む特定の対象グループに向けた提言もなされている。2017年からは、市民が登録すれば、緊急事態発生時に警報メッセージを受信できる市民警報プラットフォーム「BE-Alert」がベルギー全土で運用されている。このプラットフォームを可能な限りアクセシブルするために、様々なメディアが用意されている。</w:t>
      </w:r>
    </w:p>
    <w:p w14:paraId="000000A1"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事前質問事項のパラグラフ10（c）への回答</w:t>
      </w:r>
    </w:p>
    <w:p w14:paraId="000000A2" w14:textId="75EF39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bookmarkStart w:id="34" w:name="_heading=h.8wnf9x9ouvbf" w:colFirst="0" w:colLast="0"/>
      <w:bookmarkEnd w:id="34"/>
      <w:r w:rsidRPr="004E713D">
        <w:rPr>
          <w:rFonts w:ascii="ＭＳ 明朝" w:eastAsia="ＭＳ 明朝" w:hAnsi="ＭＳ 明朝" w:cs="ＭＳ 明朝"/>
          <w:color w:val="000000" w:themeColor="text1"/>
        </w:rPr>
        <w:t>100.</w:t>
      </w:r>
      <w:r w:rsidRPr="004E713D">
        <w:rPr>
          <w:rFonts w:ascii="ＭＳ 明朝" w:eastAsia="ＭＳ 明朝" w:hAnsi="ＭＳ 明朝" w:cs="ＭＳ 明朝"/>
          <w:color w:val="000000" w:themeColor="text1"/>
        </w:rPr>
        <w:tab/>
        <w:t>ベルギーが欧州評議会（閣僚委員会）の議長国であった2014年、欧州・地中海大災害協定常設通信員委員会は、ベルギー政府との緊密な協力により、ベルギー国内および国際的な障害者団体の出席のもと、ブリュッセルで「災害準備・対応における障害のある人の参加」と題された会議を開催した。BEアラート（BE-Alert）のウェブサイトに掲載されている手話</w:t>
      </w:r>
      <w:r w:rsidR="00E63495" w:rsidRPr="004E713D">
        <w:rPr>
          <w:rFonts w:ascii="ＭＳ 明朝" w:eastAsia="ＭＳ 明朝" w:hAnsi="ＭＳ 明朝" w:cs="ＭＳ 明朝" w:hint="eastAsia"/>
          <w:color w:val="000000" w:themeColor="text1"/>
        </w:rPr>
        <w:t>言語</w:t>
      </w:r>
      <w:r w:rsidRPr="004E713D">
        <w:rPr>
          <w:rFonts w:ascii="ＭＳ 明朝" w:eastAsia="ＭＳ 明朝" w:hAnsi="ＭＳ 明朝" w:cs="ＭＳ 明朝"/>
          <w:color w:val="000000" w:themeColor="text1"/>
        </w:rPr>
        <w:t>ビデオは、フランス語圏およびフラマン語共同体の聴覚障害者団体連合との緊密な協力により制作された。</w:t>
      </w:r>
    </w:p>
    <w:p w14:paraId="000000A3" w14:textId="77777777" w:rsidR="0097565A" w:rsidRPr="004E713D"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themeColor="text1"/>
          <w:sz w:val="24"/>
          <w:szCs w:val="24"/>
        </w:rPr>
      </w:pPr>
      <w:bookmarkStart w:id="35" w:name="_heading=h.803sptrvfvt4" w:colFirst="0" w:colLast="0"/>
      <w:bookmarkEnd w:id="35"/>
      <w:r w:rsidRPr="004E713D">
        <w:rPr>
          <w:rFonts w:ascii="ＭＳ 明朝" w:eastAsia="ＭＳ 明朝" w:hAnsi="ＭＳ 明朝" w:cs="ＭＳ 明朝"/>
          <w:b/>
          <w:bCs/>
          <w:color w:val="000000" w:themeColor="text1"/>
          <w:sz w:val="24"/>
          <w:szCs w:val="24"/>
        </w:rPr>
        <w:tab/>
      </w:r>
      <w:r w:rsidRPr="004E713D">
        <w:rPr>
          <w:rFonts w:ascii="ＭＳ 明朝" w:eastAsia="ＭＳ 明朝" w:hAnsi="ＭＳ 明朝" w:cs="ＭＳ 明朝"/>
          <w:b/>
          <w:bCs/>
          <w:color w:val="000000" w:themeColor="text1"/>
          <w:sz w:val="24"/>
          <w:szCs w:val="24"/>
        </w:rPr>
        <w:tab/>
        <w:t>法の下の平等な承認（第12条）</w:t>
      </w:r>
    </w:p>
    <w:p w14:paraId="000000A4" w14:textId="77777777" w:rsidR="0097565A" w:rsidRPr="004E713D"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themeColor="text1"/>
        </w:rPr>
      </w:pPr>
      <w:bookmarkStart w:id="36" w:name="_heading=h.zhk092qqelo" w:colFirst="0" w:colLast="0"/>
      <w:bookmarkEnd w:id="36"/>
      <w:r w:rsidRPr="004E713D">
        <w:rPr>
          <w:rFonts w:ascii="ＭＳ 明朝" w:eastAsia="ＭＳ 明朝" w:hAnsi="ＭＳ 明朝" w:cs="ＭＳ 明朝"/>
          <w:b/>
          <w:bCs/>
          <w:color w:val="000000" w:themeColor="text1"/>
        </w:rPr>
        <w:tab/>
      </w:r>
      <w:r w:rsidRPr="004E713D">
        <w:rPr>
          <w:rFonts w:ascii="ＭＳ 明朝" w:eastAsia="ＭＳ 明朝" w:hAnsi="ＭＳ 明朝" w:cs="ＭＳ 明朝"/>
          <w:b/>
          <w:bCs/>
          <w:color w:val="000000" w:themeColor="text1"/>
        </w:rPr>
        <w:tab/>
        <w:t>事前質問事項のパラグラフ11（a）および（b）への回答</w:t>
      </w:r>
    </w:p>
    <w:p w14:paraId="000000A5"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101.</w:t>
      </w:r>
      <w:r w:rsidRPr="004E713D">
        <w:rPr>
          <w:rFonts w:ascii="ＭＳ 明朝" w:eastAsia="ＭＳ 明朝" w:hAnsi="ＭＳ 明朝" w:cs="ＭＳ 明朝"/>
          <w:color w:val="000000" w:themeColor="text1"/>
        </w:rPr>
        <w:tab/>
        <w:t>2013年3月17日の法律に基づき、障害者制度の基盤が見直され、2018年12月21日の法律に基づき、障害のある人を司法保護下に置くための手続きが簡素化、現代化、コンピューター化された。その意図は、個人の自主性を優先し、比例性と補完性の原則に則って保護するために必要な場合に限り、障害のある人が司法保護下に置かれることを保証することである。</w:t>
      </w:r>
    </w:p>
    <w:p w14:paraId="000000A6" w14:textId="2EA152C9"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102.</w:t>
      </w:r>
      <w:r w:rsidRPr="004E713D">
        <w:rPr>
          <w:rFonts w:ascii="ＭＳ 明朝" w:eastAsia="ＭＳ 明朝" w:hAnsi="ＭＳ 明朝" w:cs="ＭＳ 明朝"/>
          <w:color w:val="000000" w:themeColor="text1"/>
        </w:rPr>
        <w:tab/>
        <w:t>この保護計画</w:t>
      </w:r>
      <w:r w:rsidR="00CA7B42" w:rsidRPr="004E713D">
        <w:rPr>
          <w:rFonts w:ascii="ＭＳ 明朝" w:eastAsia="ＭＳ 明朝" w:hAnsi="ＭＳ 明朝" w:cs="ＭＳ 明朝" w:hint="eastAsia"/>
          <w:color w:val="000000" w:themeColor="text1"/>
        </w:rPr>
        <w:t>（</w:t>
      </w:r>
      <w:r w:rsidR="00834D12" w:rsidRPr="004E713D">
        <w:rPr>
          <w:rFonts w:ascii="ＭＳ 明朝" w:eastAsia="ＭＳ 明朝" w:hAnsi="ＭＳ 明朝" w:cs="ＭＳ 明朝"/>
          <w:color w:val="000000" w:themeColor="text1"/>
        </w:rPr>
        <w:t>protection scheme</w:t>
      </w:r>
      <w:r w:rsidR="00CA7B42" w:rsidRPr="004E713D">
        <w:rPr>
          <w:rFonts w:ascii="ＭＳ 明朝" w:eastAsia="ＭＳ 明朝" w:hAnsi="ＭＳ 明朝" w:cs="ＭＳ 明朝" w:hint="eastAsia"/>
          <w:color w:val="000000" w:themeColor="text1"/>
        </w:rPr>
        <w:t>）</w:t>
      </w:r>
      <w:r w:rsidRPr="004E713D">
        <w:rPr>
          <w:rFonts w:ascii="ＭＳ 明朝" w:eastAsia="ＭＳ 明朝" w:hAnsi="ＭＳ 明朝" w:cs="ＭＳ 明朝"/>
          <w:color w:val="000000" w:themeColor="text1"/>
        </w:rPr>
        <w:t>は、永続的な委任状（lasting power of attorney）や、裁判官が司法保護の文脈で考慮しなければならない登録宣言を用いて、障害のある人自身が準備することができる。</w:t>
      </w:r>
    </w:p>
    <w:p w14:paraId="000000A7" w14:textId="45CC169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103.</w:t>
      </w:r>
      <w:r w:rsidRPr="004E713D">
        <w:rPr>
          <w:rFonts w:ascii="ＭＳ 明朝" w:eastAsia="ＭＳ 明朝" w:hAnsi="ＭＳ 明朝" w:cs="ＭＳ 明朝"/>
          <w:color w:val="000000" w:themeColor="text1"/>
        </w:rPr>
        <w:tab/>
        <w:t>法律は、障害のある本人が将来のために自己の財産的利益および非財産的利益の管理を組み立てる、司法手続きを伴わない保護を是認している。この委任状の一定部分は公表の対象となり、代理人が尊重すべき一定の原則を含めることができる。委任状の役割は、本人がもはや自己の利益を管理する立場に置かれなくなった時点以降も、法の運用により継続する。裁判官の介入は、委任状の一部または全部を執行すること、あるいは必要な場合に限って、特別に理由を付した決定によって、この計画を司法保護の下に置くように変更することに限定される。</w:t>
      </w:r>
    </w:p>
    <w:p w14:paraId="000000A8"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104.</w:t>
      </w:r>
      <w:r w:rsidRPr="004E713D">
        <w:rPr>
          <w:rFonts w:ascii="ＭＳ 明朝" w:eastAsia="ＭＳ 明朝" w:hAnsi="ＭＳ 明朝" w:cs="ＭＳ 明朝"/>
          <w:color w:val="000000" w:themeColor="text1"/>
        </w:rPr>
        <w:tab/>
        <w:t xml:space="preserve">登録宣言には、管財人が尊重すべき原則を含むが、一方で、管財人の選任に関する希望を示すことができる。 </w:t>
      </w:r>
    </w:p>
    <w:p w14:paraId="000000A9" w14:textId="77777777" w:rsidR="0097565A" w:rsidRPr="004E713D"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themeColor="text1"/>
        </w:rPr>
      </w:pPr>
      <w:r w:rsidRPr="004E713D">
        <w:rPr>
          <w:rFonts w:ascii="ＭＳ 明朝" w:eastAsia="ＭＳ 明朝" w:hAnsi="ＭＳ 明朝" w:cs="ＭＳ 明朝"/>
          <w:color w:val="000000" w:themeColor="text1"/>
        </w:rPr>
        <w:t>105.</w:t>
      </w:r>
      <w:r w:rsidRPr="004E713D">
        <w:rPr>
          <w:rFonts w:ascii="ＭＳ 明朝" w:eastAsia="ＭＳ 明朝" w:hAnsi="ＭＳ 明朝" w:cs="ＭＳ 明朝"/>
          <w:color w:val="000000" w:themeColor="text1"/>
        </w:rPr>
        <w:tab/>
        <w:t>その目的は、被保護者の利益管理への他者の介入をできる限り制限することである：被保護者は、司法長官によって任命された管理人のみが代理または補助を行う。一定の個人的行為または医療法に関わる行為は、補助または代理の対象とすることはできない。さらに、2019年以降、重篤な精神疾患を患う者は、制度的に司法保護の下に置かれなくなり、司法長官は患者の権利行使について裁定できなくなった。</w:t>
      </w:r>
    </w:p>
    <w:p w14:paraId="000000A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4E713D">
        <w:rPr>
          <w:rFonts w:ascii="ＭＳ 明朝" w:eastAsia="ＭＳ 明朝" w:hAnsi="ＭＳ 明朝" w:cs="ＭＳ 明朝"/>
          <w:color w:val="000000" w:themeColor="text1"/>
        </w:rPr>
        <w:t>106.</w:t>
      </w:r>
      <w:r w:rsidRPr="004E713D">
        <w:rPr>
          <w:rFonts w:ascii="ＭＳ 明朝" w:eastAsia="ＭＳ 明朝" w:hAnsi="ＭＳ 明朝" w:cs="ＭＳ 明朝"/>
          <w:color w:val="000000" w:themeColor="text1"/>
        </w:rPr>
        <w:tab/>
        <w:t xml:space="preserve">さらに、代理計画よりも支援計画が優先される。被保護者が代理制度の対象となるのは、単に既定事項としてである。代理の場合、管理者は、その職務の過程において、被保護者がいずれかの宣言において定めた原則を尊重し、かつ、その職務の遂行に可能な限り被保護者を関与させなければならない。管理者は、被保護者と定期的に、2019 年以降は少なくとも年に 1 回協議しなければならない。管理者は、特別な場合を除き、被保護者に対し、管理者が行っている行為を通知しなければならない。最後に、被保護者が信頼できると認めている者（trusted </w:t>
      </w:r>
      <w:r>
        <w:rPr>
          <w:rFonts w:ascii="ＭＳ 明朝" w:eastAsia="ＭＳ 明朝" w:hAnsi="ＭＳ 明朝" w:cs="ＭＳ 明朝"/>
          <w:color w:val="000000"/>
        </w:rPr>
        <w:t>person）は、被保護者の意思を伝えるために、または被保護者がそれを行うことができない場合に意見を述べるために、被保護者を支援することができる。</w:t>
      </w:r>
    </w:p>
    <w:p w14:paraId="000000AB"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事前質問事項のパラグラフ11（c）への回答</w:t>
      </w:r>
    </w:p>
    <w:p w14:paraId="000000A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107.</w:t>
      </w:r>
      <w:r>
        <w:rPr>
          <w:rFonts w:ascii="ＭＳ 明朝" w:eastAsia="ＭＳ 明朝" w:hAnsi="ＭＳ 明朝" w:cs="ＭＳ 明朝"/>
          <w:color w:val="000000"/>
        </w:rPr>
        <w:tab/>
        <w:t>2014年、治安判事・警察裁判所判事連合と3つの大学は、司法・社会サービス部門を対象に2013年3月17日法に関する午後の勉強会（afternoon study）を開催した。さらに2015年には、ボードワン国王財団、ベルギー王立公証人財団、連邦司法公共サービスによって、実際の手続きを解説するためのパンフレットが作成された。</w:t>
      </w:r>
    </w:p>
    <w:p w14:paraId="000000A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108.</w:t>
      </w:r>
      <w:r>
        <w:rPr>
          <w:rFonts w:ascii="ＭＳ 明朝" w:eastAsia="ＭＳ 明朝" w:hAnsi="ＭＳ 明朝" w:cs="ＭＳ 明朝"/>
          <w:color w:val="000000"/>
        </w:rPr>
        <w:tab/>
        <w:t xml:space="preserve">2019年、司法研修所により、成人無能力者（adults with incapacity）に関する研修に加え、「精神疾患者の個人保護」と題する研修が実施された。 </w:t>
      </w:r>
    </w:p>
    <w:p w14:paraId="000000AE"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37" w:name="_heading=h.czri6z3pk2xa" w:colFirst="0" w:colLast="0"/>
      <w:bookmarkEnd w:id="37"/>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司法へのアクセス（第13条）</w:t>
      </w:r>
    </w:p>
    <w:p w14:paraId="000000AF"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38" w:name="_heading=h.26x6ai34dgeo" w:colFirst="0" w:colLast="0"/>
      <w:bookmarkEnd w:id="38"/>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事前質問事項のパラグラフ12（a）への回答</w:t>
      </w:r>
    </w:p>
    <w:p w14:paraId="000000B0" w14:textId="77777777" w:rsidR="0097565A" w:rsidRDefault="00400FB1">
      <w:pPr>
        <w:pBdr>
          <w:top w:val="nil"/>
          <w:left w:val="nil"/>
          <w:bottom w:val="nil"/>
          <w:right w:val="nil"/>
          <w:between w:val="nil"/>
        </w:pBdr>
        <w:tabs>
          <w:tab w:val="left" w:pos="1701"/>
          <w:tab w:val="left" w:pos="2268"/>
          <w:tab w:val="left" w:pos="1504"/>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109.</w:t>
      </w:r>
      <w:r>
        <w:rPr>
          <w:rFonts w:ascii="ＭＳ 明朝" w:eastAsia="ＭＳ 明朝" w:hAnsi="ＭＳ 明朝" w:cs="ＭＳ 明朝"/>
          <w:color w:val="000000"/>
        </w:rPr>
        <w:tab/>
        <w:t>反差別法に関する義務研修は、司法修習生の義務初任研修の一環として、</w:t>
      </w:r>
      <w:proofErr w:type="spellStart"/>
      <w:r>
        <w:rPr>
          <w:rFonts w:ascii="ＭＳ 明朝" w:eastAsia="ＭＳ 明朝" w:hAnsi="ＭＳ 明朝" w:cs="ＭＳ 明朝"/>
          <w:color w:val="000000"/>
        </w:rPr>
        <w:t>Unia</w:t>
      </w:r>
      <w:proofErr w:type="spellEnd"/>
      <w:r>
        <w:rPr>
          <w:rFonts w:ascii="ＭＳ 明朝" w:eastAsia="ＭＳ 明朝" w:hAnsi="ＭＳ 明朝" w:cs="ＭＳ 明朝"/>
          <w:color w:val="000000"/>
        </w:rPr>
        <w:t xml:space="preserve">（連邦間機会均等センター）と男女平等機構(Institute for Equality between Women and Men)の協力のもと、毎年開催されている。この研修では、民事および刑事における障害を理由とする差別と、合理的配慮の概念についてとりあげる。差別と憎悪犯罪に関する専門研修コースも2015年と2017年に開催され、このような事件を扱うために特別に任命された検察官を対象に、より具体的な問題を扱っている。司法研修所のカリキュラムには、「メンタルヘルス問題や依存症を抱える人々へのアプローチ」と題された新しい単元が導入された。 </w:t>
      </w:r>
    </w:p>
    <w:p w14:paraId="000000B1"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事前質問事項のパラグラフ12（b）への回答</w:t>
      </w:r>
    </w:p>
    <w:p w14:paraId="000000B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110.</w:t>
      </w:r>
      <w:r>
        <w:rPr>
          <w:rFonts w:ascii="ＭＳ 明朝" w:eastAsia="ＭＳ 明朝" w:hAnsi="ＭＳ 明朝" w:cs="ＭＳ 明朝"/>
          <w:color w:val="000000"/>
        </w:rPr>
        <w:tab/>
        <w:t>刑務所管理局は、障害のある受刑者の困難に気を配り、彼らのニーズに応じて、彼らに関係する法的手続きに関与できるよう、あらゆる適切な措置を講じている。そのために、特別な支援が用意されることもある。</w:t>
      </w:r>
    </w:p>
    <w:p w14:paraId="000000B3"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i/>
          <w:iCs/>
          <w:color w:val="000000"/>
        </w:rPr>
      </w:pPr>
      <w:r>
        <w:rPr>
          <w:rFonts w:ascii="ＭＳ 明朝" w:eastAsia="ＭＳ 明朝" w:hAnsi="ＭＳ 明朝" w:cs="ＭＳ 明朝"/>
          <w:i/>
          <w:iCs/>
          <w:color w:val="000000"/>
        </w:rPr>
        <w:tab/>
      </w:r>
      <w:r>
        <w:rPr>
          <w:rFonts w:ascii="ＭＳ 明朝" w:eastAsia="ＭＳ 明朝" w:hAnsi="ＭＳ 明朝" w:cs="ＭＳ 明朝"/>
          <w:i/>
          <w:iCs/>
          <w:color w:val="000000"/>
        </w:rPr>
        <w:tab/>
        <w:t xml:space="preserve">個別の支援措置 </w:t>
      </w:r>
    </w:p>
    <w:p w14:paraId="000000B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111.</w:t>
      </w:r>
      <w:r>
        <w:rPr>
          <w:rFonts w:ascii="ＭＳ 明朝" w:eastAsia="ＭＳ 明朝" w:hAnsi="ＭＳ 明朝" w:cs="ＭＳ 明朝"/>
          <w:color w:val="000000"/>
        </w:rPr>
        <w:tab/>
        <w:t>フラマン語共同体では、フラマン障害者庁が、障害があると想定される受刑者に適応した心理社会的カウンセリングやデイタイムの活動という形のプロジェクトに資金を提供している。このプロジェクトは、ケアチーム、心理社会的サービス、刑務所の職員、その他の刑務所の支援に関わる関係者との協力関係の構築を中心的な課題としている。また、基礎的な法的支援の一環としての補完的措置も提供されている。刑罰や措置の対象者は、すべからく、必要なカウンセリングや支援を受けることができる。</w:t>
      </w:r>
    </w:p>
    <w:p w14:paraId="000000B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112.</w:t>
      </w:r>
      <w:r>
        <w:rPr>
          <w:rFonts w:ascii="ＭＳ 明朝" w:eastAsia="ＭＳ 明朝" w:hAnsi="ＭＳ 明朝" w:cs="ＭＳ 明朝"/>
          <w:color w:val="000000"/>
        </w:rPr>
        <w:tab/>
        <w:t xml:space="preserve">ワロン地域では、ワロン保健・社会保護・障害・家族局は、レ・マロニエール地域精神医療センターと協力して、精神科病院に収容されている患者への様々なサービスの「門戸開放」を目的として、障害者部門向けに精神保健問題に関する研修日を設けている。さらに、障害者部門と施設ケア部門との連携を強化し、患者の生活環境を最適化するために、患者を支援し、ネットワークを構築するための取り組みが続けられている。その目的は、彼らが社会防衛システムに再統合され（訳注　再び刑罰対象となること）、汚名を着せられることを防ぎ、新たなパートナーの意識を高めることである。2017年、ワロン地域は受刑者の健康、メンタルヘルス、依存症の状況を検証し、それを踏まえた勧告を行う決議を採択した。 </w:t>
      </w:r>
    </w:p>
    <w:p w14:paraId="000000B6"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事前質問事項のパラグラフ12（c）への回答</w:t>
      </w:r>
    </w:p>
    <w:p w14:paraId="000000B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113.</w:t>
      </w:r>
      <w:r>
        <w:rPr>
          <w:rFonts w:ascii="ＭＳ 明朝" w:eastAsia="ＭＳ 明朝" w:hAnsi="ＭＳ 明朝" w:cs="ＭＳ 明朝"/>
          <w:color w:val="000000"/>
        </w:rPr>
        <w:tab/>
        <w:t>障害のある人の法的手続きへのアクセスは促進されている。この援助は、生計手段が十分でない人（失業手当を受給している障害のある人が該当すると解釈される）には無料で提供される。さらに、憲法裁判所は、この援助の受給者が弁護士を選任するときに金銭的な負担が必要となるという要件を撤廃した。</w:t>
      </w:r>
    </w:p>
    <w:p w14:paraId="000000B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114.</w:t>
      </w:r>
      <w:r>
        <w:rPr>
          <w:rFonts w:ascii="ＭＳ 明朝" w:eastAsia="ＭＳ 明朝" w:hAnsi="ＭＳ 明朝" w:cs="ＭＳ 明朝"/>
          <w:color w:val="000000"/>
        </w:rPr>
        <w:tab/>
        <w:t>すべての裁判所は、審理中に通訳を無料で利用できることを保証している。当事者はまた、自身にとって最も会話に慣れている人からの追加的な援助を受ける権利がある。視覚障害のある人は、被告人となった場合に公正な裁判を受ける権利や被害当事者としての権利を行使するために不可欠な文書の点訳を無料で入手する権利を有する。</w:t>
      </w:r>
    </w:p>
    <w:p w14:paraId="000000B9" w14:textId="4521736D"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115.</w:t>
      </w:r>
      <w:r>
        <w:rPr>
          <w:rFonts w:ascii="ＭＳ 明朝" w:eastAsia="ＭＳ 明朝" w:hAnsi="ＭＳ 明朝" w:cs="ＭＳ 明朝"/>
          <w:color w:val="000000"/>
        </w:rPr>
        <w:tab/>
        <w:t>最後に、通訳・翻訳サービスの質は、公認の翻訳者、通訳者、翻訳通訳者の全国登録簿を作成し、管理する最近の法律によって保証されている。その登録簿のデータベースに登録されている12人の通訳者は、手話</w:t>
      </w:r>
      <w:r w:rsidR="00714498">
        <w:rPr>
          <w:rFonts w:ascii="ＭＳ 明朝" w:eastAsia="ＭＳ 明朝" w:hAnsi="ＭＳ 明朝" w:cs="ＭＳ 明朝" w:hint="eastAsia"/>
          <w:color w:val="000000"/>
        </w:rPr>
        <w:t>言語</w:t>
      </w:r>
      <w:r>
        <w:rPr>
          <w:rFonts w:ascii="ＭＳ 明朝" w:eastAsia="ＭＳ 明朝" w:hAnsi="ＭＳ 明朝" w:cs="ＭＳ 明朝"/>
          <w:color w:val="000000"/>
        </w:rPr>
        <w:t>に堪能であることを表明している。そのうちの1人は、点字からフランス語、フランス語から点字への翻訳者として登録されている。2017年以降、法廷における翻訳者と通訳者の仕事に対する料金表には、点字と手話</w:t>
      </w:r>
      <w:r w:rsidR="00714498">
        <w:rPr>
          <w:rFonts w:ascii="ＭＳ 明朝" w:eastAsia="ＭＳ 明朝" w:hAnsi="ＭＳ 明朝" w:cs="ＭＳ 明朝" w:hint="eastAsia"/>
          <w:color w:val="000000"/>
        </w:rPr>
        <w:t>言語</w:t>
      </w:r>
      <w:r>
        <w:rPr>
          <w:rFonts w:ascii="ＭＳ 明朝" w:eastAsia="ＭＳ 明朝" w:hAnsi="ＭＳ 明朝" w:cs="ＭＳ 明朝"/>
          <w:color w:val="000000"/>
        </w:rPr>
        <w:t>の一律料金が明示されている。</w:t>
      </w:r>
    </w:p>
    <w:p w14:paraId="000000BA" w14:textId="1CE54212"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116.</w:t>
      </w:r>
      <w:r>
        <w:rPr>
          <w:rFonts w:ascii="ＭＳ 明朝" w:eastAsia="ＭＳ 明朝" w:hAnsi="ＭＳ 明朝" w:cs="ＭＳ 明朝"/>
          <w:color w:val="000000"/>
        </w:rPr>
        <w:tab/>
        <w:t>最近制定された2つの法律により、刑事訴訟手続きにおける聴覚障害のある人または言語障害のある人への支援も成文化され、強化された。彼らは、自由を奪われた場合、審理中に通訳の援助を無料で受け、法律顧問と事前に個人的に相談する権利を有する。自由を奪われた人が最初に取り調べを受けた時点から弁護士を利用できるようにするため、警察は手話</w:t>
      </w:r>
      <w:r w:rsidR="00714498">
        <w:rPr>
          <w:rFonts w:ascii="ＭＳ 明朝" w:eastAsia="ＭＳ 明朝" w:hAnsi="ＭＳ 明朝" w:cs="ＭＳ 明朝" w:hint="eastAsia"/>
          <w:color w:val="000000"/>
        </w:rPr>
        <w:t>言語</w:t>
      </w:r>
      <w:r>
        <w:rPr>
          <w:rFonts w:ascii="ＭＳ 明朝" w:eastAsia="ＭＳ 明朝" w:hAnsi="ＭＳ 明朝" w:cs="ＭＳ 明朝"/>
          <w:color w:val="000000"/>
        </w:rPr>
        <w:t>を話す弁護士をリスト化している</w:t>
      </w:r>
      <w:proofErr w:type="spellStart"/>
      <w:r>
        <w:rPr>
          <w:rFonts w:ascii="ＭＳ 明朝" w:eastAsia="ＭＳ 明朝" w:hAnsi="ＭＳ 明朝" w:cs="ＭＳ 明朝"/>
          <w:color w:val="000000"/>
        </w:rPr>
        <w:t>Salduz</w:t>
      </w:r>
      <w:proofErr w:type="spellEnd"/>
      <w:r>
        <w:rPr>
          <w:rFonts w:ascii="ＭＳ 明朝" w:eastAsia="ＭＳ 明朝" w:hAnsi="ＭＳ 明朝" w:cs="ＭＳ 明朝"/>
          <w:color w:val="000000"/>
        </w:rPr>
        <w:t xml:space="preserve">アプリケーションを使用しなければならない。 </w:t>
      </w:r>
    </w:p>
    <w:p w14:paraId="000000BB" w14:textId="141D5110"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117.</w:t>
      </w:r>
      <w:r>
        <w:rPr>
          <w:rFonts w:ascii="ＭＳ 明朝" w:eastAsia="ＭＳ 明朝" w:hAnsi="ＭＳ 明朝" w:cs="ＭＳ 明朝"/>
          <w:color w:val="000000"/>
        </w:rPr>
        <w:tab/>
        <w:t>フラマン語共同体では、ほとんどの共同司法センターは障害のある人が利用できる。センターの法律補助員は，手話</w:t>
      </w:r>
      <w:r w:rsidR="00714498">
        <w:rPr>
          <w:rFonts w:ascii="ＭＳ 明朝" w:eastAsia="ＭＳ 明朝" w:hAnsi="ＭＳ 明朝" w:cs="ＭＳ 明朝" w:hint="eastAsia"/>
          <w:color w:val="000000"/>
        </w:rPr>
        <w:t>言語</w:t>
      </w:r>
      <w:r>
        <w:rPr>
          <w:rFonts w:ascii="ＭＳ 明朝" w:eastAsia="ＭＳ 明朝" w:hAnsi="ＭＳ 明朝" w:cs="ＭＳ 明朝"/>
          <w:color w:val="000000"/>
        </w:rPr>
        <w:t>通訳のサービスを依頼することができる。</w:t>
      </w:r>
    </w:p>
    <w:p w14:paraId="000000BC" w14:textId="7A427E7A"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118.</w:t>
      </w:r>
      <w:r>
        <w:rPr>
          <w:rFonts w:ascii="ＭＳ 明朝" w:eastAsia="ＭＳ 明朝" w:hAnsi="ＭＳ 明朝" w:cs="ＭＳ 明朝"/>
          <w:color w:val="000000"/>
        </w:rPr>
        <w:tab/>
        <w:t>ワロン地域では、法律補助員はワロンろう者通訳サービスに許可を求め、連邦司法公共サービスによって認定された専門サービス提供者に、フランス語圏ベルギー手話（French speaking Belgian sign language）を使用する</w:t>
      </w:r>
      <w:r w:rsidR="00714498">
        <w:rPr>
          <w:rFonts w:ascii="ＭＳ 明朝" w:eastAsia="ＭＳ 明朝" w:hAnsi="ＭＳ 明朝" w:cs="ＭＳ 明朝" w:hint="eastAsia"/>
          <w:color w:val="000000"/>
        </w:rPr>
        <w:t>ろう者</w:t>
      </w:r>
      <w:r>
        <w:rPr>
          <w:rFonts w:ascii="ＭＳ 明朝" w:eastAsia="ＭＳ 明朝" w:hAnsi="ＭＳ 明朝" w:cs="ＭＳ 明朝"/>
          <w:color w:val="000000"/>
        </w:rPr>
        <w:t>との意思疎通を円滑にするよう委託することができる。その人が他の手話言語を使う場合、2人の通訳者（1人はろう者で国際手話</w:t>
      </w:r>
      <w:r w:rsidR="00714498">
        <w:rPr>
          <w:rFonts w:ascii="ＭＳ 明朝" w:eastAsia="ＭＳ 明朝" w:hAnsi="ＭＳ 明朝" w:cs="ＭＳ 明朝" w:hint="eastAsia"/>
          <w:color w:val="000000"/>
        </w:rPr>
        <w:t>言語</w:t>
      </w:r>
      <w:r>
        <w:rPr>
          <w:rFonts w:ascii="ＭＳ 明朝" w:eastAsia="ＭＳ 明朝" w:hAnsi="ＭＳ 明朝" w:cs="ＭＳ 明朝"/>
          <w:color w:val="000000"/>
        </w:rPr>
        <w:t>を使う）も利用できる。</w:t>
      </w:r>
    </w:p>
    <w:p w14:paraId="000000B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119.</w:t>
      </w:r>
      <w:r>
        <w:rPr>
          <w:rFonts w:ascii="ＭＳ 明朝" w:eastAsia="ＭＳ 明朝" w:hAnsi="ＭＳ 明朝" w:cs="ＭＳ 明朝"/>
          <w:color w:val="000000"/>
        </w:rPr>
        <w:tab/>
        <w:t xml:space="preserve">ブリュッセルでは、フランス語共同体委員会がコミュニケーション・通訳支援サービスを承認し、助成金を提供している。これは、手話言語通訳者または口述筆記者の同席により、健聴者とろう者のコミュニケーションを促進するためのものである。 </w:t>
      </w:r>
    </w:p>
    <w:p w14:paraId="000000BE"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39" w:name="_heading=h.ezy7199jh7ol" w:colFirst="0" w:colLast="0"/>
      <w:bookmarkEnd w:id="39"/>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身体の自由と安全（第14条）</w:t>
      </w:r>
    </w:p>
    <w:p w14:paraId="000000BF"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40" w:name="_heading=h.twx0cjy4g9w1" w:colFirst="0" w:colLast="0"/>
      <w:bookmarkEnd w:id="40"/>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事前質問事項のパラグラフ13への回答</w:t>
      </w:r>
    </w:p>
    <w:p w14:paraId="000000C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120.</w:t>
      </w:r>
      <w:r>
        <w:rPr>
          <w:rFonts w:ascii="ＭＳ 明朝" w:eastAsia="ＭＳ 明朝" w:hAnsi="ＭＳ 明朝" w:cs="ＭＳ 明朝"/>
          <w:color w:val="000000"/>
        </w:rPr>
        <w:tab/>
        <w:t>患者には、治療に対する十分な情報に基づく自由意思による同意の権利がある。精神障害のある人への自由の剥奪を伴う措置の使用は厳しく規制される。</w:t>
      </w:r>
      <w:r>
        <w:rPr>
          <w:rFonts w:ascii="ＭＳ 明朝" w:eastAsia="ＭＳ 明朝" w:hAnsi="ＭＳ 明朝" w:cs="ＭＳ 明朝"/>
          <w:color w:val="000000"/>
        </w:rPr>
        <w:tab/>
      </w:r>
    </w:p>
    <w:p w14:paraId="000000C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121.</w:t>
      </w:r>
      <w:r>
        <w:rPr>
          <w:rFonts w:ascii="ＭＳ 明朝" w:eastAsia="ＭＳ 明朝" w:hAnsi="ＭＳ 明朝" w:cs="ＭＳ 明朝"/>
          <w:color w:val="000000"/>
        </w:rPr>
        <w:tab/>
        <w:t xml:space="preserve">精神病院への収容に関して、2014年5月5日の法律が大幅に改正された。これまでの法律と同様、障害や精神障害を理由とする自由の剥奪は決して認められない。裁判官は、収容への法的条件が満たされた場合にのみ収容を決定することができ、この措置が自動的に自由の剥奪を伴うことはない。同法は、収容の目的は社会の保護と収容された者の社会復帰であるとし、そのためにとるべき処遇の方針を定めている。今後は、身体的または精神的な危害を与えた犯罪や罪のみが収容の理由となる。さらに、最初の診断を確定するためには、共同鑑定が必要である。これは犯罪精神科医の責任によって実施される。鑑定を受ける人は、自分で選んだひとりの医師とひとりの弁護士の支援を受けて、法律の専門家に書面で意見を伝える権利を持つ。最終的には、常設の社会保護部門が設置され、収容された患者を見守る唯一の責任を負っている。 </w:t>
      </w:r>
    </w:p>
    <w:p w14:paraId="000000C2" w14:textId="29DF2BD1"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122.</w:t>
      </w:r>
      <w:r>
        <w:rPr>
          <w:rFonts w:ascii="ＭＳ 明朝" w:eastAsia="ＭＳ 明朝" w:hAnsi="ＭＳ 明朝" w:cs="ＭＳ 明朝"/>
          <w:color w:val="000000"/>
        </w:rPr>
        <w:tab/>
        <w:t>収容の決定の執行に関して、関連する部門は、原則として、その決定から3ヶ月以内に、施設の指定による入所、または収容の執行命令の付与のいずれかを決定しなければならない。被収容者の状況は、法律で定められた一定期間ごとに再審査される。その結果、収容は現在のところ流動的なプロセスとみなされている。社会保護部門は、指示された処遇</w:t>
      </w:r>
      <w:r w:rsidR="001246D2">
        <w:rPr>
          <w:rFonts w:ascii="ＭＳ 明朝" w:eastAsia="ＭＳ 明朝" w:hAnsi="ＭＳ 明朝" w:cs="ＭＳ 明朝" w:hint="eastAsia"/>
          <w:color w:val="000000"/>
        </w:rPr>
        <w:t>方法</w:t>
      </w:r>
      <w:r>
        <w:rPr>
          <w:rFonts w:ascii="ＭＳ 明朝" w:eastAsia="ＭＳ 明朝" w:hAnsi="ＭＳ 明朝" w:cs="ＭＳ 明朝"/>
          <w:color w:val="000000"/>
        </w:rPr>
        <w:t xml:space="preserve">について意見を述べることはない。 </w:t>
      </w:r>
    </w:p>
    <w:p w14:paraId="000000C3" w14:textId="3B0E7AFA"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123.</w:t>
      </w:r>
      <w:r>
        <w:rPr>
          <w:rFonts w:ascii="ＭＳ 明朝" w:eastAsia="ＭＳ 明朝" w:hAnsi="ＭＳ 明朝" w:cs="ＭＳ 明朝"/>
          <w:color w:val="000000"/>
        </w:rPr>
        <w:tab/>
      </w:r>
      <w:r w:rsidR="001246D2">
        <w:rPr>
          <w:rFonts w:ascii="ＭＳ 明朝" w:eastAsia="ＭＳ 明朝" w:hAnsi="ＭＳ 明朝" w:cs="ＭＳ 明朝" w:hint="eastAsia"/>
          <w:color w:val="000000"/>
        </w:rPr>
        <w:t>（訳注　裁判官の決定による）</w:t>
      </w:r>
      <w:r>
        <w:rPr>
          <w:rFonts w:ascii="ＭＳ 明朝" w:eastAsia="ＭＳ 明朝" w:hAnsi="ＭＳ 明朝" w:cs="ＭＳ 明朝"/>
          <w:color w:val="000000"/>
        </w:rPr>
        <w:t xml:space="preserve">収容に加えて、精神障害のある人の保護に関する法律に基づいて、本人または利害関係者の要請により、精神障害の入院治療を行うことができる。この保護措置に関する条件は非常に厳しい。入院治療は、観察と継続治療の2段階に分けられる。条件が整えば、自宅での治療も可能とされる。手続きは、治安判事の同席または監督の下で行われる。2017年2月20日の法律に基づいて、判事の同席または監督の義務の対象は近親者にも拡大された。同様に、この法律は、観察からアフターケアに至るまで、被収容者に関するすべての決定を近親者に通知することを義務付けている。 </w:t>
      </w:r>
    </w:p>
    <w:p w14:paraId="000000C4"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41" w:name="_heading=h.4qpnd8vbuaqc" w:colFirst="0" w:colLast="0"/>
      <w:bookmarkEnd w:id="41"/>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事前質問事項のパラグラフ14への回答</w:t>
      </w:r>
    </w:p>
    <w:p w14:paraId="000000C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124.</w:t>
      </w:r>
      <w:r>
        <w:rPr>
          <w:rFonts w:ascii="ＭＳ 明朝" w:eastAsia="ＭＳ 明朝" w:hAnsi="ＭＳ 明朝" w:cs="ＭＳ 明朝"/>
          <w:color w:val="000000"/>
        </w:rPr>
        <w:tab/>
        <w:t>ベルギーはその国内法の枠組みに従い、生物学と医学の応用に関する人権と尊厳の保護に関する条約（オビエド条約）の追加議定書草案、特に少なくとも2018年5月に欧州評議会生命倫理委員会に提出されたバージョンを支持しない。ベルギーは、この議定書草案が、代替措置や患者と専門家の対話を促進することによってそのような行為の制限を促すのではなく、非自発的治療を合法化する危険性があると理解している。ベルギーはまた、このような行為の使用を確実に抑制するにはあまりにも曖昧に思える議定書草案の視座についても、多くの懸念を抱いている。</w:t>
      </w:r>
    </w:p>
    <w:p w14:paraId="000000C6"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拷問または残虐な、非人道的な、もしくは品位を傷つけるような待遇や刑罰からの自由（第15条）</w:t>
      </w:r>
    </w:p>
    <w:p w14:paraId="000000C7"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事前質問事項のパラグラフ15への回答</w:t>
      </w:r>
    </w:p>
    <w:p w14:paraId="000000C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b/>
          <w:bCs/>
          <w:color w:val="000000"/>
        </w:rPr>
      </w:pPr>
      <w:r>
        <w:rPr>
          <w:rFonts w:ascii="ＭＳ 明朝" w:eastAsia="ＭＳ 明朝" w:hAnsi="ＭＳ 明朝" w:cs="ＭＳ 明朝"/>
          <w:color w:val="000000"/>
        </w:rPr>
        <w:t>125.</w:t>
      </w:r>
      <w:r>
        <w:rPr>
          <w:rFonts w:ascii="ＭＳ 明朝" w:eastAsia="ＭＳ 明朝" w:hAnsi="ＭＳ 明朝" w:cs="ＭＳ 明朝"/>
          <w:color w:val="000000"/>
        </w:rPr>
        <w:tab/>
        <w:t>ベルギーは、拘束の使用を完全になくすことは、現在のところ不可能であると考えている。拘束の使用が、安全で健全な事故管理を保証する唯一の方法である場合があるためである。その一方で、拘束を避け、例外的なケースに限定すること、また、拘束が必要な場合には、虐待から当事者を守るためにその手順を監視することが、こうした人々を収容するすべての組織の優先事項であるとも考えている</w:t>
      </w:r>
    </w:p>
    <w:p w14:paraId="000000C9" w14:textId="474E0458" w:rsidR="0097565A" w:rsidRDefault="00400FB1" w:rsidP="00717DC3">
      <w:pPr>
        <w:pBdr>
          <w:top w:val="nil"/>
          <w:left w:val="nil"/>
          <w:bottom w:val="nil"/>
          <w:right w:val="nil"/>
          <w:between w:val="nil"/>
        </w:pBdr>
        <w:tabs>
          <w:tab w:val="left" w:pos="1134"/>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126.</w:t>
      </w:r>
      <w:r>
        <w:rPr>
          <w:rFonts w:ascii="ＭＳ 明朝" w:eastAsia="ＭＳ 明朝" w:hAnsi="ＭＳ 明朝" w:cs="ＭＳ 明朝"/>
          <w:color w:val="000000"/>
        </w:rPr>
        <w:tab/>
        <w:t>拘束の使用は</w:t>
      </w:r>
      <w:r w:rsidRPr="00913A0A">
        <w:rPr>
          <w:rFonts w:ascii="ＭＳ 明朝" w:eastAsia="ＭＳ 明朝" w:hAnsi="ＭＳ 明朝" w:cs="ＭＳ 明朝"/>
          <w:color w:val="000000"/>
        </w:rPr>
        <w:t>、</w:t>
      </w:r>
      <w:r w:rsidR="00717DC3" w:rsidRPr="00913A0A">
        <w:rPr>
          <w:rFonts w:ascii="ＭＳ 明朝" w:eastAsia="ＭＳ 明朝" w:hAnsi="ＭＳ 明朝" w:cs="ＭＳ 明朝" w:hint="eastAsia"/>
          <w:color w:val="000000"/>
        </w:rPr>
        <w:t>相応</w:t>
      </w:r>
      <w:r w:rsidRPr="00913A0A">
        <w:rPr>
          <w:rFonts w:ascii="ＭＳ 明朝" w:eastAsia="ＭＳ 明朝" w:hAnsi="ＭＳ 明朝" w:cs="ＭＳ 明朝"/>
          <w:color w:val="000000"/>
        </w:rPr>
        <w:t>性</w:t>
      </w:r>
      <w:r w:rsidR="00717DC3" w:rsidRPr="00913A0A">
        <w:rPr>
          <w:rFonts w:ascii="ＭＳ 明朝" w:eastAsia="ＭＳ 明朝" w:hAnsi="ＭＳ 明朝" w:cs="ＭＳ 明朝" w:hint="eastAsia"/>
          <w:color w:val="000000"/>
        </w:rPr>
        <w:t>（</w:t>
      </w:r>
      <w:r w:rsidR="00717DC3" w:rsidRPr="00913A0A">
        <w:rPr>
          <w:rFonts w:ascii="ＭＳ 明朝" w:eastAsia="ＭＳ 明朝" w:hAnsi="ＭＳ 明朝" w:cs="ＭＳ 明朝"/>
          <w:color w:val="000000"/>
        </w:rPr>
        <w:t>proportionality</w:t>
      </w:r>
      <w:r w:rsidR="00717DC3" w:rsidRPr="00913A0A">
        <w:rPr>
          <w:rFonts w:ascii="ＭＳ 明朝" w:eastAsia="ＭＳ 明朝" w:hAnsi="ＭＳ 明朝" w:cs="ＭＳ 明朝" w:hint="eastAsia"/>
          <w:color w:val="000000"/>
        </w:rPr>
        <w:t>）</w:t>
      </w:r>
      <w:r w:rsidRPr="00913A0A">
        <w:rPr>
          <w:rFonts w:ascii="ＭＳ 明朝" w:eastAsia="ＭＳ 明朝" w:hAnsi="ＭＳ 明朝" w:cs="ＭＳ 明朝"/>
          <w:color w:val="000000"/>
        </w:rPr>
        <w:t>、補</w:t>
      </w:r>
      <w:r>
        <w:rPr>
          <w:rFonts w:ascii="ＭＳ 明朝" w:eastAsia="ＭＳ 明朝" w:hAnsi="ＭＳ 明朝" w:cs="ＭＳ 明朝"/>
          <w:color w:val="000000"/>
        </w:rPr>
        <w:t>完性、合法性の原則といった手続き上の保護措置に基づいている。</w:t>
      </w:r>
    </w:p>
    <w:p w14:paraId="000000CA" w14:textId="00513C2B"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127.</w:t>
      </w:r>
      <w:r>
        <w:rPr>
          <w:rFonts w:ascii="ＭＳ 明朝" w:eastAsia="ＭＳ 明朝" w:hAnsi="ＭＳ 明朝" w:cs="ＭＳ 明朝"/>
          <w:color w:val="000000"/>
        </w:rPr>
        <w:tab/>
        <w:t>ベルギーは、国際的なレベルを含めて</w:t>
      </w:r>
      <w:r w:rsidR="001246D2">
        <w:rPr>
          <w:rFonts w:ascii="ＭＳ 明朝" w:eastAsia="ＭＳ 明朝" w:hAnsi="ＭＳ 明朝" w:cs="ＭＳ 明朝" w:hint="eastAsia"/>
          <w:color w:val="000000"/>
        </w:rPr>
        <w:t>、</w:t>
      </w:r>
      <w:r>
        <w:rPr>
          <w:rFonts w:ascii="ＭＳ 明朝" w:eastAsia="ＭＳ 明朝" w:hAnsi="ＭＳ 明朝" w:cs="ＭＳ 明朝"/>
          <w:color w:val="000000"/>
        </w:rPr>
        <w:t>拘束の使用をさらに制限し、あるいは廃止すらする可能性のある、今後の動向に引き続き注目する。</w:t>
      </w:r>
    </w:p>
    <w:p w14:paraId="000000C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128.</w:t>
      </w:r>
      <w:r>
        <w:rPr>
          <w:rFonts w:ascii="ＭＳ 明朝" w:eastAsia="ＭＳ 明朝" w:hAnsi="ＭＳ 明朝" w:cs="ＭＳ 明朝"/>
          <w:color w:val="000000"/>
        </w:rPr>
        <w:tab/>
        <w:t>さらに、連邦レベルの機関でも様々な取り組みが行われている。</w:t>
      </w:r>
    </w:p>
    <w:p w14:paraId="000000C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42" w:name="_heading=h.tclg93r7kmdi" w:colFirst="0" w:colLast="0"/>
      <w:bookmarkEnd w:id="42"/>
      <w:r>
        <w:rPr>
          <w:rFonts w:ascii="ＭＳ 明朝" w:eastAsia="ＭＳ 明朝" w:hAnsi="ＭＳ 明朝" w:cs="ＭＳ 明朝"/>
          <w:color w:val="000000"/>
        </w:rPr>
        <w:t>129.</w:t>
      </w:r>
      <w:r>
        <w:rPr>
          <w:rFonts w:ascii="ＭＳ 明朝" w:eastAsia="ＭＳ 明朝" w:hAnsi="ＭＳ 明朝" w:cs="ＭＳ 明朝"/>
          <w:color w:val="000000"/>
        </w:rPr>
        <w:tab/>
        <w:t xml:space="preserve">フラマン語共同体は、病院と協力して、未成年者の自由に対する制限を最小限にするための持続可能な枠組みを作成することを約束し、そのための措置はすでに実行されている。 </w:t>
      </w:r>
    </w:p>
    <w:p w14:paraId="000000C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130.</w:t>
      </w:r>
      <w:r>
        <w:rPr>
          <w:rFonts w:ascii="ＭＳ 明朝" w:eastAsia="ＭＳ 明朝" w:hAnsi="ＭＳ 明朝" w:cs="ＭＳ 明朝"/>
          <w:color w:val="000000"/>
        </w:rPr>
        <w:tab/>
        <w:t xml:space="preserve">ワロン地域では、隔離に関連する勧告を実施するために、関係部局と協力して「拘束と隔離：指針と模範事例」と題するパンフレットを作成した。これは、ワロン州保健・社会保護・障害・家族局の監査・管理部門が実施する検査で取り上げられる特別な出版物である。 </w:t>
      </w:r>
    </w:p>
    <w:p w14:paraId="000000CE" w14:textId="77777777" w:rsidR="0097565A" w:rsidRDefault="00400FB1">
      <w:pPr>
        <w:pBdr>
          <w:top w:val="nil"/>
          <w:left w:val="nil"/>
          <w:bottom w:val="nil"/>
          <w:right w:val="nil"/>
          <w:between w:val="nil"/>
        </w:pBdr>
        <w:tabs>
          <w:tab w:val="left" w:pos="1701"/>
          <w:tab w:val="left" w:pos="2268"/>
          <w:tab w:val="left" w:pos="1660"/>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131.</w:t>
      </w:r>
      <w:r>
        <w:rPr>
          <w:rFonts w:ascii="ＭＳ 明朝" w:eastAsia="ＭＳ 明朝" w:hAnsi="ＭＳ 明朝" w:cs="ＭＳ 明朝"/>
          <w:color w:val="000000"/>
        </w:rPr>
        <w:tab/>
        <w:t>ブリュッセルでは、フランス語共同体委員会の障害者諮問委員会が2018年に作業部会を設置し、デイケアや入所施設における拘束に関して、人としての権利を尊重するための行動規則を制定した。</w:t>
      </w:r>
    </w:p>
    <w:p w14:paraId="000000C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132.</w:t>
      </w:r>
      <w:r>
        <w:rPr>
          <w:rFonts w:ascii="ＭＳ 明朝" w:eastAsia="ＭＳ 明朝" w:hAnsi="ＭＳ 明朝" w:cs="ＭＳ 明朝"/>
          <w:color w:val="000000"/>
        </w:rPr>
        <w:tab/>
        <w:t>ドイツ語共同体は、障害者施設を検査・監視する制度を設けている。サービス提供者と共同開発されたこのシステムは、条約の原則に基づき、あらゆる種類の拷問や残虐な、非人道的な、または品位を傷つける処遇を防止することを目的としている。さらに2014年以降、自立生活サービスには不服申し立て管理の仕組みが設けられている。</w:t>
      </w:r>
    </w:p>
    <w:p w14:paraId="000000D0"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43" w:name="_heading=h.gvfnplmoa9hd" w:colFirst="0" w:colLast="0"/>
      <w:bookmarkEnd w:id="43"/>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搾取、暴力、虐待からの自由（第16条）</w:t>
      </w:r>
    </w:p>
    <w:p w14:paraId="000000D1"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44" w:name="_heading=h.ky10kyarx088" w:colFirst="0" w:colLast="0"/>
      <w:bookmarkEnd w:id="44"/>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事前質問事項のパラグラフ16（a）への回答</w:t>
      </w:r>
    </w:p>
    <w:p w14:paraId="000000D2" w14:textId="3AD23AF3"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133.</w:t>
      </w:r>
      <w:r>
        <w:rPr>
          <w:rFonts w:ascii="ＭＳ 明朝" w:eastAsia="ＭＳ 明朝" w:hAnsi="ＭＳ 明朝" w:cs="ＭＳ 明朝"/>
          <w:color w:val="000000"/>
        </w:rPr>
        <w:tab/>
        <w:t>2018年、フラマン政府は、障害のある女性と少女への性的暴力と、その精神的・身体的影響、人間関係への影響に関する研究結果を発表した。この研究は、施設内外における彼女たちの性に関するタブーの除去、関係者の専門知識の向上、および通報率や訴追率</w:t>
      </w:r>
      <w:r w:rsidR="001246D2">
        <w:rPr>
          <w:rFonts w:ascii="ＭＳ 明朝" w:eastAsia="ＭＳ 明朝" w:hAnsi="ＭＳ 明朝" w:cs="ＭＳ 明朝" w:hint="eastAsia"/>
          <w:color w:val="000000"/>
        </w:rPr>
        <w:t>の</w:t>
      </w:r>
      <w:r>
        <w:rPr>
          <w:rFonts w:ascii="ＭＳ 明朝" w:eastAsia="ＭＳ 明朝" w:hAnsi="ＭＳ 明朝" w:cs="ＭＳ 明朝"/>
          <w:color w:val="000000"/>
        </w:rPr>
        <w:t>低</w:t>
      </w:r>
      <w:r w:rsidR="001246D2">
        <w:rPr>
          <w:rFonts w:ascii="ＭＳ 明朝" w:eastAsia="ＭＳ 明朝" w:hAnsi="ＭＳ 明朝" w:cs="ＭＳ 明朝" w:hint="eastAsia"/>
          <w:color w:val="000000"/>
        </w:rPr>
        <w:t>さ</w:t>
      </w:r>
      <w:r>
        <w:rPr>
          <w:rFonts w:ascii="ＭＳ 明朝" w:eastAsia="ＭＳ 明朝" w:hAnsi="ＭＳ 明朝" w:cs="ＭＳ 明朝"/>
          <w:color w:val="000000"/>
        </w:rPr>
        <w:t xml:space="preserve">という課題の克服を目指す政策提言につながった。 </w:t>
      </w:r>
    </w:p>
    <w:p w14:paraId="000000D4" w14:textId="621DB6B8"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134.</w:t>
      </w:r>
      <w:r>
        <w:rPr>
          <w:rFonts w:ascii="ＭＳ 明朝" w:eastAsia="ＭＳ 明朝" w:hAnsi="ＭＳ 明朝" w:cs="ＭＳ 明朝"/>
          <w:color w:val="000000"/>
        </w:rPr>
        <w:tab/>
        <w:t>フランス語共同体は、障害のある女性への暴力に関する３件の研究・研修プロジェクトに資金を提供している。</w:t>
      </w:r>
    </w:p>
    <w:p w14:paraId="000000D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135.</w:t>
      </w:r>
      <w:r>
        <w:rPr>
          <w:rFonts w:ascii="ＭＳ 明朝" w:eastAsia="ＭＳ 明朝" w:hAnsi="ＭＳ 明朝" w:cs="ＭＳ 明朝"/>
          <w:color w:val="000000"/>
        </w:rPr>
        <w:tab/>
        <w:t>ワロン地域では、「適切な処遇」計画の一環として、ワロン保健・社会保護・障害・家族局が、インターネット・プラットフォームを立ち上げ、サービスの質の問題に関するノウハウと模範事例を交換・共有するためのフォーラムを用意している。このプラットフォームにより、この分野のすべての関係者、家族、団体が、委員会の勧告や見解から有益な情報を得ることができる。さらに、同庁が認可したすべての受入・宿泊サービスは、利用者を代表する利用者協議会（</w:t>
      </w:r>
      <w:proofErr w:type="spellStart"/>
      <w:r>
        <w:rPr>
          <w:rFonts w:ascii="ＭＳ 明朝" w:eastAsia="ＭＳ 明朝" w:hAnsi="ＭＳ 明朝" w:cs="ＭＳ 明朝"/>
          <w:color w:val="000000"/>
        </w:rPr>
        <w:t>users’Council</w:t>
      </w:r>
      <w:proofErr w:type="spellEnd"/>
      <w:r>
        <w:rPr>
          <w:rFonts w:ascii="ＭＳ 明朝" w:eastAsia="ＭＳ 明朝" w:hAnsi="ＭＳ 明朝" w:cs="ＭＳ 明朝"/>
          <w:color w:val="000000"/>
        </w:rPr>
        <w:t>）を設置しなければならない。</w:t>
      </w:r>
    </w:p>
    <w:p w14:paraId="000000D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136.</w:t>
      </w:r>
      <w:r>
        <w:rPr>
          <w:rFonts w:ascii="ＭＳ 明朝" w:eastAsia="ＭＳ 明朝" w:hAnsi="ＭＳ 明朝" w:cs="ＭＳ 明朝"/>
          <w:color w:val="000000"/>
        </w:rPr>
        <w:tab/>
        <w:t>また、ワロン、ワロン・ブリュッセル連盟、フランス語共同体委員会の間で、ジェンダーに基づく暴力と闘うための共同行動計画があり、これには、たとえばヘルプラインのアクセシビリティなど、障害者問題に対処するための様々な措置が含まれている。</w:t>
      </w:r>
    </w:p>
    <w:p w14:paraId="000000D7"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事前質問事項のパラグラフ16（b）への回答</w:t>
      </w:r>
    </w:p>
    <w:p w14:paraId="000000D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137.</w:t>
      </w:r>
      <w:r>
        <w:rPr>
          <w:rFonts w:ascii="ＭＳ 明朝" w:eastAsia="ＭＳ 明朝" w:hAnsi="ＭＳ 明朝" w:cs="ＭＳ 明朝"/>
          <w:color w:val="000000"/>
        </w:rPr>
        <w:tab/>
        <w:t xml:space="preserve">連邦レベルでは、証人または被害者である未成年者の聴聞に適用される特定の保障が、2019年5月5日の法律によって脆弱な大人にまで拡大された。 </w:t>
      </w:r>
    </w:p>
    <w:p w14:paraId="000000D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138.</w:t>
      </w:r>
      <w:r>
        <w:rPr>
          <w:rFonts w:ascii="ＭＳ 明朝" w:eastAsia="ＭＳ 明朝" w:hAnsi="ＭＳ 明朝" w:cs="ＭＳ 明朝"/>
          <w:color w:val="000000"/>
        </w:rPr>
        <w:tab/>
        <w:t xml:space="preserve">フラマン語共同体では、施設・機関への苦情に加え、虐待や暴力の被害者は、匿名でフラマン障害者庁に直接苦情を申し立てることができる。虐待や暴力の苦情があった場合、医療監察局が調査を行う。 </w:t>
      </w:r>
    </w:p>
    <w:p w14:paraId="000000D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139.</w:t>
      </w:r>
      <w:r>
        <w:rPr>
          <w:rFonts w:ascii="ＭＳ 明朝" w:eastAsia="ＭＳ 明朝" w:hAnsi="ＭＳ 明朝" w:cs="ＭＳ 明朝"/>
          <w:color w:val="000000"/>
        </w:rPr>
        <w:tab/>
        <w:t>ワロン地域では、ワロン保健・社会保護・障害・家族局が、施設における苦情の80％を調査・処理している。苦情申立人とサービス機関との建設的な対話の再構築に重点を置いている。また、必要に応じて是正措置を提案し、制裁を科すこともある。予防の観点から、同庁は、精神科病院を含む施設入所者の生活の質の評価を担当する質の監査員（quality auditors responsible for assessing the quality of life of people in institutions）や、「特別な取り組み」プロジェクトに従事する職員のための研修や相互学習制度を設けている。さらに、誰でもワロンとワロン・ブリュッセル連盟のオンブズマンに苦情を申し立てることができる。</w:t>
      </w:r>
    </w:p>
    <w:p w14:paraId="000000D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140.</w:t>
      </w:r>
      <w:r>
        <w:rPr>
          <w:rFonts w:ascii="ＭＳ 明朝" w:eastAsia="ＭＳ 明朝" w:hAnsi="ＭＳ 明朝" w:cs="ＭＳ 明朝"/>
          <w:color w:val="000000"/>
        </w:rPr>
        <w:tab/>
        <w:t>ブリュッセルでは、フランス語共同体委員会が、サービス提供者のケアに不満を持つ障害のある人のための包括的な苦情処理手続きを2019年に導入した。知的障害のある人が日常的に受けている支援に関する意見を収集するための手続きも設けられた。</w:t>
      </w:r>
    </w:p>
    <w:p w14:paraId="000000D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141.</w:t>
      </w:r>
      <w:r>
        <w:rPr>
          <w:rFonts w:ascii="ＭＳ 明朝" w:eastAsia="ＭＳ 明朝" w:hAnsi="ＭＳ 明朝" w:cs="ＭＳ 明朝"/>
          <w:color w:val="000000"/>
        </w:rPr>
        <w:tab/>
        <w:t>ドイツ語共同体は、施設内のサービス提供者を監視するシステムを設けている（質問15参照）。</w:t>
      </w:r>
    </w:p>
    <w:p w14:paraId="000000DD"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45" w:name="_heading=h.x1ifn6b3hin5" w:colFirst="0" w:colLast="0"/>
      <w:bookmarkEnd w:id="45"/>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個人をそのままの状態で保護する（第17条）</w:t>
      </w:r>
    </w:p>
    <w:p w14:paraId="000000D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46" w:name="_heading=h.bid8d29hdtw6" w:colFirst="0" w:colLast="0"/>
      <w:bookmarkEnd w:id="46"/>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事前質問事項のパラグラフ17への回答</w:t>
      </w:r>
    </w:p>
    <w:p w14:paraId="000000DF" w14:textId="28F78FEE"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142.</w:t>
      </w:r>
      <w:r>
        <w:rPr>
          <w:rFonts w:ascii="ＭＳ 明朝" w:eastAsia="ＭＳ 明朝" w:hAnsi="ＭＳ 明朝" w:cs="ＭＳ 明朝"/>
          <w:color w:val="000000"/>
        </w:rPr>
        <w:tab/>
        <w:t xml:space="preserve">生命倫理諮問委員会（Advisory Committee on Bioethics）と上級医療審議会（Superior Health Council）は、患者の権利に関する法律に定められた同意の自由の原則が障害のある人の不妊手術にも適用されること、不妊手術が介護者や親族の便宜のみを目的とする場合には容認されないことを繰り返し指摘してきた。障害のある人の不妊手術は例外でなければならない。個々のケースは個別に評価され、議論されなければならない。 </w:t>
      </w:r>
    </w:p>
    <w:p w14:paraId="000000E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143.　患者の権利に関するこの法律はインターセックスの人の手術にも適用される。</w:t>
      </w:r>
    </w:p>
    <w:p w14:paraId="000000E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144.</w:t>
      </w:r>
      <w:r>
        <w:rPr>
          <w:rFonts w:ascii="ＭＳ 明朝" w:eastAsia="ＭＳ 明朝" w:hAnsi="ＭＳ 明朝" w:cs="ＭＳ 明朝"/>
          <w:color w:val="000000"/>
        </w:rPr>
        <w:tab/>
        <w:t xml:space="preserve">さらに、特にインターセックス当事者とその親を対象とした一般的な支援と情報対策が、連邦政府および連合当局によって、特に同性愛嫌悪とトランスフォビック差別および暴力と闘うための連邦間行動計画の一環として、様々なルートを通じて展開されてきた。例えば、レズビアン、ゲイ、バイセクシュアル、トランスジェンダー、インターセックスに関する最新の連邦間計画(2018-2019)は、22の目標と115の施策・行動を盛り込んでおり、その実施には障害のある人特有のニーズが考慮されている。インターセックスの人々の権利を促進し、不必要な転換手術に反対するキャンペーンを行う団体も、当局から財政的支援を受けている。 </w:t>
      </w:r>
    </w:p>
    <w:p w14:paraId="000000E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145.</w:t>
      </w:r>
      <w:r>
        <w:rPr>
          <w:rFonts w:ascii="ＭＳ 明朝" w:eastAsia="ＭＳ 明朝" w:hAnsi="ＭＳ 明朝" w:cs="ＭＳ 明朝"/>
          <w:color w:val="000000"/>
        </w:rPr>
        <w:tab/>
        <w:t>さらに2015年、連邦政府とフラマン語共同体は、インターセックスの子どもとその親のケアと社会的状況に関する調査を実施した。その結果、情報ツールと支援グループ、およびケア提供者も対象とする情報・啓発プラットフォームが作られた。</w:t>
      </w:r>
    </w:p>
    <w:p w14:paraId="000000E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146.</w:t>
      </w:r>
      <w:r>
        <w:rPr>
          <w:rFonts w:ascii="ＭＳ 明朝" w:eastAsia="ＭＳ 明朝" w:hAnsi="ＭＳ 明朝" w:cs="ＭＳ 明朝"/>
          <w:color w:val="000000"/>
        </w:rPr>
        <w:tab/>
        <w:t xml:space="preserve">ワロン地域では、インターセックスの問題はまだ本格的に検討されていない。ワロン地域の規則は、レズビアン、ゲイ、バイセクシュアル、トランスジェンダーの問題を扱っているが、インターセックスの問題には触れていない。 </w:t>
      </w:r>
    </w:p>
    <w:p w14:paraId="000000E4"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47" w:name="_heading=h.olll9ahvzl6j" w:colFirst="0" w:colLast="0"/>
      <w:bookmarkEnd w:id="47"/>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自立生活と地域社会へのインクルージョン（第19条）</w:t>
      </w:r>
    </w:p>
    <w:p w14:paraId="000000E5"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48" w:name="_heading=h.mymkd4fg62ik" w:colFirst="0" w:colLast="0"/>
      <w:bookmarkEnd w:id="48"/>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事前質問事項のパラグラフ18（a）への回答</w:t>
      </w:r>
    </w:p>
    <w:p w14:paraId="000000E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b/>
          <w:bCs/>
          <w:color w:val="000000"/>
        </w:rPr>
      </w:pPr>
      <w:r>
        <w:rPr>
          <w:rFonts w:ascii="ＭＳ 明朝" w:eastAsia="ＭＳ 明朝" w:hAnsi="ＭＳ 明朝" w:cs="ＭＳ 明朝"/>
          <w:color w:val="000000"/>
        </w:rPr>
        <w:t>147.</w:t>
      </w:r>
      <w:r>
        <w:rPr>
          <w:rFonts w:ascii="ＭＳ 明朝" w:eastAsia="ＭＳ 明朝" w:hAnsi="ＭＳ 明朝" w:cs="ＭＳ 明朝"/>
          <w:color w:val="000000"/>
        </w:rPr>
        <w:tab/>
        <w:t>様々な措置が自立生活と地域社会へのインクルージョンを促進するために取られてきている。</w:t>
      </w:r>
    </w:p>
    <w:p w14:paraId="000000E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148.</w:t>
      </w:r>
      <w:r>
        <w:rPr>
          <w:rFonts w:ascii="ＭＳ 明朝" w:eastAsia="ＭＳ 明朝" w:hAnsi="ＭＳ 明朝" w:cs="ＭＳ 明朝"/>
          <w:color w:val="000000"/>
        </w:rPr>
        <w:tab/>
        <w:t>「フラマン政府2020年展望プラン」は、多くの分野で障害への新しいアプローチを取り入れている。</w:t>
      </w:r>
    </w:p>
    <w:p w14:paraId="000000E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149.</w:t>
      </w:r>
      <w:r>
        <w:rPr>
          <w:rFonts w:ascii="ＭＳ 明朝" w:eastAsia="ＭＳ 明朝" w:hAnsi="ＭＳ 明朝" w:cs="ＭＳ 明朝"/>
          <w:color w:val="000000"/>
        </w:rPr>
        <w:tab/>
        <w:t>自立生活に関しては、家族の中に障害のある人がいることが、支援措置の受給資格基準となる所得を計算する際に考慮されている。</w:t>
      </w:r>
    </w:p>
    <w:p w14:paraId="000000E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150.</w:t>
      </w:r>
      <w:r>
        <w:rPr>
          <w:rFonts w:ascii="ＭＳ 明朝" w:eastAsia="ＭＳ 明朝" w:hAnsi="ＭＳ 明朝" w:cs="ＭＳ 明朝"/>
          <w:color w:val="000000"/>
        </w:rPr>
        <w:tab/>
        <w:t>適切なケアに関しては、2016年4月1日以降、障害のある人はフラマン障害者庁に個人資金（personal funding）を請求することができるようになり、自分でケアとサポートを手配する方法に直接アクセスできるようになった。また、障害のある人が支援を直接受ける選択肢も用意されている。さらに、支援の必要性が低い人にも、毎月300ユーロが一律で支給される。</w:t>
      </w:r>
    </w:p>
    <w:p w14:paraId="000000E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151.</w:t>
      </w:r>
      <w:r>
        <w:rPr>
          <w:rFonts w:ascii="ＭＳ 明朝" w:eastAsia="ＭＳ 明朝" w:hAnsi="ＭＳ 明朝" w:cs="ＭＳ 明朝"/>
          <w:color w:val="000000"/>
        </w:rPr>
        <w:tab/>
        <w:t>待機者に関して、政府は、直接利用可能な支援とケア予算を強化・拡充する一方で、最も弱いグループ優先のルールを導入して、特定支援の需要の増大に対応しようとしている。</w:t>
      </w:r>
    </w:p>
    <w:p w14:paraId="000000E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152.</w:t>
      </w:r>
      <w:r>
        <w:rPr>
          <w:rFonts w:ascii="ＭＳ 明朝" w:eastAsia="ＭＳ 明朝" w:hAnsi="ＭＳ 明朝" w:cs="ＭＳ 明朝"/>
          <w:color w:val="000000"/>
        </w:rPr>
        <w:tab/>
        <w:t>フラマン障害者庁はまた、待機者をなくすために様々な財政シナリオを描いている。その中には、毎年の需要増に対応するために、現在の17億5000万ユーロに16億ユーロを上乗せすることも含まれている。</w:t>
      </w:r>
    </w:p>
    <w:p w14:paraId="000000E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153.</w:t>
      </w:r>
      <w:r>
        <w:rPr>
          <w:rFonts w:ascii="ＭＳ 明朝" w:eastAsia="ＭＳ 明朝" w:hAnsi="ＭＳ 明朝" w:cs="ＭＳ 明朝"/>
          <w:color w:val="000000"/>
        </w:rPr>
        <w:tab/>
        <w:t>ワロン地域では、ワロン保健・社会保護・障害・家族庁が、一層インクルーシブな解決策を視野に入れてニーズを支援することで、施設をインクルーシブで家族が関わりやすいのものにしようと取り組んでいる。3種類の柔軟なインクルージョン支援サービスが承認され、資金が提供されている。その役割は、他の専門家や障害のある人の家族や友人に支援、助言、専門知識を提供することである。</w:t>
      </w:r>
    </w:p>
    <w:p w14:paraId="000000E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154.</w:t>
      </w:r>
      <w:r>
        <w:rPr>
          <w:rFonts w:ascii="ＭＳ 明朝" w:eastAsia="ＭＳ 明朝" w:hAnsi="ＭＳ 明朝" w:cs="ＭＳ 明朝"/>
          <w:color w:val="000000"/>
        </w:rPr>
        <w:tab/>
        <w:t xml:space="preserve">ブリュッセルでは、フランス語共同体委員会が待機者解消に向けてツールを調整した。 </w:t>
      </w:r>
    </w:p>
    <w:p w14:paraId="000000EE" w14:textId="77777777" w:rsidR="0097565A" w:rsidRDefault="0097565A">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p>
    <w:p w14:paraId="000000E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155.</w:t>
      </w:r>
      <w:r>
        <w:rPr>
          <w:rFonts w:ascii="ＭＳ 明朝" w:eastAsia="ＭＳ 明朝" w:hAnsi="ＭＳ 明朝" w:cs="ＭＳ 明朝"/>
          <w:color w:val="000000"/>
        </w:rPr>
        <w:tab/>
        <w:t>ドイツ語圏では、研修と就労支援、階段昇降機にのみキャンセル待ちのリストが用意されている。</w:t>
      </w:r>
    </w:p>
    <w:p w14:paraId="000000F0"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事前質問事項のパラグラフ18（b）への回答</w:t>
      </w:r>
    </w:p>
    <w:p w14:paraId="000000F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156.</w:t>
      </w:r>
      <w:r>
        <w:rPr>
          <w:rFonts w:ascii="ＭＳ 明朝" w:eastAsia="ＭＳ 明朝" w:hAnsi="ＭＳ 明朝" w:cs="ＭＳ 明朝"/>
          <w:color w:val="000000"/>
        </w:rPr>
        <w:tab/>
        <w:t>フラマン語共同体では、個別対応（customized）個人融資手当制度が、支出の選択肢とサービスの多様性に一層柔軟に対応していることが、脱施設化に貢献している。この制度は現在評価中ではあるが、その結果は、この制度を定着させ、必要な修正を行うのに役立つであろう。しかし、フラマン語共同体は、長期的ケアとサポートを確保するためには、様々な部門が絶え間ない努力を払わなければならないことを認識している。また、障害のある人のニーズに対する現在の組織部門での対応能力（adaptability）についての疑問も提起されている。</w:t>
      </w:r>
    </w:p>
    <w:p w14:paraId="000000F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157.</w:t>
      </w:r>
      <w:r>
        <w:rPr>
          <w:rFonts w:ascii="ＭＳ 明朝" w:eastAsia="ＭＳ 明朝" w:hAnsi="ＭＳ 明朝" w:cs="ＭＳ 明朝"/>
          <w:color w:val="000000"/>
        </w:rPr>
        <w:tab/>
        <w:t>ワロン地域では、特に、監督付き住宅、個人住宅、地域住宅をサービスに転換して、施設をより小規模な生活単位に変えるための対策がとられている。その目的は、障害のある成人（16歳以上）が自宅で日常生活を送り、その人生設計の実現を支援することである。</w:t>
      </w:r>
    </w:p>
    <w:p w14:paraId="000000F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158.</w:t>
      </w:r>
      <w:r>
        <w:rPr>
          <w:rFonts w:ascii="ＭＳ 明朝" w:eastAsia="ＭＳ 明朝" w:hAnsi="ＭＳ 明朝" w:cs="ＭＳ 明朝"/>
          <w:color w:val="000000"/>
        </w:rPr>
        <w:tab/>
        <w:t>ブリュッセルでは、フランス語共同体委員会が、障害のある人とない人が同じ建物で共同活動を行い、相互支援と必要な基礎的監督を受けることのできるインクルーシブ住宅のパイロット・プロジェクトに補助金を出している。施設に入所している子どもの数の把握と脱施設化は、PHAREサービス（訳注　パラグラフ83参照）の管轄範囲である。</w:t>
      </w:r>
    </w:p>
    <w:p w14:paraId="000000F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49" w:name="_heading=h.dkyxj3py5qsp" w:colFirst="0" w:colLast="0"/>
      <w:bookmarkEnd w:id="49"/>
      <w:r>
        <w:rPr>
          <w:rFonts w:ascii="ＭＳ 明朝" w:eastAsia="ＭＳ 明朝" w:hAnsi="ＭＳ 明朝" w:cs="ＭＳ 明朝"/>
          <w:color w:val="000000"/>
        </w:rPr>
        <w:t>159.</w:t>
      </w:r>
      <w:r>
        <w:rPr>
          <w:rFonts w:ascii="ＭＳ 明朝" w:eastAsia="ＭＳ 明朝" w:hAnsi="ＭＳ 明朝" w:cs="ＭＳ 明朝"/>
          <w:color w:val="000000"/>
        </w:rPr>
        <w:tab/>
        <w:t xml:space="preserve">残念ながら、ドイツ語共同体では、年金受給年齢に満たない障害のある人が、適切な支援を受けるために入所施設に入居せざるを得ないケースが増えている。しかし2018年には、この分野における成功事例を活用することを目的として、脱施設化に関するワークショップが開催された。 </w:t>
      </w:r>
    </w:p>
    <w:p w14:paraId="000000F5" w14:textId="3C596432"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事前質問事項のパラグラフ18（c）への回答</w:t>
      </w:r>
    </w:p>
    <w:p w14:paraId="000000F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160.</w:t>
      </w:r>
      <w:r>
        <w:rPr>
          <w:rFonts w:ascii="ＭＳ 明朝" w:eastAsia="ＭＳ 明朝" w:hAnsi="ＭＳ 明朝" w:cs="ＭＳ 明朝"/>
          <w:color w:val="000000"/>
        </w:rPr>
        <w:tab/>
        <w:t>フラマン語共同体では、個人資金の支給（personal funding）によって、障害のある人が正規または非正規のケア提供者と独自の支援システムについて交渉することが可能になっている。さらに、利用料個人負担の制度は廃止され、フラマン障害者庁がケアと運営の費用を負担している。また、入所施設や家庭環境での支援を選ぶこともできる。個人資金の支給制度には、支援ニーズが比較的限定的な場合と、より複雑で濃密な場合の2つのレベルがある。緊急に支援が必要な障害のある人には、機械的に予算が割り当てられる迅速な手続きがある。インター（Inter、訳注　フラマンのアクセシビリティ担当機関）は、フラマン障害者庁の依頼を受け、障害のある人の在宅生活とその継続を可能にする最も重要な条件と手立ての概要を示した。そこには、同庁が障害のある人をさらに支援する方法についての提言、将来公的支出の対象となるべき一般的な住宅改修のリスト、支援の提供と前提条件に関する情報を利用者に提供する方法についての提案が含まれている。</w:t>
      </w:r>
    </w:p>
    <w:p w14:paraId="000000F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161.</w:t>
      </w:r>
      <w:r>
        <w:rPr>
          <w:rFonts w:ascii="ＭＳ 明朝" w:eastAsia="ＭＳ 明朝" w:hAnsi="ＭＳ 明朝" w:cs="ＭＳ 明朝"/>
          <w:color w:val="000000"/>
        </w:rPr>
        <w:tab/>
        <w:t>ワロン地域では、福祉機器や住宅改修の提供の他に、「Bien Vivre Chez Soi」（家庭で上手に暮らす）のウェブサイトが、在宅支援やサービスに関する情報を提供している。同様に、住宅政策を担当する公共サービスでは、基準、専門サービス、住宅改修のための無利子融資や費用の弁済など、住宅のアクセシビリティと適合性を高めるための様々な措置を統合している。そして、ワロン保健・社会保護・障害・家族局は、この分野の専門職、家族介護者、障害のある人を対象に、自己決定と生活環境の選択を促進するための研修コースを提供し、資金を助成している。さらに欧州プロジェクトの一環としての研修コースも充実が図られている。</w:t>
      </w:r>
    </w:p>
    <w:p w14:paraId="000000F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162.</w:t>
      </w:r>
      <w:r>
        <w:rPr>
          <w:rFonts w:ascii="ＭＳ 明朝" w:eastAsia="ＭＳ 明朝" w:hAnsi="ＭＳ 明朝" w:cs="ＭＳ 明朝"/>
          <w:color w:val="000000"/>
        </w:rPr>
        <w:tab/>
        <w:t xml:space="preserve">ブリュッセルでは、共同体委員会がパーソナルアシスタンスの予算を設定するための試験的プロジェクトに助成している。その目的は、障害のある人に日常生活での援助や支援を提供すること、および社会的、教育的および資源を紹介する援助を提供することである。この予算は毎年配分され、受益者のニーズに応じて設定される。さらに、委員会は、公的なサービス機関であるアイリスケアを通じて、毎日・24時間利用できる5つの青少年福祉サービスと、7つのケア付き住居サービスを認定し、それらに助成している。フランス語共同体委員会はまた、同様の住宅を開発する支援サービスも認定している。 </w:t>
      </w:r>
    </w:p>
    <w:p w14:paraId="000000F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163.</w:t>
      </w:r>
      <w:r>
        <w:rPr>
          <w:rFonts w:ascii="ＭＳ 明朝" w:eastAsia="ＭＳ 明朝" w:hAnsi="ＭＳ 明朝" w:cs="ＭＳ 明朝"/>
          <w:color w:val="000000"/>
        </w:rPr>
        <w:tab/>
        <w:t>ドイツ語共同体は、「自立生活訓練」のための宿泊施設など、障害のある人のニーズに適応した様々なタイプの住宅を設置しようとしている。とはいえ、特定の障害に適応した住宅はまだ不足している。</w:t>
      </w:r>
    </w:p>
    <w:p w14:paraId="000000F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164.</w:t>
      </w:r>
      <w:r>
        <w:rPr>
          <w:rFonts w:ascii="ＭＳ 明朝" w:eastAsia="ＭＳ 明朝" w:hAnsi="ＭＳ 明朝" w:cs="ＭＳ 明朝"/>
          <w:color w:val="000000"/>
        </w:rPr>
        <w:tab/>
        <w:t xml:space="preserve">小規模でインクルーシブな住宅をさらに建設し、パーソナルアシスタンスを提供することは、今後数年間の優先事項のひとつである。 </w:t>
      </w:r>
    </w:p>
    <w:p w14:paraId="000000FB"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事前質問事項のパラグラフ18（d）への回答</w:t>
      </w:r>
    </w:p>
    <w:p w14:paraId="000000FC" w14:textId="170972F2"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i/>
          <w:iCs/>
          <w:color w:val="000000"/>
        </w:rPr>
      </w:pPr>
      <w:r>
        <w:rPr>
          <w:rFonts w:ascii="ＭＳ 明朝" w:eastAsia="ＭＳ 明朝" w:hAnsi="ＭＳ 明朝" w:cs="ＭＳ 明朝"/>
          <w:color w:val="000000"/>
        </w:rPr>
        <w:t>165.</w:t>
      </w:r>
      <w:r>
        <w:rPr>
          <w:rFonts w:ascii="ＭＳ 明朝" w:eastAsia="ＭＳ 明朝" w:hAnsi="ＭＳ 明朝" w:cs="ＭＳ 明朝"/>
          <w:color w:val="000000"/>
        </w:rPr>
        <w:tab/>
        <w:t>フラマン政府では、2014年から2019年の期間、3300億ユーロ以上がケアと支援のために人々に配分されている。それによって年間17億5,000万ユーロが障害者支援に投入され、合計7万人が支援を受けている。それでも、現在19,000人の待機</w:t>
      </w:r>
      <w:r w:rsidR="008D4B92" w:rsidRPr="00913A0A">
        <w:rPr>
          <w:rFonts w:ascii="ＭＳ 明朝" w:eastAsia="ＭＳ 明朝" w:hAnsi="ＭＳ 明朝" w:cs="ＭＳ 明朝" w:hint="eastAsia"/>
          <w:color w:val="000000"/>
        </w:rPr>
        <w:t>者</w:t>
      </w:r>
      <w:r>
        <w:rPr>
          <w:rFonts w:ascii="ＭＳ 明朝" w:eastAsia="ＭＳ 明朝" w:hAnsi="ＭＳ 明朝" w:cs="ＭＳ 明朝"/>
          <w:color w:val="000000"/>
        </w:rPr>
        <w:t xml:space="preserve">がいる。 </w:t>
      </w:r>
    </w:p>
    <w:p w14:paraId="000000F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166.</w:t>
      </w:r>
      <w:r>
        <w:rPr>
          <w:rFonts w:ascii="ＭＳ 明朝" w:eastAsia="ＭＳ 明朝" w:hAnsi="ＭＳ 明朝" w:cs="ＭＳ 明朝"/>
          <w:color w:val="000000"/>
        </w:rPr>
        <w:tab/>
        <w:t>フランス語共同体では、調整コンサルタントの職種が新設され、そのために2014年から2020年の期間、総額3,489,911ユーロの欧州社会基金プロジェクトによる資金が提供された。この職種に期待されることは、学校に配属されたカウンセラーとして、特別な教育機関（特別教育第2種および3種）出身の若者の社会的および職業的統合を促進することである。</w:t>
      </w:r>
    </w:p>
    <w:p w14:paraId="000000F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167.</w:t>
      </w:r>
      <w:r>
        <w:rPr>
          <w:rFonts w:ascii="ＭＳ 明朝" w:eastAsia="ＭＳ 明朝" w:hAnsi="ＭＳ 明朝" w:cs="ＭＳ 明朝"/>
          <w:color w:val="000000"/>
        </w:rPr>
        <w:tab/>
        <w:t>ワロン地域では、特定の仕組みによって運用される構造基金から融資を受けた様々なプロジェクトが用意され。障害のある人の人生設計を明確にし、自己決定を達成するための支援を目指している。例えば、社会的インクルージョンのための欧州社会基金の予算は31,218,155.55ユーロである。市民参加プログラムの目的は、労働の世界に加わることができない障害のある人に、必要な支援を受けながら、有益でやりがいのある活動を行う機会を提供することである。参加には制限はなく、任意、無料であることが保証されている。2018年には、523人が市民参加プログラムの恩恵を受けた。地域基金は、社会的インクルージョンの要素を持つプロジェクトにも資金を提供している。</w:t>
      </w:r>
    </w:p>
    <w:p w14:paraId="000000F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168.</w:t>
      </w:r>
      <w:r>
        <w:rPr>
          <w:rFonts w:ascii="ＭＳ 明朝" w:eastAsia="ＭＳ 明朝" w:hAnsi="ＭＳ 明朝" w:cs="ＭＳ 明朝"/>
          <w:color w:val="000000"/>
        </w:rPr>
        <w:tab/>
        <w:t>ブリュッセルでは、フランス語共同体委員会が欧州社会基金を用いて2019年の職業訓練への支援を強化した。</w:t>
      </w:r>
    </w:p>
    <w:p w14:paraId="0000010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169.</w:t>
      </w:r>
      <w:r>
        <w:rPr>
          <w:rFonts w:ascii="ＭＳ 明朝" w:eastAsia="ＭＳ 明朝" w:hAnsi="ＭＳ 明朝" w:cs="ＭＳ 明朝"/>
          <w:color w:val="000000"/>
        </w:rPr>
        <w:tab/>
        <w:t xml:space="preserve">ドイツ語圏では、自立生活サービスが、障害のある人のための自立生活を促進し、既存のサービスの拡充を図り、プロジェクトを立ち上げるために、定期的に欧州社会基金や国の基金を利用している。Interreg </w:t>
      </w:r>
      <w:proofErr w:type="spellStart"/>
      <w:r>
        <w:rPr>
          <w:rFonts w:ascii="ＭＳ 明朝" w:eastAsia="ＭＳ 明朝" w:hAnsi="ＭＳ 明朝" w:cs="ＭＳ 明朝"/>
          <w:color w:val="000000"/>
        </w:rPr>
        <w:t>Euregio</w:t>
      </w:r>
      <w:proofErr w:type="spellEnd"/>
      <w:r>
        <w:rPr>
          <w:rFonts w:ascii="ＭＳ 明朝" w:eastAsia="ＭＳ 明朝" w:hAnsi="ＭＳ 明朝" w:cs="ＭＳ 明朝"/>
          <w:color w:val="000000"/>
        </w:rPr>
        <w:t xml:space="preserve"> Meuse-Rhine Mobiプロジェクト（訳注　https://www.interregmeuserhine.eu/en/）はその一例である。</w:t>
      </w:r>
    </w:p>
    <w:p w14:paraId="00000101"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0" w:name="_heading=h.1cfskdcl7rut" w:colFirst="0" w:colLast="0"/>
      <w:bookmarkEnd w:id="50"/>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個人の移動（第20条）</w:t>
      </w:r>
    </w:p>
    <w:p w14:paraId="00000102"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51" w:name="_heading=h.g8ccn5d87e9q" w:colFirst="0" w:colLast="0"/>
      <w:bookmarkEnd w:id="51"/>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事前質問事項のパラグラフ19（a）への回答</w:t>
      </w:r>
    </w:p>
    <w:p w14:paraId="0000010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170.</w:t>
      </w:r>
      <w:r>
        <w:rPr>
          <w:rFonts w:ascii="ＭＳ 明朝" w:eastAsia="ＭＳ 明朝" w:hAnsi="ＭＳ 明朝" w:cs="ＭＳ 明朝"/>
          <w:color w:val="000000"/>
        </w:rPr>
        <w:tab/>
        <w:t>障害のある人は、駐車許可証によって、（ベルギー国内外で）障害者専用の駐車スペースを利用できる。2018年には、駐車許可証の信頼性を確認できる「Handi2Park」アプリが開始され、悪用を効果的に取り締まることができるようになった。さらに2018年、連邦モビリティ公社は、バス、地下鉄、路面電車、列車を、盲人または弱視者（90％以上の永続的障害）が無料で利用できるようにする公共交通割引カードに加えて、「すべての人のための移動」という見出しの「よくある質問」を考案した。これは、4つの交通手段に関する支援、付き添い、割引、その他の分野に関する質問への即座の回答を提供している。障害のある人の個人的な問い合わせ用の連絡先メールアドレスも用意されている。</w:t>
      </w:r>
    </w:p>
    <w:p w14:paraId="0000010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171.</w:t>
      </w:r>
      <w:r>
        <w:rPr>
          <w:rFonts w:ascii="ＭＳ 明朝" w:eastAsia="ＭＳ 明朝" w:hAnsi="ＭＳ 明朝" w:cs="ＭＳ 明朝"/>
          <w:color w:val="000000"/>
        </w:rPr>
        <w:tab/>
        <w:t>さらに、フラマン地域では、アクセシビリティ機関であるインター（Inter）が、政治的意思決定者、技術サービス提供者、および障害のある住民に対して、ガイドラインや基準に関する助言、研修、情報を提供することにより、地方自治体が公共空間を一層アクセシブルにするための支援を行っている。この機関は90以上の自治体(commune)と組織としての協力関係にある。こうした取り組みの一環として、2019年には基本的なアクセシビリティに関する条例が制定された。これは徐々に実施されており、「オーダーメイド」（made-to-measure）輸送の概念を通じて、通常の公共交通網に移動困難者を最大限に組み込むことを目的とし2022年に全面的な実施に至る予定である。</w:t>
      </w:r>
    </w:p>
    <w:p w14:paraId="0000010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172.</w:t>
      </w:r>
      <w:r>
        <w:rPr>
          <w:rFonts w:ascii="ＭＳ 明朝" w:eastAsia="ＭＳ 明朝" w:hAnsi="ＭＳ 明朝" w:cs="ＭＳ 明朝"/>
          <w:color w:val="000000"/>
        </w:rPr>
        <w:tab/>
        <w:t>ワロンの公共サービスは、移動が困難な人のために採用された車両や設備を使用する運送事業者を、公共の利益のための輸送サービスとして承認している。</w:t>
      </w:r>
    </w:p>
    <w:p w14:paraId="0000010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173.</w:t>
      </w:r>
      <w:r>
        <w:rPr>
          <w:rFonts w:ascii="ＭＳ 明朝" w:eastAsia="ＭＳ 明朝" w:hAnsi="ＭＳ 明朝" w:cs="ＭＳ 明朝"/>
          <w:color w:val="000000"/>
        </w:rPr>
        <w:tab/>
        <w:t>ブリュッセル首都圏は2018年12月5日、ウニア（</w:t>
      </w:r>
      <w:proofErr w:type="spellStart"/>
      <w:r>
        <w:rPr>
          <w:rFonts w:ascii="ＭＳ 明朝" w:eastAsia="ＭＳ 明朝" w:hAnsi="ＭＳ 明朝" w:cs="ＭＳ 明朝"/>
          <w:color w:val="000000"/>
        </w:rPr>
        <w:t>Unia</w:t>
      </w:r>
      <w:proofErr w:type="spellEnd"/>
      <w:r>
        <w:rPr>
          <w:rFonts w:ascii="ＭＳ 明朝" w:eastAsia="ＭＳ 明朝" w:hAnsi="ＭＳ 明朝" w:cs="ＭＳ 明朝"/>
          <w:color w:val="000000"/>
        </w:rPr>
        <w:t xml:space="preserve">　連邦間機会均等センター）と共同で、公共の場所への介助犬のアクセスを促進する啓発キャンペーンを開始し、そのための憲章が署名された。</w:t>
      </w:r>
    </w:p>
    <w:p w14:paraId="0000010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174.</w:t>
      </w:r>
      <w:r>
        <w:rPr>
          <w:rFonts w:ascii="ＭＳ 明朝" w:eastAsia="ＭＳ 明朝" w:hAnsi="ＭＳ 明朝" w:cs="ＭＳ 明朝"/>
          <w:color w:val="000000"/>
        </w:rPr>
        <w:tab/>
        <w:t>2019年、ドイツ語共同体は介助動物同伴者に公共の場へのアクセスの権利があることを広く認めた。</w:t>
      </w:r>
    </w:p>
    <w:p w14:paraId="00000108"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事前質問事項のパラグラフ19（b）への回答</w:t>
      </w:r>
    </w:p>
    <w:p w14:paraId="0000010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175.</w:t>
      </w:r>
      <w:r>
        <w:rPr>
          <w:rFonts w:ascii="ＭＳ 明朝" w:eastAsia="ＭＳ 明朝" w:hAnsi="ＭＳ 明朝" w:cs="ＭＳ 明朝"/>
          <w:color w:val="000000"/>
        </w:rPr>
        <w:tab/>
        <w:t>フラマン語共同体では、2019年1月よりフラマン社会保護機関が移動器具購入のための助成金を支給しており、特定のケースでは払い戻しも行っている。フラマン移動センターは多様な方法でアクセスできる。フラマン地域では、移動・公共事業省が欧州ホライズン2020プロジェクト（インクルーシブ移動アプリの開発を目指す）に参加している。</w:t>
      </w:r>
    </w:p>
    <w:p w14:paraId="0000010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176.</w:t>
      </w:r>
      <w:r>
        <w:rPr>
          <w:rFonts w:ascii="ＭＳ 明朝" w:eastAsia="ＭＳ 明朝" w:hAnsi="ＭＳ 明朝" w:cs="ＭＳ 明朝"/>
          <w:color w:val="000000"/>
        </w:rPr>
        <w:tab/>
        <w:t>ワロン地域では、ワロン保健・社会保護・障害・家族局は、自律・長期ケア技術委員会を含む多くの委員会を設置している。特に、その技術委員会は意思決定機関への費用助成の対象となる新製品の提案や、規制の共同管理などを担当している。</w:t>
      </w:r>
    </w:p>
    <w:p w14:paraId="0000010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177.</w:t>
      </w:r>
      <w:r>
        <w:rPr>
          <w:rFonts w:ascii="ＭＳ 明朝" w:eastAsia="ＭＳ 明朝" w:hAnsi="ＭＳ 明朝" w:cs="ＭＳ 明朝"/>
          <w:color w:val="000000"/>
        </w:rPr>
        <w:tab/>
        <w:t>ブリュッセルでは、2019年1月1日から共通共同体委員会のアイリスケア（</w:t>
      </w:r>
      <w:proofErr w:type="spellStart"/>
      <w:r>
        <w:rPr>
          <w:rFonts w:ascii="ＭＳ 明朝" w:eastAsia="ＭＳ 明朝" w:hAnsi="ＭＳ 明朝" w:cs="ＭＳ 明朝"/>
          <w:color w:val="000000"/>
        </w:rPr>
        <w:t>Iriscare</w:t>
      </w:r>
      <w:proofErr w:type="spellEnd"/>
      <w:r>
        <w:rPr>
          <w:rFonts w:ascii="ＭＳ 明朝" w:eastAsia="ＭＳ 明朝" w:hAnsi="ＭＳ 明朝" w:cs="ＭＳ 明朝"/>
          <w:color w:val="000000"/>
        </w:rPr>
        <w:t>）が移動補助具を担当している。ブリュッセル首都圏の住民は、ブリュッセルの共済保険会社から援助を受けることができる。この補助は、フランス語共同体委員会またはフラマン語共同体からの追加補助を受ける資格がある場合には調整される。さらに、シャトルバスは現在も運行されており、道路や公共スペースのバリアフリー計画とあわせて、地下鉄の駅も順次バリアフリー化が進められる計画がある。また、新しいアプリケーション（</w:t>
      </w:r>
      <w:proofErr w:type="spellStart"/>
      <w:r>
        <w:rPr>
          <w:rFonts w:ascii="ＭＳ 明朝" w:eastAsia="ＭＳ 明朝" w:hAnsi="ＭＳ 明朝" w:cs="ＭＳ 明朝"/>
          <w:color w:val="000000"/>
        </w:rPr>
        <w:t>parking.brussels</w:t>
      </w:r>
      <w:proofErr w:type="spellEnd"/>
      <w:r>
        <w:rPr>
          <w:rFonts w:ascii="ＭＳ 明朝" w:eastAsia="ＭＳ 明朝" w:hAnsi="ＭＳ 明朝" w:cs="ＭＳ 明朝"/>
          <w:color w:val="000000"/>
        </w:rPr>
        <w:t>）を使えば、移動が困難な人のための駐車スペースを確認することができる。</w:t>
      </w:r>
    </w:p>
    <w:p w14:paraId="0000010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178.</w:t>
      </w:r>
      <w:r>
        <w:rPr>
          <w:rFonts w:ascii="ＭＳ 明朝" w:eastAsia="ＭＳ 明朝" w:hAnsi="ＭＳ 明朝" w:cs="ＭＳ 明朝"/>
          <w:color w:val="000000"/>
        </w:rPr>
        <w:tab/>
        <w:t>ドイツ語圏では、移動補助具に関する法令が採択され、自立生活サービスが移動補助具、補助金、住宅改修の一括窓口となった。これらの補助具や助成金は65歳以上にも適用されるようになり、手続きに以前より時間がかかる場合はあるが、フォローアップの質や障害のある人の参加は改善された。新しい法律では、移動補助具をレンタルで利用できるようにもなった。また、移動補助具の必要性の評価は、ICFシステムの情報資源を利用して行われるようになった。</w:t>
      </w:r>
    </w:p>
    <w:p w14:paraId="0000010D"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2" w:name="_heading=h.443m1hnvwwho" w:colFirst="0" w:colLast="0"/>
      <w:bookmarkEnd w:id="52"/>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表現と意見の自由、情報へのアクセス（第21条）</w:t>
      </w:r>
    </w:p>
    <w:p w14:paraId="0000010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bookmarkStart w:id="53" w:name="_heading=h.uspsyzmaela7" w:colFirst="0" w:colLast="0"/>
      <w:bookmarkEnd w:id="53"/>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事前質問事項のパラグラフ20(a)への回答</w:t>
      </w:r>
    </w:p>
    <w:p w14:paraId="0000010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F11FC1">
        <w:rPr>
          <w:rFonts w:ascii="ＭＳ 明朝" w:eastAsia="ＭＳ 明朝" w:hAnsi="ＭＳ 明朝" w:cs="ＭＳ 明朝"/>
          <w:color w:val="000000"/>
        </w:rPr>
        <w:t>179.</w:t>
      </w:r>
      <w:r w:rsidRPr="00F11FC1">
        <w:rPr>
          <w:rFonts w:ascii="ＭＳ 明朝" w:eastAsia="ＭＳ 明朝" w:hAnsi="ＭＳ 明朝" w:cs="ＭＳ 明朝"/>
          <w:color w:val="000000"/>
        </w:rPr>
        <w:tab/>
        <w:t>公的機関のウェブサイトやモバイルアプリケーションのアクセシビリティに</w:t>
      </w:r>
      <w:r>
        <w:rPr>
          <w:rFonts w:ascii="ＭＳ 明朝" w:eastAsia="ＭＳ 明朝" w:hAnsi="ＭＳ 明朝" w:cs="ＭＳ 明朝"/>
          <w:color w:val="000000"/>
        </w:rPr>
        <w:t>関する欧州指令を反映させた法律が、多様なレベルの政府で導入されている。連邦政府のワーキンググループ（ベルギー・ウェブ・アクセシビリティ・オフィス）は、公共部門における知識と成功事例の共有を促進している。</w:t>
      </w:r>
    </w:p>
    <w:p w14:paraId="0000011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180.</w:t>
      </w:r>
      <w:r>
        <w:rPr>
          <w:rFonts w:ascii="ＭＳ 明朝" w:eastAsia="ＭＳ 明朝" w:hAnsi="ＭＳ 明朝" w:cs="ＭＳ 明朝"/>
          <w:color w:val="000000"/>
        </w:rPr>
        <w:tab/>
        <w:t>例えば、フラマン政府はウェブサイトの基本的なアクセシビリティを監視している。2018年のサンプル（調査）では、150の政府ウェブサイトのうち44％が基本的にアクセシブルであった。それでも、政府はまだやるべきことが残っていると認識している。</w:t>
      </w:r>
    </w:p>
    <w:p w14:paraId="0000011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181.</w:t>
      </w:r>
      <w:r>
        <w:rPr>
          <w:rFonts w:ascii="ＭＳ 明朝" w:eastAsia="ＭＳ 明朝" w:hAnsi="ＭＳ 明朝" w:cs="ＭＳ 明朝"/>
          <w:color w:val="000000"/>
        </w:rPr>
        <w:tab/>
        <w:t>ワロン地域では、欧州指令からの義務を履行するためのワーキンググループが設置されている。</w:t>
      </w:r>
    </w:p>
    <w:p w14:paraId="0000011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182.</w:t>
      </w:r>
      <w:r>
        <w:rPr>
          <w:rFonts w:ascii="ＭＳ 明朝" w:eastAsia="ＭＳ 明朝" w:hAnsi="ＭＳ 明朝" w:cs="ＭＳ 明朝"/>
          <w:color w:val="000000"/>
        </w:rPr>
        <w:tab/>
        <w:t>ブリュッセル首都圏では、関連条例の実施に伴い、地域公共サービスの関係者を対象とした啓発セッションや研修モジュール、パンフレットの作成、1年間のコンサルティングが実施された。さらに、行政当局による情報公開の対象となる情報は、ブリュッセルの機関における行政からの情報公開に関するブリュッセル首都圏、共通共同体委員会およびフランス語共同体委員会の共同政令および条例（2019年5月16日付）に基づいて体系化されている。ウェブサイトのアクセシビリティを向上させるための措置が進行中である。</w:t>
      </w:r>
    </w:p>
    <w:p w14:paraId="00000113" w14:textId="608B729F"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183.</w:t>
      </w:r>
      <w:r>
        <w:rPr>
          <w:rFonts w:ascii="ＭＳ 明朝" w:eastAsia="ＭＳ 明朝" w:hAnsi="ＭＳ 明朝" w:cs="ＭＳ 明朝"/>
          <w:color w:val="000000"/>
        </w:rPr>
        <w:tab/>
        <w:t>ドイツ語共同体もまた、欧州指令を将来的に実施する政令を採択した。このため、すべての公的機関のウェブサイトにこの指令を受け入れるための作業部会が設置された。また、関係職員を対象とした一連のセミナーも開催された。当局は、出版物や利用しやすい視聴覚資料を鋭意作成している。</w:t>
      </w:r>
    </w:p>
    <w:p w14:paraId="00000114"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事前質問事項のパラグラフ20（b）への回答</w:t>
      </w:r>
    </w:p>
    <w:p w14:paraId="0000011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184.</w:t>
      </w:r>
      <w:r>
        <w:rPr>
          <w:rFonts w:ascii="ＭＳ 明朝" w:eastAsia="ＭＳ 明朝" w:hAnsi="ＭＳ 明朝" w:cs="ＭＳ 明朝"/>
          <w:color w:val="000000"/>
        </w:rPr>
        <w:tab/>
        <w:t>フラマン語共同体では、フラマン障害者庁が、様々なコミュニケーションや移動手段、および公共情報へのアクセスを容易にするための日常的な措置を提供している。毎年、約300万ユーロの予算が特別教育の財源、特に手話言語通訳者への資金援助による聴覚障害のある生徒の支援に充てられている。これには、教材の切り替えや家具の改造などの支援技術も含まれる。テレビ番組のアクセシビリティは、民間テレビ局への義務づけ、割当、および補助金によって管理されている。フラマンのメディア規制当局は、これらの規制の遵守を保証している。様々な利害関係者の運営協定には、音声解説に関する取り決めが含まれている。</w:t>
      </w:r>
    </w:p>
    <w:p w14:paraId="0000011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185.</w:t>
      </w:r>
      <w:r>
        <w:rPr>
          <w:rFonts w:ascii="ＭＳ 明朝" w:eastAsia="ＭＳ 明朝" w:hAnsi="ＭＳ 明朝" w:cs="ＭＳ 明朝"/>
          <w:color w:val="000000"/>
        </w:rPr>
        <w:tab/>
        <w:t xml:space="preserve">さらに、フラマン政府のデジタル・メディアリテラシーのためのフラマン知識センターは、フラマンとブリュッセルの人々の情報通信技術とメディアの利用を支援している。 </w:t>
      </w:r>
    </w:p>
    <w:p w14:paraId="00000117" w14:textId="60B92D41"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186.</w:t>
      </w:r>
      <w:r>
        <w:rPr>
          <w:rFonts w:ascii="ＭＳ 明朝" w:eastAsia="ＭＳ 明朝" w:hAnsi="ＭＳ 明朝" w:cs="ＭＳ 明朝"/>
          <w:color w:val="000000"/>
        </w:rPr>
        <w:tab/>
        <w:t>総合的で統合されたアクセシビリティ政策の解説文書には、アクセシブルなサービス</w:t>
      </w:r>
      <w:r w:rsidRPr="00913A0A">
        <w:rPr>
          <w:rFonts w:ascii="ＭＳ 明朝" w:eastAsia="ＭＳ 明朝" w:hAnsi="ＭＳ 明朝" w:cs="ＭＳ 明朝"/>
          <w:color w:val="000000"/>
        </w:rPr>
        <w:t>を</w:t>
      </w:r>
      <w:r w:rsidR="006E0F45" w:rsidRPr="00913A0A">
        <w:rPr>
          <w:rFonts w:ascii="ＭＳ 明朝" w:eastAsia="ＭＳ 明朝" w:hAnsi="ＭＳ 明朝" w:cs="ＭＳ 明朝" w:hint="eastAsia"/>
          <w:color w:val="000000"/>
        </w:rPr>
        <w:t>周知</w:t>
      </w:r>
      <w:r w:rsidR="00A77A06" w:rsidRPr="00913A0A">
        <w:rPr>
          <w:rFonts w:ascii="ＭＳ 明朝" w:eastAsia="ＭＳ 明朝" w:hAnsi="ＭＳ 明朝" w:cs="ＭＳ 明朝" w:hint="eastAsia"/>
          <w:color w:val="C0504D" w:themeColor="accent2"/>
        </w:rPr>
        <w:t>させ</w:t>
      </w:r>
      <w:r>
        <w:rPr>
          <w:rFonts w:ascii="ＭＳ 明朝" w:eastAsia="ＭＳ 明朝" w:hAnsi="ＭＳ 明朝" w:cs="ＭＳ 明朝"/>
          <w:color w:val="000000"/>
        </w:rPr>
        <w:t>、提供するための様々なプロセスが含まれている。出版物「アクセシブルな市町村を目指して」（2019年）には、示唆的な実践例が掲載されている。</w:t>
      </w:r>
    </w:p>
    <w:p w14:paraId="0000011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187.</w:t>
      </w:r>
      <w:r>
        <w:rPr>
          <w:rFonts w:ascii="ＭＳ 明朝" w:eastAsia="ＭＳ 明朝" w:hAnsi="ＭＳ 明朝" w:cs="ＭＳ 明朝"/>
          <w:color w:val="000000"/>
        </w:rPr>
        <w:tab/>
        <w:t xml:space="preserve">機会均等助成金により、外国を出身地とするろう者、特に新規移住者のためのフラマン語手話講座の開設が可能になった。 </w:t>
      </w:r>
    </w:p>
    <w:p w14:paraId="00000119" w14:textId="345E9D76" w:rsidR="0097565A" w:rsidRDefault="00400FB1">
      <w:pPr>
        <w:pBdr>
          <w:top w:val="nil"/>
          <w:left w:val="nil"/>
          <w:bottom w:val="nil"/>
          <w:right w:val="nil"/>
          <w:between w:val="nil"/>
        </w:pBdr>
        <w:tabs>
          <w:tab w:val="left" w:pos="1701"/>
          <w:tab w:val="left" w:pos="2268"/>
          <w:tab w:val="left" w:pos="20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188.</w:t>
      </w:r>
      <w:r>
        <w:rPr>
          <w:rFonts w:ascii="ＭＳ 明朝" w:eastAsia="ＭＳ 明朝" w:hAnsi="ＭＳ 明朝" w:cs="ＭＳ 明朝"/>
          <w:color w:val="000000"/>
        </w:rPr>
        <w:tab/>
        <w:t>フランス語共同体では、生涯学習（social advancement）や大学の訓練コースで、手話言語の教育や訓練を提供している。文化面では、研修プロジェクトへの支援や、映画の読み上げソフトや音声ガイドの開発が行われている。さらに、2019年1月1日に、感覚障害のある人向けのプログラムのアクセシビリティに関する規則が施行された。2019年12月13日、ワロン・ブリュッセル連盟の最高の権威を有する視聴覚評議会は、アクセシビリティ対策の質に関する憲章と、音声解説専門家のための優良事例ガイド（2020年1月1日から発効）を発表し、これらのサービスの質を高め、評議会が監視できるようにした。評議会は、3つの主要分野に焦点を当てた</w:t>
      </w:r>
      <w:r w:rsidR="00F11FC1">
        <w:rPr>
          <w:rFonts w:ascii="ＭＳ 明朝" w:eastAsia="ＭＳ 明朝" w:hAnsi="ＭＳ 明朝" w:cs="ＭＳ 明朝" w:hint="eastAsia"/>
          <w:color w:val="000000"/>
        </w:rPr>
        <w:t>。</w:t>
      </w:r>
      <w:r>
        <w:rPr>
          <w:rFonts w:ascii="ＭＳ 明朝" w:eastAsia="ＭＳ 明朝" w:hAnsi="ＭＳ 明朝" w:cs="ＭＳ 明朝"/>
          <w:color w:val="000000"/>
        </w:rPr>
        <w:t>番組のアクセシビリティ（インクルーシブな視聴覚環境へ移行するためのタイムテーブルの実現に向けた業界の約束）、メディア表現、およびフランス語ラジオテレビ放送サービス（RTBF）がカバーするスポーツの多様化である。</w:t>
      </w:r>
    </w:p>
    <w:p w14:paraId="0000011A" w14:textId="123E58DC"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189.ワロン地域では、ワロン保健・社会保護・障害・家族局は、フランス語圏のベルギーにおける手話言語による情報へのアクセシビリティを確保するために、フランス手話通訳、字幕翻訳、わかりやすい版への翻訳の交流の場を作るなど、様々な措置を講じている。さらに、一部のコミューンでは、手話</w:t>
      </w:r>
      <w:r w:rsidR="00F11FC1">
        <w:rPr>
          <w:rFonts w:ascii="ＭＳ 明朝" w:eastAsia="ＭＳ 明朝" w:hAnsi="ＭＳ 明朝" w:cs="ＭＳ 明朝" w:hint="eastAsia"/>
          <w:color w:val="000000"/>
        </w:rPr>
        <w:t>言語</w:t>
      </w:r>
      <w:r>
        <w:rPr>
          <w:rFonts w:ascii="ＭＳ 明朝" w:eastAsia="ＭＳ 明朝" w:hAnsi="ＭＳ 明朝" w:cs="ＭＳ 明朝"/>
          <w:color w:val="000000"/>
        </w:rPr>
        <w:t>リレーサービスが利用されている。これは、ろう者との電話や短時間の対話のための無料遠隔通訳サービスである。</w:t>
      </w:r>
    </w:p>
    <w:p w14:paraId="0000011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190.</w:t>
      </w:r>
      <w:r>
        <w:rPr>
          <w:rFonts w:ascii="ＭＳ 明朝" w:eastAsia="ＭＳ 明朝" w:hAnsi="ＭＳ 明朝" w:cs="ＭＳ 明朝"/>
          <w:color w:val="000000"/>
        </w:rPr>
        <w:tab/>
        <w:t>共同体委員会は、約2万点の文書と4,000件の住所データベースを有する社会文書調整センターに助成金を提供している。ブリュッセル政府声明には、ブリュッセル障害情報センターの設立が示されているが、そのセンターはブリュッセルの障害のある人とその家族が利用できるすべての情報を集める。</w:t>
      </w:r>
    </w:p>
    <w:p w14:paraId="0000011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191.</w:t>
      </w:r>
      <w:r>
        <w:rPr>
          <w:rFonts w:ascii="ＭＳ 明朝" w:eastAsia="ＭＳ 明朝" w:hAnsi="ＭＳ 明朝" w:cs="ＭＳ 明朝"/>
          <w:color w:val="000000"/>
        </w:rPr>
        <w:tab/>
        <w:t>ドイツ語共同体は、ドイツ手話を認める政令を採択し、その使用を促進・奨励している。</w:t>
      </w:r>
    </w:p>
    <w:p w14:paraId="0000011D"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4" w:name="_heading=h.37k1iskkepwn" w:colFirst="0" w:colLast="0"/>
      <w:bookmarkEnd w:id="54"/>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家庭と家族の尊重（第23条）</w:t>
      </w:r>
    </w:p>
    <w:p w14:paraId="0000011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事前質問事項のパラグラフ21（a）への回答</w:t>
      </w:r>
    </w:p>
    <w:p w14:paraId="0000011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192.</w:t>
      </w:r>
      <w:r>
        <w:rPr>
          <w:rFonts w:ascii="ＭＳ 明朝" w:eastAsia="ＭＳ 明朝" w:hAnsi="ＭＳ 明朝" w:cs="ＭＳ 明朝"/>
          <w:color w:val="000000"/>
        </w:rPr>
        <w:tab/>
        <w:t>連邦レベルでは、2017年に時間貯蓄（time credit）に関する法律が改正された。従業員は具体的な理由があれば時間貯蓄を取得することができる。21歳未満の障害のある子どものケアを含む「ケア」に伴う実現可能かつ管理可能な労働に関する2017年3月5日の法律により、この時間貯蓄の期間が36カ月から51カ月に延長された。育児休暇や養子縁組休暇に関する法律も改正され、家庭環境への影響や、障害が子どもの活動に及ぼす影響も考慮されるようになった。育児休暇に関しては、より多くの子どもが障害の定義の範囲に入ることになる。養子縁組休暇の場合、親に与えられる養子縁組休暇の期間は2倍になった。最後に、家族介護者の公的地位を定める2019年5月17日の法律では、家族介護者として認められた人に対する第4の休暇カテゴリーが規定されている。これにより、要介護者1人につき1カ月間、雇用契約を完全に停止することができる。また、2カ月間、労働時間を5分の1または半分短縮することも可能である。</w:t>
      </w:r>
    </w:p>
    <w:p w14:paraId="0000012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193.</w:t>
      </w:r>
      <w:r>
        <w:rPr>
          <w:rFonts w:ascii="ＭＳ 明朝" w:eastAsia="ＭＳ 明朝" w:hAnsi="ＭＳ 明朝" w:cs="ＭＳ 明朝"/>
          <w:color w:val="000000"/>
        </w:rPr>
        <w:tab/>
        <w:t xml:space="preserve">フラマン語共同体では、保育施設は個別インクルーシブ保育補助金と構造的インクルーシブ保育補助金を申請できる。2014年以降、インクルーシブ保育センターが設置され、毎年200以上の保育センターにアドバイスや支援を行っている。この戦略は、認知度を高め、利用できる支援の種類を拡大することに重点を置いている。2018年には13の試験プロジェクトが開始され、デイケアセンターや多機能型センターが、複雑なニーズを持つ子どもへの最善のケア提供方法を検討した。 </w:t>
      </w:r>
    </w:p>
    <w:p w14:paraId="0000012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194.</w:t>
      </w:r>
      <w:r>
        <w:rPr>
          <w:rFonts w:ascii="ＭＳ 明朝" w:eastAsia="ＭＳ 明朝" w:hAnsi="ＭＳ 明朝" w:cs="ＭＳ 明朝"/>
          <w:color w:val="000000"/>
        </w:rPr>
        <w:tab/>
        <w:t xml:space="preserve">ワロン地域では、適合訓練および社会的職業的統合センターが、訓練生の育児費用を負担している。 </w:t>
      </w:r>
    </w:p>
    <w:p w14:paraId="0000012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195.</w:t>
      </w:r>
      <w:r>
        <w:rPr>
          <w:rFonts w:ascii="ＭＳ 明朝" w:eastAsia="ＭＳ 明朝" w:hAnsi="ＭＳ 明朝" w:cs="ＭＳ 明朝"/>
          <w:color w:val="000000"/>
        </w:rPr>
        <w:tab/>
        <w:t>ブリュッセルでは、共通共同体委員会とフランス語共同体委員会が、障害のある子どもの親や家族に休養の機会を提供する各種団体に助成している。</w:t>
      </w:r>
    </w:p>
    <w:p w14:paraId="0000012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196.</w:t>
      </w:r>
      <w:r>
        <w:rPr>
          <w:rFonts w:ascii="ＭＳ 明朝" w:eastAsia="ＭＳ 明朝" w:hAnsi="ＭＳ 明朝" w:cs="ＭＳ 明朝"/>
          <w:color w:val="000000"/>
        </w:rPr>
        <w:tab/>
        <w:t xml:space="preserve">ドイツ語圏では、2025年基本計画で、障害のある子どものいる家庭が、通常の学校外保育サービスをより体系的に利用できるようにすることを定めている。2017年、自立生活支援サービスは、幼小児のケアのための地域センターと協力して、学校外保育の試験的プロジェクトを開始した。このプロジェクトにより、保護者は、障害の有無にかかわらず、自宅近くのデイケアセンターで子どもの居場所を見つけることができるようになった。 </w:t>
      </w:r>
    </w:p>
    <w:p w14:paraId="00000124"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事前質問事項のパラグラフ21（b）への回答</w:t>
      </w:r>
    </w:p>
    <w:p w14:paraId="0000012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197.</w:t>
      </w:r>
      <w:r>
        <w:rPr>
          <w:rFonts w:ascii="ＭＳ 明朝" w:eastAsia="ＭＳ 明朝" w:hAnsi="ＭＳ 明朝" w:cs="ＭＳ 明朝"/>
          <w:color w:val="000000"/>
        </w:rPr>
        <w:tab/>
        <w:t>民法では、養子縁組の受入れ資格を得るための条件は、すべての市民で同じであり、養子縁組の受入れを希望する人の健康状態とは関係づけられていない。しかし、すべての養子縁組受入れ希望者は、家庭裁判所から養子縁組をする資格と適性があると認められなければならない。養子縁組受入れ希望者は、福祉当局の調査に基づき、必要な社会的・心理的資質を備えていれば「適切」とみなされる。調査では、養子縁組者の適性および養子側の利益を検討し、関係者の個人的、家庭的、医学的状況およびその動機が考慮される。</w:t>
      </w:r>
    </w:p>
    <w:p w14:paraId="0000012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198.</w:t>
      </w:r>
      <w:r>
        <w:rPr>
          <w:rFonts w:ascii="ＭＳ 明朝" w:eastAsia="ＭＳ 明朝" w:hAnsi="ＭＳ 明朝" w:cs="ＭＳ 明朝"/>
          <w:color w:val="000000"/>
        </w:rPr>
        <w:tab/>
        <w:t>ワロン地域では、ワロン保健・社会保護・障害・家族庁が「愛へのねがい」（</w:t>
      </w:r>
      <w:r>
        <w:rPr>
          <w:rFonts w:ascii="ＭＳ 明朝" w:eastAsia="ＭＳ 明朝" w:hAnsi="ＭＳ 明朝" w:cs="ＭＳ 明朝"/>
          <w:i/>
          <w:iCs/>
          <w:color w:val="000000"/>
        </w:rPr>
        <w:t>Envie d'amour</w:t>
      </w:r>
      <w:r>
        <w:rPr>
          <w:rFonts w:ascii="ＭＳ 明朝" w:eastAsia="ＭＳ 明朝" w:hAnsi="ＭＳ 明朝" w:cs="ＭＳ 明朝"/>
          <w:color w:val="000000"/>
        </w:rPr>
        <w:t xml:space="preserve">）イベントを開催し、人々の感情的、性的な生活と関係における自己決定を強めるための助言や解決策を提供している。このイベントには、子育てのタブーをなくすために役立つブースも設けられている。フランス語圏におけるすべての子育て支援の取り組みを把握し、既存の様々なサービスを改善する方法を提案するための子育てグループが立ち上げられた。 </w:t>
      </w:r>
    </w:p>
    <w:p w14:paraId="00000127"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事前質問事項のパラグラフ21（c）への回答</w:t>
      </w:r>
    </w:p>
    <w:p w14:paraId="0000012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55" w:name="_heading=h.nuezlqiiqs7" w:colFirst="0" w:colLast="0"/>
      <w:bookmarkEnd w:id="55"/>
      <w:r>
        <w:rPr>
          <w:rFonts w:ascii="ＭＳ 明朝" w:eastAsia="ＭＳ 明朝" w:hAnsi="ＭＳ 明朝" w:cs="ＭＳ 明朝"/>
          <w:color w:val="000000"/>
        </w:rPr>
        <w:t>199.</w:t>
      </w:r>
      <w:r>
        <w:rPr>
          <w:rFonts w:ascii="ＭＳ 明朝" w:eastAsia="ＭＳ 明朝" w:hAnsi="ＭＳ 明朝" w:cs="ＭＳ 明朝"/>
          <w:color w:val="000000"/>
        </w:rPr>
        <w:tab/>
        <w:t>フラマン語共同体では、2018年にフランドルで行われた障害のある女性の性的暴力に関する調査によると、知的障害のある女性が生活する閉鎖的な環境では、性についてほとんど議論されず、性的知識や自己決定が制限され、性が尊重されていないことが明らかになった。研究者たちは、性的暴力の兆候を認識すること、性的暴力の被害者である女性を受け入れ指導すること、性の経験や性的な体験や関係に注意を払うことに関して、特に教育分野において、（将来の）専門家への訓練とより高い専門性が必要であることを明らかにした。</w:t>
      </w:r>
    </w:p>
    <w:p w14:paraId="0000012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200.</w:t>
      </w:r>
      <w:r>
        <w:rPr>
          <w:rFonts w:ascii="ＭＳ 明朝" w:eastAsia="ＭＳ 明朝" w:hAnsi="ＭＳ 明朝" w:cs="ＭＳ 明朝"/>
          <w:color w:val="000000"/>
        </w:rPr>
        <w:tab/>
        <w:t xml:space="preserve">ワロン地域では、「性と障害に関する情報センター」があり、障害のある人の情緒的・性的生活や人間関係に関する情報を必要としている人が利用できる。情緒的・性的生活と人間関係に関する政策の一環として、わかりやすい版で入手できる小冊子や、子育ての話題に焦点を当てた研修コースを通じて、子育ての問題が取り上げられている。また、専門職やこのテーマに関心のある人たちのために、訓練コースや指導セッションも企画されている。プロキシマム・プロジェクトは、障害のある女性を含む特に弱い立場の女性に、子どもとの絆を再構築し、前向きな関係を育み、母親が子どもと一緒に暮らし続けるために必要な手段を提供する場を用意している。 </w:t>
      </w:r>
    </w:p>
    <w:p w14:paraId="0000012A" w14:textId="77777777" w:rsidR="0097565A" w:rsidRDefault="00400FB1">
      <w:pPr>
        <w:pBdr>
          <w:top w:val="nil"/>
          <w:left w:val="nil"/>
          <w:bottom w:val="nil"/>
          <w:right w:val="nil"/>
          <w:between w:val="nil"/>
        </w:pBdr>
        <w:tabs>
          <w:tab w:val="left" w:pos="1701"/>
          <w:tab w:val="left" w:pos="2268"/>
          <w:tab w:val="left" w:pos="2072"/>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201.</w:t>
      </w:r>
      <w:r>
        <w:rPr>
          <w:rFonts w:ascii="ＭＳ 明朝" w:eastAsia="ＭＳ 明朝" w:hAnsi="ＭＳ 明朝" w:cs="ＭＳ 明朝"/>
          <w:color w:val="000000"/>
        </w:rPr>
        <w:tab/>
        <w:t>ブリュッセルでは、フランス語共同体委員会が「性と障害のためのリソースセンター」にも資金を提供している。PHAREサービス（訳注　パラグラフ83参照）は「愛への欲求」イベントに参加している。</w:t>
      </w:r>
    </w:p>
    <w:p w14:paraId="0000012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202.</w:t>
      </w:r>
      <w:r>
        <w:rPr>
          <w:rFonts w:ascii="ＭＳ 明朝" w:eastAsia="ＭＳ 明朝" w:hAnsi="ＭＳ 明朝" w:cs="ＭＳ 明朝"/>
          <w:color w:val="000000"/>
        </w:rPr>
        <w:tab/>
        <w:t>ドイツ語圏では、自立生活サービスのSENS支援サービスが、障害のある人とその家族に対して、人間関係、感情、性に関する質問へのアドバイスと支援を提供している。</w:t>
      </w:r>
    </w:p>
    <w:p w14:paraId="0000012C"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6" w:name="_heading=h.63r9q2hpx6as" w:colFirst="0" w:colLast="0"/>
      <w:bookmarkEnd w:id="56"/>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教育（第24条）</w:t>
      </w:r>
    </w:p>
    <w:p w14:paraId="0000012D"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事前質問事項のパラグラフ22（a）への回答</w:t>
      </w:r>
    </w:p>
    <w:p w14:paraId="0000012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203.</w:t>
      </w:r>
      <w:r>
        <w:rPr>
          <w:rFonts w:ascii="ＭＳ 明朝" w:eastAsia="ＭＳ 明朝" w:hAnsi="ＭＳ 明朝" w:cs="ＭＳ 明朝"/>
          <w:color w:val="000000"/>
        </w:rPr>
        <w:tab/>
        <w:t>フラマン語共同体では、メインストリームでの教育をよりインクルーシブなものにするために、特別な教育的ニーズを持つ生徒のための措置に関する法令（いわゆるM法令）、新しい支援モデル（下記参照）、初等・中等教育における生徒指導および学校指導センターに関する法令など、いくつかの政策措置が実施されている。いっそうインクルーシブな教育へ移行するために採用された戦略では、保護者は自分の子どもをメインストリーム校に入学させるという選択ができる。メインストリーム校は、生徒が個別に変更されたプログラムに基づいて学習面で進歩するために必要な調整の妥当性を評価することが義務付けられている。保護者と学校による決定が、特別支援教育を受ける生徒数の減少につながった場合、保証制度が有効とされ、特別支援教育からメインストリームでの教育への資源の移転が始まる。2015年9月1日の政令の導入後、この戦略は初等教育にすぐに効果をもたらしたが、中等教育での効果は比較的限定的であった。</w:t>
      </w:r>
    </w:p>
    <w:p w14:paraId="0000012F" w14:textId="77777777" w:rsidR="0097565A" w:rsidRDefault="00400FB1">
      <w:pPr>
        <w:pBdr>
          <w:top w:val="nil"/>
          <w:left w:val="nil"/>
          <w:bottom w:val="nil"/>
          <w:right w:val="nil"/>
          <w:between w:val="nil"/>
        </w:pBdr>
        <w:tabs>
          <w:tab w:val="left" w:pos="1701"/>
          <w:tab w:val="left" w:pos="2268"/>
          <w:tab w:val="left" w:pos="20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204.</w:t>
      </w:r>
      <w:r>
        <w:rPr>
          <w:rFonts w:ascii="ＭＳ 明朝" w:eastAsia="ＭＳ 明朝" w:hAnsi="ＭＳ 明朝" w:cs="ＭＳ 明朝"/>
          <w:color w:val="000000"/>
        </w:rPr>
        <w:tab/>
        <w:t>フランス語共同体では、2019年5月3日の法律により、メインストリームでの教育の校舎内に特別教育学級または施設（special education classes or facilities）を設けることが規定されている。これらのクラスは「インクルーシブ・クラス」という名称であり、メインストリーム校内に設置される。さらに、高等教育をよりインクルーシブにするために2つの政令が採択された。第一の政令は、高等教育の範囲（higher educational landscape）と学業組織について定めたもので（いわゆる範囲政令）、学習活動への参加が困難な学生は、年間履修プログラムを軽減することができる。インクルーシブ高等教育に関する2つ目の政令は、施設へのアクセスを改善し、特に支援サービスや合理的配慮を通じて、学生のニーズに合った教育を提供することを目的としている。</w:t>
      </w:r>
    </w:p>
    <w:p w14:paraId="0000013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205.</w:t>
      </w:r>
      <w:r>
        <w:rPr>
          <w:rFonts w:ascii="ＭＳ 明朝" w:eastAsia="ＭＳ 明朝" w:hAnsi="ＭＳ 明朝" w:cs="ＭＳ 明朝"/>
          <w:color w:val="000000"/>
        </w:rPr>
        <w:tab/>
        <w:t>ワロン地域では、ワロン保健・社会保護・障害・家族庁の個人支援プログラムが、高等教育または成人学習プログラムに在籍する学生を対象に、年間450時間までの個人指導（tutoring）の費用を負担している。2019年に更新された同庁と教育総局との間の議定書は、学生とその家族の利益のために、それぞれの特殊性を考慮しつつ、両部門間の協力を促進することを目的としている。</w:t>
      </w:r>
    </w:p>
    <w:p w14:paraId="00000131" w14:textId="7AA51702"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206.</w:t>
      </w:r>
      <w:r>
        <w:rPr>
          <w:rFonts w:ascii="ＭＳ 明朝" w:eastAsia="ＭＳ 明朝" w:hAnsi="ＭＳ 明朝" w:cs="ＭＳ 明朝"/>
          <w:color w:val="000000"/>
        </w:rPr>
        <w:tab/>
        <w:t>ドイツ語圏では、先の議会の会期中には、学生個人への支援が大きな議題とされた。2017年9月1日以降、障害に対する補填</w:t>
      </w:r>
      <w:r w:rsidR="009970B1">
        <w:rPr>
          <w:rFonts w:ascii="ＭＳ 明朝" w:eastAsia="ＭＳ 明朝" w:hAnsi="ＭＳ 明朝" w:cs="ＭＳ 明朝" w:hint="eastAsia"/>
          <w:color w:val="000000"/>
        </w:rPr>
        <w:t>（</w:t>
      </w:r>
      <w:r w:rsidR="009970B1" w:rsidRPr="009970B1">
        <w:rPr>
          <w:rFonts w:ascii="ＭＳ 明朝" w:eastAsia="ＭＳ 明朝" w:hAnsi="ＭＳ 明朝" w:cs="ＭＳ 明朝"/>
          <w:color w:val="000000"/>
        </w:rPr>
        <w:t>compensation</w:t>
      </w:r>
      <w:r w:rsidR="009970B1">
        <w:rPr>
          <w:rFonts w:ascii="ＭＳ 明朝" w:eastAsia="ＭＳ 明朝" w:hAnsi="ＭＳ 明朝" w:cs="ＭＳ 明朝" w:hint="eastAsia"/>
          <w:color w:val="000000"/>
        </w:rPr>
        <w:t>）</w:t>
      </w:r>
      <w:r>
        <w:rPr>
          <w:rFonts w:ascii="ＭＳ 明朝" w:eastAsia="ＭＳ 明朝" w:hAnsi="ＭＳ 明朝" w:cs="ＭＳ 明朝"/>
          <w:color w:val="000000"/>
        </w:rPr>
        <w:t xml:space="preserve">が利用できるようになり、学生具体的、個別的な機能障害を物理的，非物理的、方法的、教育的、組織的措置によって補填することができるようになった。すでに多くの学生がこうした補填を受けている。2018年9月1日、学生の成績保護（protection for </w:t>
      </w:r>
      <w:proofErr w:type="spellStart"/>
      <w:r>
        <w:rPr>
          <w:rFonts w:ascii="ＭＳ 明朝" w:eastAsia="ＭＳ 明朝" w:hAnsi="ＭＳ 明朝" w:cs="ＭＳ 明朝"/>
          <w:color w:val="000000"/>
        </w:rPr>
        <w:t>students’grades</w:t>
      </w:r>
      <w:proofErr w:type="spellEnd"/>
      <w:r>
        <w:rPr>
          <w:rFonts w:ascii="ＭＳ 明朝" w:eastAsia="ＭＳ 明朝" w:hAnsi="ＭＳ 明朝" w:cs="ＭＳ 明朝"/>
          <w:color w:val="000000"/>
        </w:rPr>
        <w:t>）が導入された。これは、学校カリキュラムの1つまたは複数の分野で、埋めることができないまたはまだ埋められていないギャップがある場合、生徒の成績評価をあえて行わないようにするものである。</w:t>
      </w:r>
    </w:p>
    <w:p w14:paraId="00000132"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事前質問事項のパラグラフ22（b）への回答</w:t>
      </w:r>
    </w:p>
    <w:p w14:paraId="0000013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207.</w:t>
      </w:r>
      <w:r>
        <w:rPr>
          <w:rFonts w:ascii="ＭＳ 明朝" w:eastAsia="ＭＳ 明朝" w:hAnsi="ＭＳ 明朝" w:cs="ＭＳ 明朝"/>
          <w:color w:val="000000"/>
        </w:rPr>
        <w:tab/>
        <w:t>フラマン語共同体では、特別な教育的支援を必要とする生徒のための措置に関する政令の発効は、特別教育を受ける生徒の数に影響を与えただけでなく、統合教育を通じてメインストリーム校で支援を受ける生徒数の減少にもつながった。この状況を打開するために、生徒総数の減少があっても、予算は2014年から2015年の水準を維持するという保証や、特別教育における保証制度の早期発効といった援護措置がとられた。2017年からは、統合教育、インクルーシブ教育、保証制度に基づく支援を通じて、上記の施策を統合した新たな支援モデルが導入されて、保護者、就学指導センター、特別支援学校と協議の上、子どものニーズに応じて必要な支援が決定されている。新しい支援モデルの開始に伴い、1,520万ユーロの追加予算が用意された。さらに、年間約300万ユーロの予算が特別教材に当てられた。学校インフラの面では、建築や建て替えプロジェクトは、特定のアクセシビリティ規則に従わなければならない。学校インフラ庁は、既存の建物では手段が不十分な間は、校舎のアクセシビリティに関する情報を提供することで支援を行っている。</w:t>
      </w:r>
    </w:p>
    <w:p w14:paraId="0000013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208.</w:t>
      </w:r>
      <w:r>
        <w:rPr>
          <w:rFonts w:ascii="ＭＳ 明朝" w:eastAsia="ＭＳ 明朝" w:hAnsi="ＭＳ 明朝" w:cs="ＭＳ 明朝"/>
          <w:color w:val="000000"/>
        </w:rPr>
        <w:tab/>
        <w:t>フランス語共同体では、2017年12月7日の政令により、特別なニーズを持つ生徒が特別教育学校に通うことが絶対的に必要な状況でない限り、合理的配慮を提供することを保証することが義務づけられた。合理的配慮とは、物質的、組織的、教育的なものである。このような配慮は、専門家による診断で確認された特定のニーズを持つ生徒に提供されるものであり、関係者全員による話し合いが必要である。障害のある学生の社会参加教育へのアクセスを容易にするため、社会参加のためのインクルーシブ教育に関する2016年6月30日付法令および2017年7月5日付命令は、教育へのアクセスおよび教育そのものを阻む様々な障壁を除去または軽減することを目的としている。高等教育に関しては、高等教育に関する政令（質問パラグラフ22（a）への回答参照）において、高等教育機関の受け入れおよび支援サービスは、学生のニーズに応じて個別の支援計画を作成し、その実施を確保し、評価（必要に応じて修正）しなければならないと規定されている。</w:t>
      </w:r>
    </w:p>
    <w:p w14:paraId="0000013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209.</w:t>
      </w:r>
      <w:r>
        <w:rPr>
          <w:rFonts w:ascii="ＭＳ 明朝" w:eastAsia="ＭＳ 明朝" w:hAnsi="ＭＳ 明朝" w:cs="ＭＳ 明朝"/>
          <w:color w:val="000000"/>
        </w:rPr>
        <w:tab/>
        <w:t>ブリュッセルでは、フランス語共同体委員会が、学校における障害のある人のインクルージョンのための支援サービスを強化している。これらの措置には、認可された支援サービスによる具体的な「学校へのインクルージョン」行動、主流校におけるインクルージョン補助の強化、高等教育および大学教育のための教育支援サービスの強化が含まれる。</w:t>
      </w:r>
    </w:p>
    <w:p w14:paraId="00000136"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事前質問事項のパラグラフ22（c）への回答</w:t>
      </w:r>
    </w:p>
    <w:p w14:paraId="0000013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210.</w:t>
      </w:r>
      <w:r>
        <w:rPr>
          <w:rFonts w:ascii="ＭＳ 明朝" w:eastAsia="ＭＳ 明朝" w:hAnsi="ＭＳ 明朝" w:cs="ＭＳ 明朝"/>
          <w:color w:val="000000"/>
        </w:rPr>
        <w:tab/>
        <w:t>障害のある教員の研修と雇用を促進・支援するための特別な措置は取られていない。状況は個別に検討され、個人の仕事への具体的な修正や配慮は、必要が生じたときに検討される。</w:t>
      </w:r>
    </w:p>
    <w:p w14:paraId="00000138"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7" w:name="_heading=h.964owez7bl59" w:colFirst="0" w:colLast="0"/>
      <w:bookmarkEnd w:id="57"/>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健康（第25条）</w:t>
      </w:r>
    </w:p>
    <w:p w14:paraId="00000139"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事前質問事項のパラグラフ23（a）への回答</w:t>
      </w:r>
    </w:p>
    <w:p w14:paraId="0000013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211.</w:t>
      </w:r>
      <w:r>
        <w:rPr>
          <w:rFonts w:ascii="ＭＳ 明朝" w:eastAsia="ＭＳ 明朝" w:hAnsi="ＭＳ 明朝" w:cs="ＭＳ 明朝"/>
          <w:color w:val="000000"/>
        </w:rPr>
        <w:tab/>
        <w:t>確認事項として、ベルギーでは、義務的健康保険制度により、ベルギー国民のほぼ全員が、質の高い医療を受けるための公的健康保険に加入している。</w:t>
      </w:r>
    </w:p>
    <w:p w14:paraId="0000013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212.</w:t>
      </w:r>
      <w:r>
        <w:rPr>
          <w:rFonts w:ascii="ＭＳ 明朝" w:eastAsia="ＭＳ 明朝" w:hAnsi="ＭＳ 明朝" w:cs="ＭＳ 明朝"/>
          <w:color w:val="000000"/>
        </w:rPr>
        <w:tab/>
        <w:t>フラマン語共同体では、3つの活動分野が検討されている。在宅ケアに関しては、家庭ケアサービス（family care services）では、障害者支援のための追加補助金を受け取っているので、障害のある人は、時間ごとの家族ケアにかかる費用の全額を支払う必要はなく、利用手数料を支払うだけで済むが、その他の事業所では、ケアにかかった実費を支払わなければならない。精神保健ケアの分野では、障害のある人へのケアを向上させるために、フラマン障害者庁と精神科病院との一層の協力体制が確立された。また、重複診断を受け、パーソナルアシスタンス予算への資格を有している人が、個人予算（</w:t>
      </w:r>
      <w:proofErr w:type="spellStart"/>
      <w:r>
        <w:rPr>
          <w:rFonts w:ascii="ＭＳ 明朝" w:eastAsia="ＭＳ 明朝" w:hAnsi="ＭＳ 明朝" w:cs="ＭＳ 明朝"/>
          <w:i/>
          <w:iCs/>
          <w:color w:val="000000"/>
        </w:rPr>
        <w:t>Persoonsvolgende</w:t>
      </w:r>
      <w:proofErr w:type="spellEnd"/>
      <w:r>
        <w:rPr>
          <w:rFonts w:ascii="ＭＳ 明朝" w:eastAsia="ＭＳ 明朝" w:hAnsi="ＭＳ 明朝" w:cs="ＭＳ 明朝"/>
          <w:i/>
          <w:iCs/>
          <w:color w:val="000000"/>
        </w:rPr>
        <w:t xml:space="preserve"> financiering</w:t>
      </w:r>
      <w:r>
        <w:rPr>
          <w:rFonts w:ascii="ＭＳ 明朝" w:eastAsia="ＭＳ 明朝" w:hAnsi="ＭＳ 明朝" w:cs="ＭＳ 明朝"/>
          <w:color w:val="000000"/>
        </w:rPr>
        <w:t>：PVF）を通じて、個人ケアの費用を賄うことができるのかどうか、またどのように賄うことができるようにするかについても検討された。高齢者のケアに関しては、アントワープ大学が、障害のある高齢者の自主性を高め、多様なケア分野へのアクセスを向上させるという観点から、高齢者のケアへの助成の範囲を拡大するために、このような資金をどのように利用できるかについての調査・研究を行った。</w:t>
      </w:r>
    </w:p>
    <w:p w14:paraId="0000013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213.</w:t>
      </w:r>
      <w:r>
        <w:rPr>
          <w:rFonts w:ascii="ＭＳ 明朝" w:eastAsia="ＭＳ 明朝" w:hAnsi="ＭＳ 明朝" w:cs="ＭＳ 明朝"/>
          <w:color w:val="000000"/>
        </w:rPr>
        <w:tab/>
        <w:t>ワロン地域では、ワロン社会福祉保健法典が改正され、第三者による決済代行制度が盛り込まれた。ワロン保健・社会保護・障害者・家族局は、障害のある人のケアへのアクセスに関する調査を実施するワーキンググループを設けた。さらに、医療・社会団体に助成金が交付されるときには、同局の医療・社会基盤部が、計画がアクセシビリティ基準に適合しているかどうかをチェックしている。</w:t>
      </w:r>
    </w:p>
    <w:p w14:paraId="0000013D" w14:textId="00E7CE29"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214.</w:t>
      </w:r>
      <w:r>
        <w:rPr>
          <w:rFonts w:ascii="ＭＳ 明朝" w:eastAsia="ＭＳ 明朝" w:hAnsi="ＭＳ 明朝" w:cs="ＭＳ 明朝"/>
          <w:color w:val="000000"/>
        </w:rPr>
        <w:tab/>
        <w:t>ブリュッセルでは、共同体委員会が、16歳以上の知的障害および行動障害のある人、またはその可能性のある人のための移動介入ユニットに助成している。その目的は、これらの障害を緩和し、その心理状態や家庭・施設での生活状況を改善することである。</w:t>
      </w:r>
    </w:p>
    <w:p w14:paraId="0000013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事前質問事項のパラグラフ23（b）で提起された論点への回答</w:t>
      </w:r>
    </w:p>
    <w:p w14:paraId="0000013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215.</w:t>
      </w:r>
      <w:r>
        <w:rPr>
          <w:rFonts w:ascii="ＭＳ 明朝" w:eastAsia="ＭＳ 明朝" w:hAnsi="ＭＳ 明朝" w:cs="ＭＳ 明朝"/>
          <w:color w:val="000000"/>
        </w:rPr>
        <w:tab/>
        <w:t>ワロン地域では、障害告知プラットフォーム（Disability Notice Platform）が、障害の診断を告知しなければならない専門職のための成功事例をまとめたウェブサイトを開設した。「インターレグ・モビ」（Interreg Mobi）プロジェクトは、重複診断に関する専門家のスキルを向上させるためのeラーニングコースを立ち上げている。また、このプロジェクトのもとでは、様々な協力者による研修日が設けられている。</w:t>
      </w:r>
    </w:p>
    <w:p w14:paraId="00000140"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8" w:name="_heading=h.ef51zy8dtfyn" w:colFirst="0" w:colLast="0"/>
      <w:bookmarkEnd w:id="58"/>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ハビリテーションとリハビリテーション（第26条）</w:t>
      </w:r>
    </w:p>
    <w:p w14:paraId="00000141"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事前質問事項のパラグラフ24（a）への回答</w:t>
      </w:r>
    </w:p>
    <w:p w14:paraId="00000142" w14:textId="36296E8A"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216.</w:t>
      </w:r>
      <w:r>
        <w:rPr>
          <w:rFonts w:ascii="ＭＳ 明朝" w:eastAsia="ＭＳ 明朝" w:hAnsi="ＭＳ 明朝" w:cs="ＭＳ 明朝"/>
          <w:color w:val="000000"/>
        </w:rPr>
        <w:tab/>
        <w:t>フラマン語共同体では、成人のための心理社会的</w:t>
      </w:r>
      <w:r w:rsidR="00913A0A">
        <w:rPr>
          <w:rFonts w:ascii="ＭＳ 明朝" w:eastAsia="ＭＳ 明朝" w:hAnsi="ＭＳ 明朝" w:cs="ＭＳ 明朝" w:hint="eastAsia"/>
          <w:color w:val="000000"/>
        </w:rPr>
        <w:t>リハビリテーションセンター</w:t>
      </w:r>
      <w:r>
        <w:rPr>
          <w:rFonts w:ascii="ＭＳ 明朝" w:eastAsia="ＭＳ 明朝" w:hAnsi="ＭＳ 明朝" w:cs="ＭＳ 明朝"/>
          <w:color w:val="000000"/>
        </w:rPr>
        <w:t>は、重度の精神保健ケアのニーズがあるために、特定の能力を失っているか、または限られた能力しか持っておらず、その結果、学校にとどまったり、仕事を見つけたり、家庭環境での生活や自主性を維持することが著しく困難な利用者を対象として、期間限定の外来または入所型のリハビリテーション・プログラムを提供している。また、センターの精神科</w:t>
      </w:r>
      <w:r w:rsidR="0016151B" w:rsidRPr="00913A0A">
        <w:rPr>
          <w:rFonts w:ascii="ＭＳ 明朝" w:eastAsia="ＭＳ 明朝" w:hAnsi="ＭＳ 明朝" w:cs="ＭＳ 明朝" w:hint="eastAsia"/>
          <w:color w:val="000000"/>
        </w:rPr>
        <w:t>が</w:t>
      </w:r>
      <w:r>
        <w:rPr>
          <w:rFonts w:ascii="ＭＳ 明朝" w:eastAsia="ＭＳ 明朝" w:hAnsi="ＭＳ 明朝" w:cs="ＭＳ 明朝"/>
          <w:color w:val="000000"/>
        </w:rPr>
        <w:t>運営するケアハウスや保護住居では、重度・長期の精神障害のある成人や高齢者に、回復ケアやカウンセリングを提供している。</w:t>
      </w:r>
    </w:p>
    <w:p w14:paraId="00000143" w14:textId="1B19D9D1"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217.</w:t>
      </w:r>
      <w:r>
        <w:rPr>
          <w:rFonts w:ascii="ＭＳ 明朝" w:eastAsia="ＭＳ 明朝" w:hAnsi="ＭＳ 明朝" w:cs="ＭＳ 明朝"/>
          <w:color w:val="000000"/>
        </w:rPr>
        <w:tab/>
        <w:t>ワロン地域には、学際的なリハビリテーションセンターと紹介センターがある。その</w:t>
      </w:r>
      <w:r w:rsidR="00913A0A">
        <w:rPr>
          <w:rFonts w:ascii="ＭＳ 明朝" w:eastAsia="ＭＳ 明朝" w:hAnsi="ＭＳ 明朝" w:cs="ＭＳ 明朝" w:hint="eastAsia"/>
          <w:color w:val="000000"/>
        </w:rPr>
        <w:t>リハビリテーションセンター</w:t>
      </w:r>
      <w:r>
        <w:rPr>
          <w:rFonts w:ascii="ＭＳ 明朝" w:eastAsia="ＭＳ 明朝" w:hAnsi="ＭＳ 明朝" w:cs="ＭＳ 明朝"/>
          <w:color w:val="000000"/>
        </w:rPr>
        <w:t>は、様々な機能的障害のある人々に、可能な限りの自主性と最適な社会や家庭への復帰を目指して、学際的なリハビリテーション・プログラムを提供している。一方、学際的な紹介センターは、特定の病態に特化し、患者に生涯にわたる支援を提供し、診断後の患者（ほとんどが外来による）の経過を観察し、必要な情報、訓練、心理社会的支援を提供することができる。そのためには、他の一次ケア機関や二次ケア機関との連携が不可欠となる。</w:t>
      </w:r>
    </w:p>
    <w:p w14:paraId="0000014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218.</w:t>
      </w:r>
      <w:r>
        <w:rPr>
          <w:rFonts w:ascii="ＭＳ 明朝" w:eastAsia="ＭＳ 明朝" w:hAnsi="ＭＳ 明朝" w:cs="ＭＳ 明朝"/>
          <w:color w:val="000000"/>
        </w:rPr>
        <w:tab/>
        <w:t>ブリュッセルでは、共通共同体委員会が、障害のある人のための複合コミュニテイセンター（bicommunal centres）とサービスの認定と助成を担当している。現在、7つの宿泊センターと11のデイセンターがある。これらのセンターの目的は、障害のある人の統合と参加を促進することである。2019年1月1日現在、アイリスケア（</w:t>
      </w:r>
      <w:proofErr w:type="spellStart"/>
      <w:r>
        <w:rPr>
          <w:rFonts w:ascii="ＭＳ 明朝" w:eastAsia="ＭＳ 明朝" w:hAnsi="ＭＳ 明朝" w:cs="ＭＳ 明朝"/>
          <w:color w:val="000000"/>
        </w:rPr>
        <w:t>Iriscare</w:t>
      </w:r>
      <w:proofErr w:type="spellEnd"/>
      <w:r>
        <w:rPr>
          <w:rFonts w:ascii="ＭＳ 明朝" w:eastAsia="ＭＳ 明朝" w:hAnsi="ＭＳ 明朝" w:cs="ＭＳ 明朝"/>
          <w:color w:val="000000"/>
        </w:rPr>
        <w:t>、訳注　パラグラフ28参照）は24の複合コミュニテイの機能的リハビリテーションセンターに資金を提供している。</w:t>
      </w:r>
    </w:p>
    <w:p w14:paraId="00000145"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事前質問事項のパラグラフ24（b）への回答</w:t>
      </w:r>
    </w:p>
    <w:p w14:paraId="0000014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219.</w:t>
      </w:r>
      <w:r>
        <w:rPr>
          <w:rFonts w:ascii="ＭＳ 明朝" w:eastAsia="ＭＳ 明朝" w:hAnsi="ＭＳ 明朝" w:cs="ＭＳ 明朝"/>
          <w:color w:val="000000"/>
        </w:rPr>
        <w:tab/>
        <w:t>フラマン地域では、リハビリ器具の補助金はリハビリテーション協定に明記され、利用者の医療費負担は政令で定められている。原則として、ケアの利用者に追加支出を求めることはできない（協定に別段の定めがある場合を除く）。ただし、障害のある人の特有の状況は考慮される。例えば、障害に関連した収入に基づく手当の加算を受けている障害のある人は、個人負担の支払いを免除または減額されなる。</w:t>
      </w:r>
    </w:p>
    <w:p w14:paraId="0000014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220.</w:t>
      </w:r>
      <w:r>
        <w:rPr>
          <w:rFonts w:ascii="ＭＳ 明朝" w:eastAsia="ＭＳ 明朝" w:hAnsi="ＭＳ 明朝" w:cs="ＭＳ 明朝"/>
          <w:color w:val="000000"/>
        </w:rPr>
        <w:tab/>
        <w:t>ワロン地域では、障害のある人を対象としているセンターはワロン保健・社会保護・障害・家族庁との協定に基づいて組織されており、いくつかの基準を満たすことを条件として、すべての人が平等に利用できるようになっている。一般的に、患者は治療費を自己負担せず、この部分は保険会社を通じてワロン地域が埋め合わせている。</w:t>
      </w:r>
    </w:p>
    <w:p w14:paraId="0000014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221.</w:t>
      </w:r>
      <w:r>
        <w:rPr>
          <w:rFonts w:ascii="ＭＳ 明朝" w:eastAsia="ＭＳ 明朝" w:hAnsi="ＭＳ 明朝" w:cs="ＭＳ 明朝"/>
          <w:color w:val="000000"/>
        </w:rPr>
        <w:tab/>
        <w:t>ドイツ語共同体は、長期リハビリテーション・サービスの資金調達に責任を負っているが、その資金とケアへのアクセスという点で、個人を区別していない。</w:t>
      </w:r>
    </w:p>
    <w:p w14:paraId="00000149"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59" w:name="_heading=h.jcx38gd7al3a" w:colFirst="0" w:colLast="0"/>
      <w:bookmarkEnd w:id="59"/>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労働と雇用（第27条）</w:t>
      </w:r>
    </w:p>
    <w:p w14:paraId="0000014A" w14:textId="57DCB87C" w:rsidR="0097565A" w:rsidRDefault="00400FB1">
      <w:pPr>
        <w:keepNext/>
        <w:keepLines/>
        <w:pBdr>
          <w:top w:val="nil"/>
          <w:left w:val="nil"/>
          <w:bottom w:val="nil"/>
          <w:right w:val="nil"/>
          <w:between w:val="nil"/>
        </w:pBdr>
        <w:tabs>
          <w:tab w:val="right" w:pos="851"/>
        </w:tabs>
        <w:spacing w:before="240" w:after="120" w:line="240" w:lineRule="auto"/>
        <w:ind w:left="1134" w:right="1134"/>
        <w:rPr>
          <w:rFonts w:ascii="ＭＳ 明朝" w:eastAsia="ＭＳ 明朝" w:hAnsi="ＭＳ 明朝" w:cs="ＭＳ 明朝"/>
          <w:b/>
          <w:bCs/>
          <w:color w:val="000000"/>
        </w:rPr>
      </w:pPr>
      <w:r>
        <w:rPr>
          <w:rFonts w:ascii="ＭＳ 明朝" w:eastAsia="ＭＳ 明朝" w:hAnsi="ＭＳ 明朝" w:cs="ＭＳ 明朝"/>
          <w:b/>
          <w:bCs/>
          <w:color w:val="000000"/>
        </w:rPr>
        <w:t>事前質問事項のパラグラフ25（a）への回答</w:t>
      </w:r>
    </w:p>
    <w:p w14:paraId="0000014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60" w:name="_heading=h.e1u3klebczdl" w:colFirst="0" w:colLast="0"/>
      <w:bookmarkEnd w:id="60"/>
      <w:r>
        <w:rPr>
          <w:rFonts w:ascii="ＭＳ 明朝" w:eastAsia="ＭＳ 明朝" w:hAnsi="ＭＳ 明朝" w:cs="ＭＳ 明朝"/>
          <w:color w:val="000000"/>
        </w:rPr>
        <w:t>222.</w:t>
      </w:r>
      <w:r>
        <w:rPr>
          <w:rFonts w:ascii="ＭＳ 明朝" w:eastAsia="ＭＳ 明朝" w:hAnsi="ＭＳ 明朝" w:cs="ＭＳ 明朝"/>
          <w:color w:val="000000"/>
        </w:rPr>
        <w:tab/>
        <w:t>連邦レベルでは、病気により1カ月以上欠勤し、健康状態により一時的または永続的に66％以上の稼得能力を失った労働者に対して、補償保険（indemnity insurance）が代替となる所得を提供する。2018年以降、労働監督官は身分を明かすことなく、いわゆる覆面電話調査(ミステリーコール)を利用して労働市場における差別を検証できるようになった。このようなコールは、障害も対象としている既存の3つの差別禁止法の下で使用される。2019年には、不利な立場にあるグループ、特に障害のある人に対する雇用者のアファーマティブ・アクション（積極的格差是正措置）の法的確実性を確保するための新たな法的枠組みが採択された。また、国立健康・障害保険機関は、重度・長期の精神疾患のある人々を対象とし、その体系的方法について訓練を受けたジョブコーチの積極的な支援により、「配置してから訓練する」という原則に基づいて機能する「個別配置支援」（individual placement support）モデルの裏付けとなる大規模なパイロット実験を開始した。現在行われている「ハンディキャッパブル」（</w:t>
      </w:r>
      <w:proofErr w:type="spellStart"/>
      <w:r>
        <w:rPr>
          <w:rFonts w:ascii="ＭＳ 明朝" w:eastAsia="ＭＳ 明朝" w:hAnsi="ＭＳ 明朝" w:cs="ＭＳ 明朝"/>
          <w:color w:val="000000"/>
        </w:rPr>
        <w:t>Handicapable</w:t>
      </w:r>
      <w:proofErr w:type="spellEnd"/>
      <w:r>
        <w:rPr>
          <w:rFonts w:ascii="ＭＳ 明朝" w:eastAsia="ＭＳ 明朝" w:hAnsi="ＭＳ 明朝" w:cs="ＭＳ 明朝"/>
          <w:color w:val="000000"/>
        </w:rPr>
        <w:t>）という応援キャンペーンは、人事選考、優先採用、職場改善のための合理的配慮措置について、公的機関や障害のある人に知らしめることを目的としている。人事選考に関しては、障害のある人がパートタイムで政府職の試用期間を修了できるように改められ、また手話言語認定手続きも制度化された。</w:t>
      </w:r>
    </w:p>
    <w:p w14:paraId="0000014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223.</w:t>
      </w:r>
      <w:r>
        <w:rPr>
          <w:rFonts w:ascii="ＭＳ 明朝" w:eastAsia="ＭＳ 明朝" w:hAnsi="ＭＳ 明朝" w:cs="ＭＳ 明朝"/>
          <w:color w:val="000000"/>
        </w:rPr>
        <w:tab/>
        <w:t>あらゆるレベルの当局が毎年、全国的なジョブシャドウデイ（</w:t>
      </w:r>
      <w:proofErr w:type="spellStart"/>
      <w:r>
        <w:rPr>
          <w:rFonts w:ascii="ＭＳ 明朝" w:eastAsia="ＭＳ 明朝" w:hAnsi="ＭＳ 明朝" w:cs="ＭＳ 明朝"/>
          <w:color w:val="000000"/>
        </w:rPr>
        <w:t>DUOday</w:t>
      </w:r>
      <w:proofErr w:type="spellEnd"/>
      <w:r>
        <w:rPr>
          <w:rFonts w:ascii="ＭＳ 明朝" w:eastAsia="ＭＳ 明朝" w:hAnsi="ＭＳ 明朝" w:cs="ＭＳ 明朝"/>
          <w:color w:val="000000"/>
        </w:rPr>
        <w:t>）を共同で開催する（訳注　Job Shadow Dayとは職業体験プログラムで、児童、生徒、大学生が、企業の社員に半日か1日、「影法師」のように張りついて同行し、社員がどのような仕事をしているかを観察して学ぶ機会である）。</w:t>
      </w:r>
    </w:p>
    <w:p w14:paraId="0000014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224.</w:t>
      </w:r>
      <w:r>
        <w:rPr>
          <w:rFonts w:ascii="ＭＳ 明朝" w:eastAsia="ＭＳ 明朝" w:hAnsi="ＭＳ 明朝" w:cs="ＭＳ 明朝"/>
          <w:color w:val="000000"/>
        </w:rPr>
        <w:tab/>
        <w:t xml:space="preserve">フラマン政府は、障害のある女性や男性の雇用を促進するために様々な措置を講じている。フラマン支援ボーナス（Flemish support bonus）は、障害のある人を雇用する雇用主および自営業の障害のある人への賃金補助（wage subsidy）である。このボーナスは、受給期間に応じて基本給の20％または40％である。場合によっては、ボーナスを基本賃金の60％まで引き上げることもできる。2019年1月1日、ボーナスの対象グループが拡大され、状況がまだ変化する可能性があるが、病状によって社会復帰が困難な障害が生ずる恐れのある人々が含まれるようになった。ボーナスは最長2年間は20％だが、延長も可能であり、また60％まで引き上げることができる。2018年の職場学習政策（workplace learning policy）の改革では、障害のある人の個別職業訓練に関する規則の見直しが行われた。障害のある人の採用活動は、少なくとも訓練期間中は保証される。特別雇用支援措置に関する規則は、障害のある求職者や学生にも職場環境を改善させる権利を与えるよう変更された。2014年4月25日の仕事とケアの選択肢（work and care pathways）に関する法令に基づき、一般経済（general economy）または社会経済（social economy）において一時的に有給雇用に従事することができない、医学的、精神的、心理的、精神医学的または社会的問題を抱えた求職者のための専門的指導サービスが開始された。さらに、2016年から2020年の機会均等・多様性戦略計画のもと、フラマン行政機関における障害のある人と慢性疾患者の雇用目標3％を達成するための多くの具体的な施策が立ち上げられている。2018年末現在、フラマン政府で働く678人(1.8％)が、障害または慢性疾患のある人として登録されている。 </w:t>
      </w:r>
    </w:p>
    <w:p w14:paraId="0000014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225.</w:t>
      </w:r>
      <w:r>
        <w:rPr>
          <w:rFonts w:ascii="ＭＳ 明朝" w:eastAsia="ＭＳ 明朝" w:hAnsi="ＭＳ 明朝" w:cs="ＭＳ 明朝"/>
          <w:color w:val="000000"/>
        </w:rPr>
        <w:tab/>
        <w:t>フランス語共同体では、公務員に障害のある人を含めることを推奨していて、それへの組織的なアプローチを促進するために、2016年に顧問職（adviser position）が創設された。</w:t>
      </w:r>
    </w:p>
    <w:p w14:paraId="0000014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226.</w:t>
      </w:r>
      <w:r>
        <w:rPr>
          <w:rFonts w:ascii="ＭＳ 明朝" w:eastAsia="ＭＳ 明朝" w:hAnsi="ＭＳ 明朝" w:cs="ＭＳ 明朝"/>
          <w:color w:val="000000"/>
        </w:rPr>
        <w:tab/>
        <w:t>ワロン地域では、障害のある人の雇用率を高めるために、法的な義務付けと雇用主の意識向上という2つの側面からのアプローチが用いられている。ワロン職業訓練・雇用局は、障害のある求職者への支援策を導入し、障害のある人のニーズに対応するための支援専門職向けの訓練コースを設けている。ワロン政府は、障害のある人の公務員としての採用とキャリアに関する規定を更新した。ワロン職業訓練・雇用局は2年ごとに、保健・社会保護・障害・家族庁と協力して、障害者雇用に関する報告を作成しなければならない。</w:t>
      </w:r>
    </w:p>
    <w:p w14:paraId="0000015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227.</w:t>
      </w:r>
      <w:r>
        <w:rPr>
          <w:rFonts w:ascii="ＭＳ 明朝" w:eastAsia="ＭＳ 明朝" w:hAnsi="ＭＳ 明朝" w:cs="ＭＳ 明朝"/>
          <w:color w:val="000000"/>
        </w:rPr>
        <w:tab/>
        <w:t>ブリュッセルでは、ブリュッセル首都圏政府が2014年に「プールH」という先行ジェクトを立ち上げ、ブリュッセル地域で活動し、障害のある人の雇用と定着に関心を示す公的・民間部門の雇用主に対して、直接面接する形での採用支援を提供している。結果が良かったことを受け、このプロジェクトは2017年にアクティリス（</w:t>
      </w:r>
      <w:proofErr w:type="spellStart"/>
      <w:r>
        <w:rPr>
          <w:rFonts w:ascii="ＭＳ 明朝" w:eastAsia="ＭＳ 明朝" w:hAnsi="ＭＳ 明朝" w:cs="ＭＳ 明朝"/>
          <w:color w:val="000000"/>
        </w:rPr>
        <w:t>Actiris</w:t>
      </w:r>
      <w:proofErr w:type="spellEnd"/>
      <w:r>
        <w:rPr>
          <w:rFonts w:ascii="ＭＳ 明朝" w:eastAsia="ＭＳ 明朝" w:hAnsi="ＭＳ 明朝" w:cs="ＭＳ 明朝"/>
          <w:color w:val="000000"/>
        </w:rPr>
        <w:t>）（ブリュッセル地域雇用事務所）の業務に構造的に組み込まれた。2016年半ばには、アクティリスは障害のある人に合わせた求職支援サービスの公募入札も実施した。2018年、臨時労働者訓練基金は、ブリュッセルの臨時雇用業者の間での障害者雇用に関する認識を高めるためのキャンペーンを実施した。障害者の主流への組み入れに関する条例に基づき、起業を希望する障害のある人のための情報とガイダンスを改善し、障害のある起業家の支援に携わる関係者の間で既存の支援措置への認識を高めるための先行プロジェクトが開始された。さらに、いくつかの有効化・雇用統合政策が、長期的に障害のある人の労働市場への統合に貢献している。公務員に関しては、2016年から2020年にかけて設定された地域の公務員の多様性のための5つの優先目標リストに、障害者政策が含まれている。具体的には、地域のすべての公共機関は、この優先目標を確実な措置とともに多様性計画に組み込まなければならない。2018年には、地域障害者プラットフォームが設立され、障害者枠2％を達成するための新規則が策定された。フランス語共同体委員会内の障害者雇用率はほぼ5％に達した。これをさらに拡大するため、障害のある人の採用、配慮、支援の面で様々な措置が講じられている。また、官民両部門で障害のある人の雇用を促進するための研修コースやイベントも実施されている。</w:t>
      </w:r>
    </w:p>
    <w:p w14:paraId="6923A770" w14:textId="270714F3" w:rsidR="003F156A" w:rsidRPr="009131DB" w:rsidRDefault="00400FB1" w:rsidP="003F156A">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C0504D" w:themeColor="accent2"/>
        </w:rPr>
      </w:pPr>
      <w:r>
        <w:rPr>
          <w:rFonts w:ascii="ＭＳ 明朝" w:eastAsia="ＭＳ 明朝" w:hAnsi="ＭＳ 明朝" w:cs="ＭＳ 明朝"/>
          <w:color w:val="000000"/>
        </w:rPr>
        <w:t>228.</w:t>
      </w:r>
      <w:r>
        <w:rPr>
          <w:rFonts w:ascii="ＭＳ 明朝" w:eastAsia="ＭＳ 明朝" w:hAnsi="ＭＳ 明朝" w:cs="ＭＳ 明朝"/>
          <w:color w:val="000000"/>
        </w:rPr>
        <w:tab/>
        <w:t>ドイツ語圏共同体では、自立生活サービスが企業と協力して、労働市場統合のための様々な具体的措置を提供している。ドイツ語圏共同体における障害のある人の視点からの支援つき雇用、社会的経済、労働意欲（activation measures）に関する研究が2016年に発表された。この研究は現状を分析し、そのような人々の雇用市場への統合や移行を促進し、最終的に雇用率を向上させるための多くの施策を推奨している。2014年から2019年の期間、地域開発計画の横断的プロジェクトである「経済圏におけるインクルージョン」は、障害のある人の雇用を促進した。2016年には、公務員における障害のある人の雇用状況に関する調査が実施された。その結果は勇気づけられるものであり、ドイツ語圏共同体の当局が障害のある人に門戸を開いていることを示している。ドイツ語圏共同体は、障害のある人の雇用枠を導入する考え方を放棄し、代わりに本質的に雇用を促進する具体的な措置を優先させている。</w:t>
      </w:r>
    </w:p>
    <w:p w14:paraId="00000152" w14:textId="09B1129C" w:rsidR="0097565A" w:rsidRDefault="00400FB1" w:rsidP="003F156A">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事前質問事項のパラグラフ25（b）への回答</w:t>
      </w:r>
    </w:p>
    <w:p w14:paraId="0000015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229.</w:t>
      </w:r>
      <w:r>
        <w:rPr>
          <w:rFonts w:ascii="ＭＳ 明朝" w:eastAsia="ＭＳ 明朝" w:hAnsi="ＭＳ 明朝" w:cs="ＭＳ 明朝"/>
          <w:color w:val="000000"/>
        </w:rPr>
        <w:tab/>
        <w:t>連邦レベルでは、2019年に、重度の医学的、身体的、精神的、精神医学的、心理学的障害のある失業者のための新たな立ち位置を設けるための新規則が可決された。この枠組みにより、このような人は失業後36カ月を経過した後であっても、斡旋サービスの支援を受け、長期的かつ具体的な就職支援を受け、斡旋サービスに積極的に協力するのであれば、引き続き収入を得ることができる。さらに、連邦公共調達規則が改正され、適応労働企業（adapted work enterprises）の利用者となることも認められ、奨励されるようになった。</w:t>
      </w:r>
    </w:p>
    <w:p w14:paraId="0000015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230.</w:t>
      </w:r>
      <w:r>
        <w:rPr>
          <w:rFonts w:ascii="ＭＳ 明朝" w:eastAsia="ＭＳ 明朝" w:hAnsi="ＭＳ 明朝" w:cs="ＭＳ 明朝"/>
          <w:color w:val="000000"/>
        </w:rPr>
        <w:tab/>
        <w:t>フラマン地域では、かつての保護作業所や社会的作業所が2015年に個別の状況に配慮する事業所となり、対象グループへの支援が改善された。「脱出」（Brake-Out）（2018年）と題された先導的プロジェクトは、障害のある人に力を与え、通常の雇用市場やクラブ生活、または将来の生活の質に貢献するその他の分野に備えるための十分な学習機会と経験を提供することを目的としている。</w:t>
      </w:r>
    </w:p>
    <w:p w14:paraId="0000015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231.</w:t>
      </w:r>
      <w:r>
        <w:rPr>
          <w:rFonts w:ascii="ＭＳ 明朝" w:eastAsia="ＭＳ 明朝" w:hAnsi="ＭＳ 明朝" w:cs="ＭＳ 明朝"/>
          <w:color w:val="000000"/>
        </w:rPr>
        <w:tab/>
        <w:t>ワロン地域では、人々がメインストリームでの仕事を見つけ、継続できるよう、いくつかの施策が実施されている。これらの施策は、労働者が提供する付加価値とその技能を際立たせることに重きを置いている。「移行的統合」プロジェクトは、参加する特別教育学校のコーディネート・コンサルタントの助力を得て、学校卒業者の職場への移行を支援するように設計されている。2014年には、適応訓練と社会職業統合センターに関する新しい規則が施行された。職業上の目標を確認した後、資格取得につながる可能性のある訓練コースを提供し、企業への統合を支援する。ワロン地域の求職者支援サービスと社会的職業的統合プロジェクトは、ろう者と難聴者にガイダンス、求職アドバイス、職場への統合など、目的に合った就職支援を提供している。さらに、ワロン職業訓練・雇用事務所との間では、求職者と労働者のための訓練を実施するための協力協定を、また、中小企業での二元的職業教育訓練機関との間では、実習生契約と企業管理者のための訓練を実施するための協力協定を、それぞれ結んでいる。</w:t>
      </w:r>
    </w:p>
    <w:p w14:paraId="0000015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232.</w:t>
      </w:r>
      <w:r>
        <w:rPr>
          <w:rFonts w:ascii="ＭＳ 明朝" w:eastAsia="ＭＳ 明朝" w:hAnsi="ＭＳ 明朝" w:cs="ＭＳ 明朝"/>
          <w:color w:val="000000"/>
        </w:rPr>
        <w:tab/>
        <w:t>ドイツ語圏共同体では、政府が法律を改正し、企業内訓練（障害のある人を職場に統合するため、または正式な指導と実務経験を交互に行う初期訓練コースの一環として）に受け入れられた人を、事前の公募を省略して、訓練を受けた組織で雇用契約に基づいて採用できるようにした。この配慮により、成功した企業内訓練プログラムまたは交互訓練（alternating training）プログラムから安定した雇用契約へのスムーズな移行が可能になっている。</w:t>
      </w:r>
    </w:p>
    <w:p w14:paraId="00000157"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事前質問事項のパラグラフ25（c）への回答</w:t>
      </w:r>
    </w:p>
    <w:p w14:paraId="0000015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233.</w:t>
      </w:r>
      <w:r>
        <w:rPr>
          <w:rFonts w:ascii="ＭＳ 明朝" w:eastAsia="ＭＳ 明朝" w:hAnsi="ＭＳ 明朝" w:cs="ＭＳ 明朝"/>
          <w:color w:val="000000"/>
        </w:rPr>
        <w:tab/>
        <w:t>連邦レベルでは、2007年5月10日の「特定の形態の差別との闘いに関する法律」に基づき、障害のある人への差別が禁止されている。合理的配慮の拒否は差別の一形態として認識されている。2018年には、差別禁止法、同法による保護の基準、およびその基準の実際の適用との関連性に関するeラーニングモジュールが開始された。2019年以降、連邦政策・支援公社（Federal Public Service for Policy and Support）は、可視的な障害と不可視的ない障害についての連邦公務員の認識を高めるためのセッションに組織的・財政的支援を提供している。</w:t>
      </w:r>
    </w:p>
    <w:p w14:paraId="0000015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234.</w:t>
      </w:r>
      <w:r>
        <w:rPr>
          <w:rFonts w:ascii="ＭＳ 明朝" w:eastAsia="ＭＳ 明朝" w:hAnsi="ＭＳ 明朝" w:cs="ＭＳ 明朝"/>
          <w:color w:val="000000"/>
        </w:rPr>
        <w:tab/>
        <w:t>連邦間機会均等センター・ユニア（</w:t>
      </w:r>
      <w:proofErr w:type="spellStart"/>
      <w:r>
        <w:rPr>
          <w:rFonts w:ascii="ＭＳ 明朝" w:eastAsia="ＭＳ 明朝" w:hAnsi="ＭＳ 明朝" w:cs="ＭＳ 明朝"/>
          <w:color w:val="000000"/>
        </w:rPr>
        <w:t>Unia</w:t>
      </w:r>
      <w:proofErr w:type="spellEnd"/>
      <w:r>
        <w:rPr>
          <w:rFonts w:ascii="ＭＳ 明朝" w:eastAsia="ＭＳ 明朝" w:hAnsi="ＭＳ 明朝" w:cs="ＭＳ 明朝"/>
          <w:color w:val="000000"/>
        </w:rPr>
        <w:t>）は3地域の支援を受けて、差別禁止法、多様性方針、障害のある人に関する無料の双方向オンライン研修モジュールを開始した。</w:t>
      </w:r>
    </w:p>
    <w:p w14:paraId="0000015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235.</w:t>
      </w:r>
      <w:r>
        <w:rPr>
          <w:rFonts w:ascii="ＭＳ 明朝" w:eastAsia="ＭＳ 明朝" w:hAnsi="ＭＳ 明朝" w:cs="ＭＳ 明朝"/>
          <w:color w:val="000000"/>
        </w:rPr>
        <w:tab/>
        <w:t>雇用差別と闘うための行動計画は、フラマン政府の差別撤廃政策の中核に位置付けられている。同計画は2016年に更新され、ツールや出版物を通じて雇用主が反差別政策を実践できるよう支援する。さらに、「あっという間に(差別は)起きる」（</w:t>
      </w:r>
      <w:proofErr w:type="spellStart"/>
      <w:r>
        <w:rPr>
          <w:rFonts w:ascii="ＭＳ 明朝" w:eastAsia="ＭＳ 明朝" w:hAnsi="ＭＳ 明朝" w:cs="ＭＳ 明朝"/>
          <w:color w:val="000000"/>
        </w:rPr>
        <w:t>C</w:t>
      </w:r>
      <w:r>
        <w:rPr>
          <w:rFonts w:eastAsia="Times New Roman"/>
          <w:i/>
          <w:iCs/>
          <w:color w:val="000000"/>
        </w:rPr>
        <w:t>’</w:t>
      </w:r>
      <w:r>
        <w:rPr>
          <w:rFonts w:ascii="ＭＳ 明朝" w:eastAsia="ＭＳ 明朝" w:hAnsi="ＭＳ 明朝" w:cs="ＭＳ 明朝"/>
          <w:color w:val="000000"/>
        </w:rPr>
        <w:t>est</w:t>
      </w:r>
      <w:proofErr w:type="spellEnd"/>
      <w:r>
        <w:rPr>
          <w:rFonts w:ascii="ＭＳ 明朝" w:eastAsia="ＭＳ 明朝" w:hAnsi="ＭＳ 明朝" w:cs="ＭＳ 明朝"/>
          <w:color w:val="000000"/>
        </w:rPr>
        <w:t xml:space="preserve"> </w:t>
      </w:r>
      <w:proofErr w:type="spellStart"/>
      <w:r>
        <w:rPr>
          <w:rFonts w:ascii="ＭＳ 明朝" w:eastAsia="ＭＳ 明朝" w:hAnsi="ＭＳ 明朝" w:cs="ＭＳ 明朝"/>
          <w:color w:val="000000"/>
        </w:rPr>
        <w:t>vite</w:t>
      </w:r>
      <w:proofErr w:type="spellEnd"/>
      <w:r>
        <w:rPr>
          <w:rFonts w:ascii="ＭＳ 明朝" w:eastAsia="ＭＳ 明朝" w:hAnsi="ＭＳ 明朝" w:cs="ＭＳ 明朝"/>
          <w:color w:val="000000"/>
        </w:rPr>
        <w:t xml:space="preserve"> </w:t>
      </w:r>
      <w:proofErr w:type="spellStart"/>
      <w:r>
        <w:rPr>
          <w:rFonts w:ascii="ＭＳ 明朝" w:eastAsia="ＭＳ 明朝" w:hAnsi="ＭＳ 明朝" w:cs="ＭＳ 明朝"/>
          <w:color w:val="000000"/>
        </w:rPr>
        <w:t>arrivé</w:t>
      </w:r>
      <w:proofErr w:type="spellEnd"/>
      <w:r>
        <w:rPr>
          <w:rFonts w:ascii="ＭＳ 明朝" w:eastAsia="ＭＳ 明朝" w:hAnsi="ＭＳ 明朝" w:cs="ＭＳ 明朝"/>
          <w:color w:val="000000"/>
        </w:rPr>
        <w:t>）キャンペーン、教育・訓練、部門別自主規制の推進（部門別協定の活用とサービス利用券業界における具体的行動計画)、フラマン労働監督局による監査の強化など、具体的な対策に重点が置かれた。</w:t>
      </w:r>
    </w:p>
    <w:p w14:paraId="0000015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236.</w:t>
      </w:r>
      <w:r>
        <w:rPr>
          <w:rFonts w:ascii="ＭＳ 明朝" w:eastAsia="ＭＳ 明朝" w:hAnsi="ＭＳ 明朝" w:cs="ＭＳ 明朝"/>
          <w:color w:val="000000"/>
        </w:rPr>
        <w:tab/>
        <w:t>フランス語共同体は、技能に基づく客観的な選考手続きを導入し、障害のある人が合理的配慮を要求することを認めている。さらに、人事・人材部門は、障害および差別との闘いに関する研修および啓発モジュールを定期的に提供している。これには、インクルージョン、障害、合理的配慮の権利などの概念についての学習も含まれる。</w:t>
      </w:r>
    </w:p>
    <w:p w14:paraId="0000015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237.</w:t>
      </w:r>
      <w:r>
        <w:rPr>
          <w:rFonts w:ascii="ＭＳ 明朝" w:eastAsia="ＭＳ 明朝" w:hAnsi="ＭＳ 明朝" w:cs="ＭＳ 明朝"/>
          <w:color w:val="000000"/>
        </w:rPr>
        <w:tab/>
        <w:t>ワロン地域では、差別撤廃措置をより柔軟にし、雇用主により効果的に働きかけるために、障害に関する意識向上・理解促進プログラムが改善されている。ワロン保健・社会保護・障害・家族局は、これに関係する一連の措置を提供している。職場環境改善のための配慮に関しては、資金援助と専門職による支援を行っている。</w:t>
      </w:r>
    </w:p>
    <w:p w14:paraId="0000015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238.</w:t>
      </w:r>
      <w:r>
        <w:rPr>
          <w:rFonts w:ascii="ＭＳ 明朝" w:eastAsia="ＭＳ 明朝" w:hAnsi="ＭＳ 明朝" w:cs="ＭＳ 明朝"/>
          <w:color w:val="000000"/>
        </w:rPr>
        <w:tab/>
        <w:t>ブリュッセルでは、ブリュッセル首都圏政府が採用と雇用継続における差別的慣行と闘うための条例を採択した。同条例では、差別を検証するための状況テスト（situation tests）や覆面電話調査の実施を認めている。障害は差別基準のひとつとして検証の対象とされる。これと並行して、雇用における差別と闘い、多様性重視を促進させるための提案の募集が2016年から毎年行われている。最終的に、政府は地域の多様性重視に向けた枠組み（diversity instruments）の改革を承認した。</w:t>
      </w:r>
    </w:p>
    <w:p w14:paraId="0000015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239.</w:t>
      </w:r>
      <w:r>
        <w:rPr>
          <w:rFonts w:ascii="ＭＳ 明朝" w:eastAsia="ＭＳ 明朝" w:hAnsi="ＭＳ 明朝" w:cs="ＭＳ 明朝"/>
          <w:color w:val="000000"/>
        </w:rPr>
        <w:tab/>
        <w:t>ドイツ語共同体では、共同体内の雇用を促進するための新たな政令「</w:t>
      </w:r>
      <w:proofErr w:type="spellStart"/>
      <w:r>
        <w:rPr>
          <w:rFonts w:ascii="ＭＳ 明朝" w:eastAsia="ＭＳ 明朝" w:hAnsi="ＭＳ 明朝" w:cs="ＭＳ 明朝"/>
          <w:color w:val="000000"/>
        </w:rPr>
        <w:t>AktiF</w:t>
      </w:r>
      <w:proofErr w:type="spellEnd"/>
      <w:r>
        <w:rPr>
          <w:rFonts w:ascii="ＭＳ 明朝" w:eastAsia="ＭＳ 明朝" w:hAnsi="ＭＳ 明朝" w:cs="ＭＳ 明朝"/>
          <w:color w:val="000000"/>
        </w:rPr>
        <w:t>および</w:t>
      </w:r>
      <w:proofErr w:type="spellStart"/>
      <w:r>
        <w:rPr>
          <w:rFonts w:ascii="ＭＳ 明朝" w:eastAsia="ＭＳ 明朝" w:hAnsi="ＭＳ 明朝" w:cs="ＭＳ 明朝"/>
          <w:color w:val="000000"/>
        </w:rPr>
        <w:t>AktiF</w:t>
      </w:r>
      <w:proofErr w:type="spellEnd"/>
      <w:r>
        <w:rPr>
          <w:rFonts w:ascii="ＭＳ 明朝" w:eastAsia="ＭＳ 明朝" w:hAnsi="ＭＳ 明朝" w:cs="ＭＳ 明朝"/>
          <w:color w:val="000000"/>
        </w:rPr>
        <w:t>プラス」が2019年に発効した。雇用主（公的または民間）は、共同体の労働市場で不利な立場にある求職者を雇用した場合、助成金（特定の場合には増額可能）を受け取ることができる。これは、他の立場や別件での収入を考慮しないインクルーシブな措置であり、障害のある人が失業から雇用に移行することを可能にする。</w:t>
      </w:r>
    </w:p>
    <w:p w14:paraId="0000015F"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事前質問事項のパラグラフ25（c）への回答</w:t>
      </w:r>
    </w:p>
    <w:p w14:paraId="0000016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240.</w:t>
      </w:r>
      <w:r>
        <w:rPr>
          <w:rFonts w:ascii="ＭＳ 明朝" w:eastAsia="ＭＳ 明朝" w:hAnsi="ＭＳ 明朝" w:cs="ＭＳ 明朝"/>
          <w:color w:val="000000"/>
        </w:rPr>
        <w:tab/>
        <w:t xml:space="preserve">連邦レベルでは、実現可能で管理可能な労働（feasible and manageable work）に関する法律が2017年1月5日に成立した。これは、21世紀の課題に対応するための労働市場の刷新を目指して2015年に開始された円卓会議での広範な議論の集大成である。その目的は、ワーク・ライフ・バランスを改善し、その結果、男女間の完全な平等を達成する一連の措置の法的枠組みを提供することである。　</w:t>
      </w:r>
    </w:p>
    <w:p w14:paraId="00000161"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61" w:name="_heading=h.w1f2zq1o2sf" w:colFirst="0" w:colLast="0"/>
      <w:bookmarkEnd w:id="61"/>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相当な生活水準と社会的保障（第28条）</w:t>
      </w:r>
    </w:p>
    <w:p w14:paraId="00000162"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事前質問事項のパラグラフ26（a）への回答</w:t>
      </w:r>
    </w:p>
    <w:p w14:paraId="0000016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241.</w:t>
      </w:r>
      <w:r>
        <w:rPr>
          <w:rFonts w:ascii="ＭＳ 明朝" w:eastAsia="ＭＳ 明朝" w:hAnsi="ＭＳ 明朝" w:cs="ＭＳ 明朝"/>
          <w:color w:val="000000"/>
        </w:rPr>
        <w:tab/>
        <w:t>2016年から2019年までの第3次連邦貧困撲滅計画では、障害が考慮の対象とされている。障害の分野では、社会保障給付の最低額や社会扶助費の引き上げ、有給労働への移行の促進、各種資格へのアクセスの改善など、いくつかの対策が挙げられている。</w:t>
      </w:r>
    </w:p>
    <w:p w14:paraId="0000016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242.</w:t>
      </w:r>
      <w:r>
        <w:rPr>
          <w:rFonts w:ascii="ＭＳ 明朝" w:eastAsia="ＭＳ 明朝" w:hAnsi="ＭＳ 明朝" w:cs="ＭＳ 明朝"/>
          <w:color w:val="000000"/>
        </w:rPr>
        <w:tab/>
        <w:t>障害のある人の状況は、フラマン政府が採択した貧困対策の行動計画に組み込まれている。障害のある人のための個人助成（personal funding）制度が導入されたときには、障害のある人の生活費に特に注意が払われた（パラグラフ18の質問への回答参照）。</w:t>
      </w:r>
    </w:p>
    <w:p w14:paraId="0000016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243.</w:t>
      </w:r>
      <w:r>
        <w:rPr>
          <w:rFonts w:ascii="ＭＳ 明朝" w:eastAsia="ＭＳ 明朝" w:hAnsi="ＭＳ 明朝" w:cs="ＭＳ 明朝"/>
          <w:color w:val="000000"/>
        </w:rPr>
        <w:tab/>
        <w:t>ワロン地域では、家族サービス、交通、観光など、ワロン貧困対策計画の様々な部分で、障害の重要性が取り上げられている。ワロン住宅協会は、公共サービス住宅協会向けに、障害のある利用者を支援し、住み続けることが可能な住宅を設計するためのガイドラインを作成した。その結果として、2017-2019年のワロン地域アクセシビリティ計画の一環として、「住み続けることが可能な建築」事業への支援を継続するための様々な措置が講じられた。</w:t>
      </w:r>
    </w:p>
    <w:p w14:paraId="0000016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244.</w:t>
      </w:r>
      <w:r>
        <w:rPr>
          <w:rFonts w:ascii="ＭＳ 明朝" w:eastAsia="ＭＳ 明朝" w:hAnsi="ＭＳ 明朝" w:cs="ＭＳ 明朝"/>
          <w:color w:val="000000"/>
        </w:rPr>
        <w:tab/>
        <w:t>ドイツ語共同体では、特に障害のある人を対象として、貧困および排除と闘い、すべての人口集団の統合を促進するためのいくつかのプロジェクトが実施されている。</w:t>
      </w:r>
    </w:p>
    <w:p w14:paraId="00000167"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事前質問事項のパラグラフ26（b）への回答</w:t>
      </w:r>
    </w:p>
    <w:p w14:paraId="00000168" w14:textId="4AC50023"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b/>
          <w:bCs/>
          <w:color w:val="000000"/>
        </w:rPr>
      </w:pPr>
      <w:r>
        <w:rPr>
          <w:rFonts w:ascii="ＭＳ 明朝" w:eastAsia="ＭＳ 明朝" w:hAnsi="ＭＳ 明朝" w:cs="ＭＳ 明朝"/>
          <w:color w:val="000000"/>
        </w:rPr>
        <w:t>245.</w:t>
      </w:r>
      <w:r>
        <w:rPr>
          <w:rFonts w:ascii="ＭＳ 明朝" w:eastAsia="ＭＳ 明朝" w:hAnsi="ＭＳ 明朝" w:cs="ＭＳ 明朝"/>
          <w:color w:val="000000"/>
        </w:rPr>
        <w:tab/>
        <w:t>ベルギーには、障害のある人にも支援を提供する効果的な社会的保護制度がある。それにもかかわらず、障害のある人は他の人々よりも貧困のリスクが高い。社会状況と福祉政策を同じ平面に記載し評価するための大規模な調査が実施された。この調査をもとにして、2019年に「ベルギーにおける貧困と障害」という本が出版され、結論と今後の状況改善のための提言が示された。</w:t>
      </w:r>
    </w:p>
    <w:p w14:paraId="0000016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246.</w:t>
      </w:r>
      <w:r>
        <w:rPr>
          <w:rFonts w:ascii="ＭＳ 明朝" w:eastAsia="ＭＳ 明朝" w:hAnsi="ＭＳ 明朝" w:cs="ＭＳ 明朝"/>
          <w:color w:val="000000"/>
        </w:rPr>
        <w:tab/>
        <w:t>連邦レベルでは、生活保護（social assistance）と社会保障制度を拠りどころとして所得支援政策が導入されている。2014年以降、障害のある人への各種手当が増額された。障害のある人の尊厳を傷つけることを避けるため、2018年8月1日以降、結婚や法的同居を理由として、障害のある人の連邦給付が大幅に減額されることはなくなった。障害者統合手当の限度額を引き上げることで、より多くの所得が課税から免除されるようになり、また、「愛の対価」（</w:t>
      </w:r>
      <w:r>
        <w:rPr>
          <w:rFonts w:ascii="ＭＳ 明朝" w:eastAsia="ＭＳ 明朝" w:hAnsi="ＭＳ 明朝" w:cs="ＭＳ 明朝"/>
          <w:i/>
          <w:iCs/>
          <w:color w:val="000000"/>
        </w:rPr>
        <w:t xml:space="preserve">prix de </w:t>
      </w:r>
      <w:proofErr w:type="spellStart"/>
      <w:r>
        <w:rPr>
          <w:rFonts w:ascii="ＭＳ 明朝" w:eastAsia="ＭＳ 明朝" w:hAnsi="ＭＳ 明朝" w:cs="ＭＳ 明朝"/>
          <w:i/>
          <w:iCs/>
          <w:color w:val="000000"/>
        </w:rPr>
        <w:t>l'amour</w:t>
      </w:r>
      <w:proofErr w:type="spellEnd"/>
      <w:r>
        <w:rPr>
          <w:rFonts w:ascii="ＭＳ 明朝" w:eastAsia="ＭＳ 明朝" w:hAnsi="ＭＳ 明朝" w:cs="ＭＳ 明朝"/>
          <w:color w:val="000000"/>
        </w:rPr>
        <w:t>）控除の廃止に向けた動きも前進している。2019年に開始された「マイ給付」（</w:t>
      </w:r>
      <w:proofErr w:type="spellStart"/>
      <w:r>
        <w:rPr>
          <w:rFonts w:ascii="ＭＳ 明朝" w:eastAsia="ＭＳ 明朝" w:hAnsi="ＭＳ 明朝" w:cs="ＭＳ 明朝"/>
          <w:color w:val="000000"/>
        </w:rPr>
        <w:t>MyBEnefits</w:t>
      </w:r>
      <w:proofErr w:type="spellEnd"/>
      <w:r>
        <w:rPr>
          <w:rFonts w:ascii="ＭＳ 明朝" w:eastAsia="ＭＳ 明朝" w:hAnsi="ＭＳ 明朝" w:cs="ＭＳ 明朝"/>
          <w:color w:val="000000"/>
        </w:rPr>
        <w:t>）アプリにより、人々はオンラインで簡単に受給資格を確認し、証明書を請求することができる。</w:t>
      </w:r>
    </w:p>
    <w:p w14:paraId="0000016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247.</w:t>
      </w:r>
      <w:r>
        <w:rPr>
          <w:rFonts w:ascii="ＭＳ 明朝" w:eastAsia="ＭＳ 明朝" w:hAnsi="ＭＳ 明朝" w:cs="ＭＳ 明朝"/>
          <w:color w:val="000000"/>
        </w:rPr>
        <w:tab/>
        <w:t>第6次国家改革以降、家族手当や高齢障害者への支援などの分野における多くの責務が連邦政府からそれぞれの共同体(federated entities)に移管された。2014年1月1日以降、各共同体は特に障害のある人を支援する新しい制度を着実に導入してきている。</w:t>
      </w:r>
    </w:p>
    <w:p w14:paraId="0000016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248.</w:t>
      </w:r>
      <w:r>
        <w:rPr>
          <w:rFonts w:ascii="ＭＳ 明朝" w:eastAsia="ＭＳ 明朝" w:hAnsi="ＭＳ 明朝" w:cs="ＭＳ 明朝"/>
          <w:color w:val="000000"/>
        </w:rPr>
        <w:tab/>
        <w:t>フラマン語共同体では、特別な支援が必要な子どもへの保育手当が、追加的な経済的支援を伴う給付パッケージの一部として用意されている。毎月の金額はニーズの程度によって異なるが、82.37ユーロから549.12ユーロまでとなっている。2019年以降、フラマン当局が家族手当を担当している。ケア手当などその他の財政補助は、特定の支援のニーズに関連づけられている。要支援度の高い子どもは、ケア手当（パラグラフ18の質問への回答参照）のほか、相応のケアが必要な人へのケア手当（月額130ユーロ）を自動的に受給できる。移動器具は2019年1月からフラマンの社会保護制度の中で扱われている。将来的には、フラマンの社会保護制度は、リハビリテーション部門、精神保健部門の一部、在宅ケアにも資金を提供することを予定している。</w:t>
      </w:r>
    </w:p>
    <w:p w14:paraId="0000016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249.</w:t>
      </w:r>
      <w:r>
        <w:rPr>
          <w:rFonts w:ascii="ＭＳ 明朝" w:eastAsia="ＭＳ 明朝" w:hAnsi="ＭＳ 明朝" w:cs="ＭＳ 明朝"/>
          <w:color w:val="000000"/>
        </w:rPr>
        <w:tab/>
        <w:t>ワロン地域では、障害のある子どもや病気の子どもには基本家族手当の上乗せがある。2018年には、20,917人の子どもに家族手当が上乗せされた。家族手当制度は子どもが家庭で過ごせるように家族を支援している。また、個人統合支援（personal integration assistance）も利用できる。さらに、ワロン社会福祉保健法典は、障害のある人に社会的保護と支援サービスを提供する根拠とされている。</w:t>
      </w:r>
    </w:p>
    <w:p w14:paraId="0000016D"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250.</w:t>
      </w:r>
      <w:r>
        <w:rPr>
          <w:rFonts w:ascii="ＭＳ 明朝" w:eastAsia="ＭＳ 明朝" w:hAnsi="ＭＳ 明朝" w:cs="ＭＳ 明朝"/>
          <w:color w:val="000000"/>
        </w:rPr>
        <w:tab/>
        <w:t>ブリュッセルの共通共同体委員会の下、高齢障害者手当は2020年末まで暫定的に連邦社会保障公社（Federal Public Service for Social Security）が管理・支給している。2021年1月1日からは、アイリスケア（</w:t>
      </w:r>
      <w:proofErr w:type="spellStart"/>
      <w:r>
        <w:rPr>
          <w:rFonts w:ascii="ＭＳ 明朝" w:eastAsia="ＭＳ 明朝" w:hAnsi="ＭＳ 明朝" w:cs="ＭＳ 明朝"/>
          <w:color w:val="000000"/>
        </w:rPr>
        <w:t>Iriscare</w:t>
      </w:r>
      <w:proofErr w:type="spellEnd"/>
      <w:r>
        <w:rPr>
          <w:rFonts w:ascii="ＭＳ 明朝" w:eastAsia="ＭＳ 明朝" w:hAnsi="ＭＳ 明朝" w:cs="ＭＳ 明朝"/>
          <w:color w:val="000000"/>
        </w:rPr>
        <w:t>）がこのサービスの運営と手当の支払いを担当することになる。支給額は障害によって異なり、自立度が低ければ高額になる。2020年1月1日、「ファミリス」（</w:t>
      </w:r>
      <w:proofErr w:type="spellStart"/>
      <w:r>
        <w:rPr>
          <w:rFonts w:ascii="ＭＳ 明朝" w:eastAsia="ＭＳ 明朝" w:hAnsi="ＭＳ 明朝" w:cs="ＭＳ 明朝"/>
          <w:color w:val="000000"/>
        </w:rPr>
        <w:t>Famiris</w:t>
      </w:r>
      <w:proofErr w:type="spellEnd"/>
      <w:r>
        <w:rPr>
          <w:rFonts w:ascii="ＭＳ 明朝" w:eastAsia="ＭＳ 明朝" w:hAnsi="ＭＳ 明朝" w:cs="ＭＳ 明朝"/>
          <w:color w:val="000000"/>
        </w:rPr>
        <w:t>）はブリュッセルの新しい公的家族手当基金となり、新しい規則が適用された。すべての家族がその受給資格の最高額を受け取る。障害や病状を評価する制度や障害のある子どもへの補足額に変更はない。</w:t>
      </w:r>
    </w:p>
    <w:p w14:paraId="0000016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251.</w:t>
      </w:r>
      <w:r>
        <w:rPr>
          <w:rFonts w:ascii="ＭＳ 明朝" w:eastAsia="ＭＳ 明朝" w:hAnsi="ＭＳ 明朝" w:cs="ＭＳ 明朝"/>
          <w:color w:val="000000"/>
        </w:rPr>
        <w:tab/>
        <w:t>ドイツ語共同体では、従来連邦レベルで適用されていた手当の加算制度がそのまま維持されている。</w:t>
      </w:r>
    </w:p>
    <w:p w14:paraId="0000016F"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事前質問事項のパラグラフ26（c）への回答</w:t>
      </w:r>
    </w:p>
    <w:p w14:paraId="0000017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252.</w:t>
      </w:r>
      <w:r>
        <w:rPr>
          <w:rFonts w:ascii="ＭＳ 明朝" w:eastAsia="ＭＳ 明朝" w:hAnsi="ＭＳ 明朝" w:cs="ＭＳ 明朝"/>
          <w:color w:val="000000"/>
        </w:rPr>
        <w:tab/>
        <w:t>連邦レベルでは、障害者総局宛ての社会保護措置の要請の処理の遅れを解消するための行動計画が2019年に開始された。これは以下の措置からなる：</w:t>
      </w:r>
    </w:p>
    <w:p w14:paraId="00000171"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ab/>
        <w:t>-内部業務の改善、新規採用の計画、従業員への期待や役割の明確化など、内部監査への提言の実施。</w:t>
      </w:r>
    </w:p>
    <w:p w14:paraId="00000172"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ab/>
        <w:t>-電話の使いやすさの改善</w:t>
      </w:r>
    </w:p>
    <w:p w14:paraId="00000173"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ab/>
        <w:t>-2023年までにコンピューター・システムを新しいものに替える。</w:t>
      </w:r>
    </w:p>
    <w:p w14:paraId="00000174"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ab/>
        <w:t>-書式や文書を利用しやすくするために見直し、改善する。</w:t>
      </w:r>
    </w:p>
    <w:p w14:paraId="00000175"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 xml:space="preserve">-「私の障害」（My handicap）アプリを簡単に使えるようにして、障害のある人と共済会社や社会福祉センターなどの機関がいつでも多様な作業を行えるようにする。 </w:t>
      </w:r>
    </w:p>
    <w:p w14:paraId="00000176" w14:textId="77777777" w:rsidR="0097565A" w:rsidRDefault="00400FB1">
      <w:pPr>
        <w:pBdr>
          <w:top w:val="nil"/>
          <w:left w:val="nil"/>
          <w:bottom w:val="nil"/>
          <w:right w:val="nil"/>
          <w:between w:val="nil"/>
        </w:pBdr>
        <w:tabs>
          <w:tab w:val="left" w:pos="1701"/>
        </w:tabs>
        <w:spacing w:after="120"/>
        <w:ind w:left="1701" w:right="1134" w:hanging="170"/>
        <w:jc w:val="both"/>
        <w:rPr>
          <w:rFonts w:ascii="ＭＳ 明朝" w:eastAsia="ＭＳ 明朝" w:hAnsi="ＭＳ 明朝" w:cs="ＭＳ 明朝"/>
          <w:color w:val="000000"/>
        </w:rPr>
      </w:pPr>
      <w:r>
        <w:rPr>
          <w:rFonts w:ascii="ＭＳ 明朝" w:eastAsia="ＭＳ 明朝" w:hAnsi="ＭＳ 明朝" w:cs="ＭＳ 明朝"/>
          <w:color w:val="000000"/>
        </w:rPr>
        <w:tab/>
        <w:t>-地域団体・共済会社との連携の強化</w:t>
      </w:r>
    </w:p>
    <w:p w14:paraId="0000017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253.</w:t>
      </w:r>
      <w:r>
        <w:rPr>
          <w:rFonts w:ascii="ＭＳ 明朝" w:eastAsia="ＭＳ 明朝" w:hAnsi="ＭＳ 明朝" w:cs="ＭＳ 明朝"/>
          <w:color w:val="000000"/>
        </w:rPr>
        <w:tab/>
        <w:t xml:space="preserve">これらすべての措置は、2017年に新しいファイル管理ソフトウェアが導入されたときに、多くの技術的問題に直面した障害のある人へのサービスを改善するためのものである。一方で、処理の遅れを減らすためにも、同時進行で多大な努力が払われてきている。 </w:t>
      </w:r>
    </w:p>
    <w:p w14:paraId="00000178"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62" w:name="_heading=h.mk9rouxr77g0" w:colFirst="0" w:colLast="0"/>
      <w:bookmarkEnd w:id="62"/>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政治的・公的活動への参加（第29条）</w:t>
      </w:r>
    </w:p>
    <w:p w14:paraId="00000179"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事前質問事項のパラグラフ27（a）への回答</w:t>
      </w:r>
    </w:p>
    <w:p w14:paraId="0000017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254.</w:t>
      </w:r>
      <w:r>
        <w:rPr>
          <w:rFonts w:ascii="ＭＳ 明朝" w:eastAsia="ＭＳ 明朝" w:hAnsi="ＭＳ 明朝" w:cs="ＭＳ 明朝"/>
          <w:color w:val="000000"/>
        </w:rPr>
        <w:tab/>
        <w:t>連邦レベルでは、法的無能力（legally incapable）者とされた者の選挙権に関する規定は、自己決定の原則に基づいていて</w:t>
      </w:r>
      <w:r>
        <w:rPr>
          <w:rFonts w:ascii="ＭＳ 明朝" w:eastAsia="ＭＳ 明朝" w:hAnsi="ＭＳ 明朝" w:cs="ＭＳ 明朝"/>
          <w:color w:val="000000"/>
          <w:sz w:val="18"/>
          <w:szCs w:val="18"/>
        </w:rPr>
        <w:t>、</w:t>
      </w:r>
      <w:r>
        <w:rPr>
          <w:rFonts w:ascii="ＭＳ 明朝" w:eastAsia="ＭＳ 明朝" w:hAnsi="ＭＳ 明朝" w:cs="ＭＳ 明朝"/>
          <w:color w:val="000000"/>
        </w:rPr>
        <w:t>選挙権に関する司法保護の下に置かれていない限り、選挙権は維持される。市町村は、司法保護措置があることを知らされた場合に限り、投票入場券の発行を拒否する。</w:t>
      </w:r>
    </w:p>
    <w:p w14:paraId="0000017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255.</w:t>
      </w:r>
      <w:r>
        <w:rPr>
          <w:rFonts w:ascii="ＭＳ 明朝" w:eastAsia="ＭＳ 明朝" w:hAnsi="ＭＳ 明朝" w:cs="ＭＳ 明朝"/>
          <w:color w:val="000000"/>
        </w:rPr>
        <w:tab/>
        <w:t xml:space="preserve">フラマン地域は、障害のある地方議員（local representatives　訳注　地域選出の国会議員の可能性もある）に援助を提供している。医学的証明があれば、そのような議員にはパーソナルアシスタントがつく。 </w:t>
      </w:r>
    </w:p>
    <w:p w14:paraId="0000017C"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256.</w:t>
      </w:r>
      <w:r>
        <w:rPr>
          <w:rFonts w:ascii="ＭＳ 明朝" w:eastAsia="ＭＳ 明朝" w:hAnsi="ＭＳ 明朝" w:cs="ＭＳ 明朝"/>
          <w:color w:val="000000"/>
        </w:rPr>
        <w:tab/>
        <w:t>ブリュッセル首都圏では、障害のために一人で職務を全うできない地方議員を、自治体の選挙民から選ばれた信頼できる人がサポートすることができる。</w:t>
      </w:r>
    </w:p>
    <w:p w14:paraId="0000017D"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事前質問事項のパラグラフ27（b）への回答</w:t>
      </w:r>
    </w:p>
    <w:p w14:paraId="0000017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257.</w:t>
      </w:r>
      <w:r>
        <w:rPr>
          <w:rFonts w:ascii="ＭＳ 明朝" w:eastAsia="ＭＳ 明朝" w:hAnsi="ＭＳ 明朝" w:cs="ＭＳ 明朝"/>
          <w:color w:val="000000"/>
        </w:rPr>
        <w:tab/>
        <w:t>連邦選挙、地方選挙、欧州選挙では、障害に関する一連の措置がとられている。障害のために投票所のブースに一人で行くことができない有権者や、自分では投票することができない有権者は、投票所の統括者の承認があれば、受ける支援を自分で自由に選び、かつ、支援を受けることができる。選挙指針は、障害のある人に適切に対応することの重要性への認識を高めるために改善されてきている。アクセシビリティの面では、投票ブースの5カ所に1カ所は障害のある人向けの特別な設備を備えなければならない。最後に、障害者団体と協力して実践的な勧告が作成された。</w:t>
      </w:r>
    </w:p>
    <w:p w14:paraId="0000017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258.</w:t>
      </w:r>
      <w:r>
        <w:rPr>
          <w:rFonts w:ascii="ＭＳ 明朝" w:eastAsia="ＭＳ 明朝" w:hAnsi="ＭＳ 明朝" w:cs="ＭＳ 明朝"/>
          <w:color w:val="000000"/>
        </w:rPr>
        <w:tab/>
        <w:t>フラマン地域では、障害のある有権者が投票可能な投票所を提供することを義務づけ、これらの投票所が満たすべき基準を定めた規則が導入されている。投票所に関する指針では、広い意味での障害のある人のアクセシビリティが最大限保証されなければならないことが強調されている。アクセシブルな選挙のための具体的なガイドラインを盛り込んだパンフレットも作成された。2018年と2019年の選挙では、投票所で音声モジュール（audio modules）が試験的に使用された。健康上の理由で自分で投票できない有権者は代理人を指名することができ、自分で投票する身体障害のある人は、必要があれば別の投票所で、特別な設備のあるた投票ブースを利用することができる。また、単独で投票できない場合は、指定と他人に手伝ってもらうことができる。</w:t>
      </w:r>
    </w:p>
    <w:p w14:paraId="00000180"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259.</w:t>
      </w:r>
      <w:r>
        <w:rPr>
          <w:rFonts w:ascii="ＭＳ 明朝" w:eastAsia="ＭＳ 明朝" w:hAnsi="ＭＳ 明朝" w:cs="ＭＳ 明朝"/>
          <w:color w:val="000000"/>
        </w:rPr>
        <w:tab/>
        <w:t>2018年のワロン地域の地方選挙に向けて、民主的プロセスへのすべての人の参加を促進するための行動計画が、代表団体および当局によって作成された。ワロン・ブリュッセル・アクセシビリティ連合は、「アクセシビリティのための投票」をテーマに、政党代表者による委員会を組織し、各政党が行った様々な公約を注意深く検証した。また各政党には、このイベントに向けて公約の要点をまとめたビデオクリップを提出することを要請した。</w:t>
      </w:r>
    </w:p>
    <w:p w14:paraId="00000181"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63" w:name="_heading=h.svu1bkq0g6qr" w:colFirst="0" w:colLast="0"/>
      <w:bookmarkEnd w:id="63"/>
      <w:r>
        <w:rPr>
          <w:rFonts w:ascii="ＭＳ 明朝" w:eastAsia="ＭＳ 明朝" w:hAnsi="ＭＳ 明朝" w:cs="ＭＳ 明朝"/>
          <w:color w:val="000000"/>
        </w:rPr>
        <w:t>260.</w:t>
      </w:r>
      <w:r>
        <w:rPr>
          <w:rFonts w:ascii="ＭＳ 明朝" w:eastAsia="ＭＳ 明朝" w:hAnsi="ＭＳ 明朝" w:cs="ＭＳ 明朝"/>
          <w:color w:val="000000"/>
        </w:rPr>
        <w:tab/>
        <w:t>ブリュッセル首都圏では、2018年10月14日の市町村選挙において、障害のある人のアクセシビリティに関する様々な対策がとられた。まず、アクセシビリティに関する勧告と実践をまとめた文書が地方自治体に送付された。また、このテーマに関するパンフレットが配布され、選挙管理のウェブサイトにアクセシビリティを具体的にとりあげたページが作成された。選挙当日は、ブリュッセル首都圏に開設された726の投票所のうち、458の投票所が移動能力低下者にとってアクセシブルとされていた。最後に、ワロン・ブリュッセル・アクセシビリティ連合とともに実施したアンケートが選挙後に発表され、そのアクセシビリティが判定された。</w:t>
      </w:r>
    </w:p>
    <w:p w14:paraId="00000182"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261.</w:t>
      </w:r>
      <w:r>
        <w:rPr>
          <w:rFonts w:ascii="ＭＳ 明朝" w:eastAsia="ＭＳ 明朝" w:hAnsi="ＭＳ 明朝" w:cs="ＭＳ 明朝"/>
          <w:color w:val="000000"/>
        </w:rPr>
        <w:tab/>
        <w:t>ドイツ語共同体では、政令により、2018年の市町村選挙における有権者支援のための最低限のアクセシビリティ基準が設定された。パンフレットや説明会では、障害のある人にもない人にもわかりやすい言葉で情報を提供し、障害のある人が選挙権を行使することを奨励し、そのための支援を提供している。</w:t>
      </w:r>
    </w:p>
    <w:p w14:paraId="00000183"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事前質問事項のパラグラフ27（c）への回答</w:t>
      </w:r>
    </w:p>
    <w:p w14:paraId="00000184" w14:textId="4EF7A12C"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u w:val="single"/>
        </w:rPr>
      </w:pPr>
      <w:r>
        <w:rPr>
          <w:rFonts w:ascii="ＭＳ 明朝" w:eastAsia="ＭＳ 明朝" w:hAnsi="ＭＳ 明朝" w:cs="ＭＳ 明朝"/>
          <w:color w:val="000000"/>
        </w:rPr>
        <w:t>262.</w:t>
      </w:r>
      <w:r>
        <w:rPr>
          <w:rFonts w:ascii="ＭＳ 明朝" w:eastAsia="ＭＳ 明朝" w:hAnsi="ＭＳ 明朝" w:cs="ＭＳ 明朝"/>
          <w:color w:val="000000"/>
        </w:rPr>
        <w:tab/>
        <w:t>連邦レベルでは、インクルーシブな選考、研修、人材管理への方針が作成されつつある。これはあらゆる個人の状況に積極的に対応しており、女性には責任ある地位へのアクセスを可能にし、障害のある人には連邦レベルでのキャリアへのアクセスを提供し、選考プロセスにおける合理的配慮や職場環境の改善を雇用主に要求することを可能にしている。しかし、プライバシーや細かな障害に関する法的規則が具体的な監視を妨げている。</w:t>
      </w:r>
    </w:p>
    <w:p w14:paraId="00000185" w14:textId="7719F955"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64" w:name="_heading=h.q1yyttkdvvmv" w:colFirst="0" w:colLast="0"/>
      <w:bookmarkEnd w:id="64"/>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文化的生活</w:t>
      </w:r>
      <w:r w:rsidR="009049DC">
        <w:rPr>
          <w:rFonts w:ascii="ＭＳ 明朝" w:eastAsia="ＭＳ 明朝" w:hAnsi="ＭＳ 明朝" w:cs="ＭＳ 明朝"/>
          <w:b/>
          <w:bCs/>
          <w:color w:val="000000"/>
          <w:sz w:val="24"/>
          <w:szCs w:val="24"/>
        </w:rPr>
        <w:t>､</w:t>
      </w:r>
      <w:r>
        <w:rPr>
          <w:rFonts w:ascii="ＭＳ 明朝" w:eastAsia="ＭＳ 明朝" w:hAnsi="ＭＳ 明朝" w:cs="ＭＳ 明朝"/>
          <w:b/>
          <w:bCs/>
          <w:color w:val="000000"/>
          <w:sz w:val="24"/>
          <w:szCs w:val="24"/>
        </w:rPr>
        <w:t>レクリエーション</w:t>
      </w:r>
      <w:r w:rsidR="009049DC">
        <w:rPr>
          <w:rFonts w:ascii="ＭＳ 明朝" w:eastAsia="ＭＳ 明朝" w:hAnsi="ＭＳ 明朝" w:cs="ＭＳ 明朝"/>
          <w:b/>
          <w:bCs/>
          <w:color w:val="000000"/>
          <w:sz w:val="24"/>
          <w:szCs w:val="24"/>
        </w:rPr>
        <w:t>､</w:t>
      </w:r>
      <w:r>
        <w:rPr>
          <w:rFonts w:ascii="ＭＳ 明朝" w:eastAsia="ＭＳ 明朝" w:hAnsi="ＭＳ 明朝" w:cs="ＭＳ 明朝"/>
          <w:b/>
          <w:bCs/>
          <w:color w:val="000000"/>
          <w:sz w:val="24"/>
          <w:szCs w:val="24"/>
        </w:rPr>
        <w:t>余暇</w:t>
      </w:r>
      <w:r w:rsidR="009049DC">
        <w:rPr>
          <w:rFonts w:ascii="ＭＳ 明朝" w:eastAsia="ＭＳ 明朝" w:hAnsi="ＭＳ 明朝" w:cs="ＭＳ 明朝"/>
          <w:b/>
          <w:bCs/>
          <w:color w:val="000000"/>
          <w:sz w:val="24"/>
          <w:szCs w:val="24"/>
        </w:rPr>
        <w:t>､</w:t>
      </w:r>
      <w:r>
        <w:rPr>
          <w:rFonts w:ascii="ＭＳ 明朝" w:eastAsia="ＭＳ 明朝" w:hAnsi="ＭＳ 明朝" w:cs="ＭＳ 明朝"/>
          <w:b/>
          <w:bCs/>
          <w:color w:val="000000"/>
          <w:sz w:val="24"/>
          <w:szCs w:val="24"/>
        </w:rPr>
        <w:t>スポーツへの参加（第30条）</w:t>
      </w:r>
    </w:p>
    <w:p w14:paraId="00000186"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事前質問事項のパラグラフ28（a）への回答</w:t>
      </w:r>
    </w:p>
    <w:p w14:paraId="0000018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65" w:name="_heading=h.wb6or8s4gpbg" w:colFirst="0" w:colLast="0"/>
      <w:bookmarkEnd w:id="65"/>
      <w:r>
        <w:rPr>
          <w:rFonts w:ascii="ＭＳ 明朝" w:eastAsia="ＭＳ 明朝" w:hAnsi="ＭＳ 明朝" w:cs="ＭＳ 明朝"/>
          <w:color w:val="000000"/>
        </w:rPr>
        <w:t>263.</w:t>
      </w:r>
      <w:r>
        <w:rPr>
          <w:rFonts w:ascii="ＭＳ 明朝" w:eastAsia="ＭＳ 明朝" w:hAnsi="ＭＳ 明朝" w:cs="ＭＳ 明朝"/>
          <w:color w:val="000000"/>
        </w:rPr>
        <w:tab/>
        <w:t>建築環境のアクセシビリティについては、パラグラフ9の質問への回答も参照のこと。</w:t>
      </w:r>
    </w:p>
    <w:p w14:paraId="0000018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264.</w:t>
      </w:r>
      <w:r>
        <w:rPr>
          <w:rFonts w:ascii="ＭＳ 明朝" w:eastAsia="ＭＳ 明朝" w:hAnsi="ＭＳ 明朝" w:cs="ＭＳ 明朝"/>
          <w:color w:val="000000"/>
        </w:rPr>
        <w:tab/>
        <w:t xml:space="preserve"> ベルギーは欧州障害者カード・プロジェクトに参加している。このカードは、障害のある人の社会へのインクルージョンを前進させ、確かな特典を用意することを通じて文化的生活、レジャー、スポーツへの参加を促すことを目的としている。 </w:t>
      </w:r>
    </w:p>
    <w:p w14:paraId="00000189" w14:textId="4DA02A02" w:rsidR="0097565A" w:rsidRDefault="00400FB1" w:rsidP="00913A0A">
      <w:pPr>
        <w:pBdr>
          <w:top w:val="nil"/>
          <w:left w:val="nil"/>
          <w:bottom w:val="nil"/>
          <w:right w:val="nil"/>
          <w:between w:val="nil"/>
        </w:pBdr>
        <w:tabs>
          <w:tab w:val="left" w:pos="1701"/>
          <w:tab w:val="left" w:pos="2268"/>
          <w:tab w:val="left" w:pos="1300"/>
          <w:tab w:val="left" w:pos="1864"/>
        </w:tabs>
        <w:spacing w:after="120"/>
        <w:ind w:leftChars="567" w:left="1134" w:right="1134"/>
        <w:jc w:val="both"/>
        <w:rPr>
          <w:rFonts w:ascii="ＭＳ 明朝" w:eastAsia="ＭＳ 明朝" w:hAnsi="ＭＳ 明朝" w:cs="ＭＳ 明朝"/>
          <w:color w:val="000000"/>
        </w:rPr>
      </w:pPr>
      <w:r>
        <w:rPr>
          <w:rFonts w:ascii="ＭＳ 明朝" w:eastAsia="ＭＳ 明朝" w:hAnsi="ＭＳ 明朝" w:cs="ＭＳ 明朝"/>
          <w:color w:val="000000"/>
        </w:rPr>
        <w:t>265.</w:t>
      </w:r>
      <w:r>
        <w:rPr>
          <w:rFonts w:ascii="ＭＳ 明朝" w:eastAsia="ＭＳ 明朝" w:hAnsi="ＭＳ 明朝" w:cs="ＭＳ 明朝"/>
          <w:color w:val="000000"/>
        </w:rPr>
        <w:tab/>
        <w:t>フラマン語共同体およびフラマン地域では、イベントのアクセシビリティ掲示も、これらの分野にアクセシビリティを一層大きく組み入れることを目的としている。文化遺産のコレクションを管理する組織（博物館、文化資料館、文化遺産図書館）での認定基準のひとつは、特定の対象グループにとってのアクセシビリティを確保</w:t>
      </w:r>
      <w:r w:rsidR="00A6696D" w:rsidRPr="00A6696D">
        <w:rPr>
          <w:rFonts w:ascii="ＭＳ 明朝" w:eastAsia="ＭＳ 明朝" w:hAnsi="ＭＳ 明朝" w:cs="ＭＳ 明朝" w:hint="eastAsia"/>
          <w:color w:val="C0504D" w:themeColor="accent2"/>
        </w:rPr>
        <w:t>してい</w:t>
      </w:r>
      <w:r>
        <w:rPr>
          <w:rFonts w:ascii="ＭＳ 明朝" w:eastAsia="ＭＳ 明朝" w:hAnsi="ＭＳ 明朝" w:cs="ＭＳ 明朝"/>
          <w:color w:val="000000"/>
        </w:rPr>
        <w:t>ることである。</w:t>
      </w:r>
    </w:p>
    <w:p w14:paraId="0000018A"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266.</w:t>
      </w:r>
      <w:r>
        <w:rPr>
          <w:rFonts w:ascii="ＭＳ 明朝" w:eastAsia="ＭＳ 明朝" w:hAnsi="ＭＳ 明朝" w:cs="ＭＳ 明朝"/>
          <w:color w:val="000000"/>
        </w:rPr>
        <w:tab/>
        <w:t>フランス語共同体は障害団体（disability associations）の活動を組織的に支援している。多くの文化事業者は、障害のある人のアクセスを促進するために所定の対応を行っている。</w:t>
      </w:r>
    </w:p>
    <w:p w14:paraId="0000018B"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267.</w:t>
      </w:r>
      <w:r>
        <w:rPr>
          <w:rFonts w:ascii="ＭＳ 明朝" w:eastAsia="ＭＳ 明朝" w:hAnsi="ＭＳ 明朝" w:cs="ＭＳ 明朝"/>
          <w:color w:val="000000"/>
        </w:rPr>
        <w:tab/>
        <w:t>ワロン地域では、非営利団体「アクセス</w:t>
      </w:r>
      <w:proofErr w:type="spellStart"/>
      <w:r>
        <w:rPr>
          <w:rFonts w:ascii="ＭＳ 明朝" w:eastAsia="ＭＳ 明朝" w:hAnsi="ＭＳ 明朝" w:cs="ＭＳ 明朝"/>
          <w:color w:val="000000"/>
        </w:rPr>
        <w:t>i</w:t>
      </w:r>
      <w:proofErr w:type="spellEnd"/>
      <w:r>
        <w:rPr>
          <w:rFonts w:ascii="ＭＳ 明朝" w:eastAsia="ＭＳ 明朝" w:hAnsi="ＭＳ 明朝" w:cs="ＭＳ 明朝"/>
          <w:color w:val="000000"/>
        </w:rPr>
        <w:t>」（Access-</w:t>
      </w:r>
      <w:proofErr w:type="spellStart"/>
      <w:r>
        <w:rPr>
          <w:rFonts w:ascii="ＭＳ 明朝" w:eastAsia="ＭＳ 明朝" w:hAnsi="ＭＳ 明朝" w:cs="ＭＳ 明朝"/>
          <w:color w:val="000000"/>
        </w:rPr>
        <w:t>i</w:t>
      </w:r>
      <w:proofErr w:type="spellEnd"/>
      <w:r>
        <w:rPr>
          <w:rFonts w:ascii="ＭＳ 明朝" w:eastAsia="ＭＳ 明朝" w:hAnsi="ＭＳ 明朝" w:cs="ＭＳ 明朝"/>
          <w:color w:val="000000"/>
        </w:rPr>
        <w:t>）が、文化、スポーツ、レジャーのイベントやインフラのアクセシビリティに関する情報ポータル（訳注　ネット上の情報窓口）を開設した。観光の分野では、国家観光局が、移動困難者のためのアクセシビリティの概念を観光に適用することにより、万人のための観光（ツーリズムフォーオール）を推進するための行動計画を策定し、観光および社会部門の関係者、ならびにアクセシビリティ問題を専門とする関係者との連携を強化している。同事務局はまた、観光施設のアクセシビリティを向上させる工事等への補助率の引き上げを通じて、観光事業者のアクセス</w:t>
      </w:r>
      <w:proofErr w:type="spellStart"/>
      <w:r>
        <w:rPr>
          <w:rFonts w:ascii="ＭＳ 明朝" w:eastAsia="ＭＳ 明朝" w:hAnsi="ＭＳ 明朝" w:cs="ＭＳ 明朝"/>
          <w:color w:val="000000"/>
        </w:rPr>
        <w:t>i</w:t>
      </w:r>
      <w:proofErr w:type="spellEnd"/>
      <w:r>
        <w:rPr>
          <w:rFonts w:ascii="ＭＳ 明朝" w:eastAsia="ＭＳ 明朝" w:hAnsi="ＭＳ 明朝" w:cs="ＭＳ 明朝"/>
          <w:color w:val="000000"/>
        </w:rPr>
        <w:t>認証の取得を支援している。スポーツ分野では、2014年から2020年までの水泳プール計画は、あらゆる障害のある人のアクセシビリティを含む4つの基準に基づく改修・建設工事を支援するよう設計されている。レジャー活動に関しては、「アクセシブルな自然」（</w:t>
      </w:r>
      <w:proofErr w:type="spellStart"/>
      <w:r>
        <w:rPr>
          <w:rFonts w:ascii="ＭＳ 明朝" w:eastAsia="ＭＳ 明朝" w:hAnsi="ＭＳ 明朝" w:cs="ＭＳ 明朝"/>
          <w:color w:val="000000"/>
        </w:rPr>
        <w:t>Natur'accessible</w:t>
      </w:r>
      <w:proofErr w:type="spellEnd"/>
      <w:r>
        <w:rPr>
          <w:rFonts w:ascii="ＭＳ 明朝" w:eastAsia="ＭＳ 明朝" w:hAnsi="ＭＳ 明朝" w:cs="ＭＳ 明朝"/>
          <w:color w:val="000000"/>
        </w:rPr>
        <w:t>）プロジェクトは、自然に誰もがアクセスしやすくするための活動の一環である。そして、2017年以降、助成金申請書を提出する公共イベントの主催者は、アクセシビリティ憲章にパートナーとして署名し、誰でもイベントに参加できるようすべての可能な対策を実施することを求められている。</w:t>
      </w:r>
    </w:p>
    <w:p w14:paraId="0000018C" w14:textId="0CCB1F02"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268.</w:t>
      </w:r>
      <w:r>
        <w:rPr>
          <w:rFonts w:ascii="ＭＳ 明朝" w:eastAsia="ＭＳ 明朝" w:hAnsi="ＭＳ 明朝" w:cs="ＭＳ 明朝"/>
          <w:color w:val="000000"/>
        </w:rPr>
        <w:tab/>
        <w:t>ブリュッセルでは、アクセシビリティと機会均等がブリュッセル首都圏が若者を対象とするスポーツ団体に対して毎年実施している入札公募の基準に含まれいる。2018-2019年の障害をメインストリームに組み入れる計画には、2つのアクセシビリティ関連プロジェクト（自治体のスポーツ施設と公園・緑地）も含まれている。観光に関しては、</w:t>
      </w:r>
      <w:proofErr w:type="spellStart"/>
      <w:r>
        <w:rPr>
          <w:rFonts w:ascii="ＭＳ 明朝" w:eastAsia="ＭＳ 明朝" w:hAnsi="ＭＳ 明朝" w:cs="ＭＳ 明朝"/>
          <w:color w:val="000000"/>
        </w:rPr>
        <w:t>visit.brussels</w:t>
      </w:r>
      <w:proofErr w:type="spellEnd"/>
      <w:r>
        <w:rPr>
          <w:rFonts w:ascii="ＭＳ 明朝" w:eastAsia="ＭＳ 明朝" w:hAnsi="ＭＳ 明朝" w:cs="ＭＳ 明朝"/>
          <w:color w:val="000000"/>
        </w:rPr>
        <w:t xml:space="preserve">は、「ブリュッセルをアクセシブルに」（be accessible </w:t>
      </w:r>
      <w:proofErr w:type="spellStart"/>
      <w:r>
        <w:rPr>
          <w:rFonts w:ascii="ＭＳ 明朝" w:eastAsia="ＭＳ 明朝" w:hAnsi="ＭＳ 明朝" w:cs="ＭＳ 明朝"/>
          <w:color w:val="000000"/>
        </w:rPr>
        <w:t>be.brussels</w:t>
      </w:r>
      <w:proofErr w:type="spellEnd"/>
      <w:r>
        <w:rPr>
          <w:rFonts w:ascii="ＭＳ 明朝" w:eastAsia="ＭＳ 明朝" w:hAnsi="ＭＳ 明朝" w:cs="ＭＳ 明朝"/>
          <w:color w:val="000000"/>
        </w:rPr>
        <w:t>）と題されたパンフレットを作成し、移動困難</w:t>
      </w:r>
      <w:r w:rsidRPr="004E713D">
        <w:rPr>
          <w:rFonts w:ascii="ＭＳ 明朝" w:eastAsia="ＭＳ 明朝" w:hAnsi="ＭＳ 明朝" w:cs="ＭＳ 明朝"/>
          <w:color w:val="000000" w:themeColor="text1"/>
        </w:rPr>
        <w:t>者がアク</w:t>
      </w:r>
      <w:r w:rsidR="00DA5BEE" w:rsidRPr="004E713D">
        <w:rPr>
          <w:rFonts w:ascii="ＭＳ 明朝" w:eastAsia="ＭＳ 明朝" w:hAnsi="ＭＳ 明朝" w:cs="ＭＳ 明朝" w:hint="eastAsia"/>
          <w:color w:val="000000" w:themeColor="text1"/>
        </w:rPr>
        <w:t>セシブル</w:t>
      </w:r>
      <w:r w:rsidRPr="004E713D">
        <w:rPr>
          <w:rFonts w:ascii="ＭＳ 明朝" w:eastAsia="ＭＳ 明朝" w:hAnsi="ＭＳ 明朝" w:cs="ＭＳ 明朝"/>
          <w:color w:val="000000" w:themeColor="text1"/>
        </w:rPr>
        <w:t>な約50の博物館や観光名所を紹介している。また、「障害者に</w:t>
      </w:r>
      <w:r>
        <w:rPr>
          <w:rFonts w:ascii="ＭＳ 明朝" w:eastAsia="ＭＳ 明朝" w:hAnsi="ＭＳ 明朝" w:cs="ＭＳ 明朝"/>
          <w:color w:val="000000"/>
        </w:rPr>
        <w:t>配慮したイベントガイド」（Handy Events Guide）という、移動困難者がアクセスできる屋外イベントを開催するための実践的なガイドを立ち上げた。2015年以来毎年、この地域は、障害者分野で活動する団体がアクセシビリティを向上させ、フェスティバルをよりアクセシブルなものにするよう、具体的なプロジェクト募集を行っている。フランス語共同体委員会は、障害のある人をスポーツ活動に参加させるためのプロジェクトを毎年呼びかけている。同委員会は、交流の場をよりアクセシブルにし、レジャー活動をよりインクルーシブなものにするサービスを公認している。また、生涯学習（lifelong learning）、芸術、視聴覚部門などの分野において、障害のある人のインクルージョンを促進するために活動している多くの団体に財政的支援を行っている。</w:t>
      </w:r>
    </w:p>
    <w:p w14:paraId="0000018D" w14:textId="394A287D"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269.</w:t>
      </w:r>
      <w:r>
        <w:rPr>
          <w:rFonts w:ascii="ＭＳ 明朝" w:eastAsia="ＭＳ 明朝" w:hAnsi="ＭＳ 明朝" w:cs="ＭＳ 明朝"/>
          <w:color w:val="000000"/>
        </w:rPr>
        <w:tab/>
        <w:t>ドイツ語圏共同体では、地域開発計画に広範なアクセシビリティ分析が含まれている。自立生活サービス（Service for Independent Living）は、障害のある人が様々な余暇活動に参加できるよう、障害のある人に付き添うことを希望する人のための研修モジュールも提供している。最後に、近年、アクセシビリティと障害のある人の参加を考慮している多くの新しい文化施設が開設されている。</w:t>
      </w:r>
    </w:p>
    <w:p w14:paraId="0000018E"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事前質問事項のパラグラフ28（b）への回答</w:t>
      </w:r>
    </w:p>
    <w:p w14:paraId="0000018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 xml:space="preserve">270.　盲人、視覚障害のある人、その他印刷物の利用に困難がある人の出版物へのアクセスを容易にするためのマラケシュ条約は、EU内で規則と指令という2つの立法文書によって採択され、実施されている。この指令は2018年にベルギーの法律に組み込まれた。これにより、2018年12月22日以降、国内法はこの条約に沿ったものとなった。 </w:t>
      </w:r>
    </w:p>
    <w:p w14:paraId="00000190" w14:textId="77777777" w:rsidR="0097565A" w:rsidRDefault="00400FB1">
      <w:pPr>
        <w:keepNext/>
        <w:keepLines/>
        <w:pBdr>
          <w:top w:val="nil"/>
          <w:left w:val="nil"/>
          <w:bottom w:val="nil"/>
          <w:right w:val="nil"/>
          <w:between w:val="nil"/>
        </w:pBdr>
        <w:tabs>
          <w:tab w:val="right" w:pos="851"/>
        </w:tabs>
        <w:spacing w:before="360" w:after="240" w:line="300" w:lineRule="auto"/>
        <w:ind w:left="1134" w:right="1134" w:hanging="1134"/>
        <w:rPr>
          <w:rFonts w:ascii="ＭＳ 明朝" w:eastAsia="ＭＳ 明朝" w:hAnsi="ＭＳ 明朝" w:cs="ＭＳ 明朝"/>
          <w:b/>
          <w:bCs/>
          <w:color w:val="000000"/>
          <w:sz w:val="28"/>
          <w:szCs w:val="28"/>
        </w:rPr>
      </w:pPr>
      <w:r>
        <w:rPr>
          <w:rFonts w:ascii="ＭＳ 明朝" w:eastAsia="ＭＳ 明朝" w:hAnsi="ＭＳ 明朝" w:cs="ＭＳ 明朝"/>
          <w:color w:val="000000"/>
          <w:sz w:val="28"/>
          <w:szCs w:val="28"/>
        </w:rPr>
        <w:tab/>
      </w:r>
      <w:r>
        <w:rPr>
          <w:rFonts w:ascii="ＭＳ 明朝" w:eastAsia="ＭＳ 明朝" w:hAnsi="ＭＳ 明朝" w:cs="ＭＳ 明朝"/>
          <w:color w:val="000000"/>
          <w:sz w:val="28"/>
          <w:szCs w:val="28"/>
        </w:rPr>
        <w:tab/>
      </w:r>
      <w:r>
        <w:rPr>
          <w:rFonts w:ascii="ＭＳ 明朝" w:eastAsia="ＭＳ 明朝" w:hAnsi="ＭＳ 明朝" w:cs="ＭＳ 明朝"/>
          <w:b/>
          <w:bCs/>
          <w:color w:val="000000"/>
          <w:sz w:val="28"/>
          <w:szCs w:val="28"/>
        </w:rPr>
        <w:t>IV.</w:t>
      </w:r>
      <w:r>
        <w:rPr>
          <w:rFonts w:ascii="ＭＳ 明朝" w:eastAsia="ＭＳ 明朝" w:hAnsi="ＭＳ 明朝" w:cs="ＭＳ 明朝"/>
          <w:b/>
          <w:bCs/>
          <w:color w:val="000000"/>
          <w:sz w:val="28"/>
          <w:szCs w:val="28"/>
        </w:rPr>
        <w:tab/>
        <w:t>特定の義務</w:t>
      </w:r>
    </w:p>
    <w:p w14:paraId="00000191"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66" w:name="_heading=h.m7z2kt9gpa2" w:colFirst="0" w:colLast="0"/>
      <w:bookmarkEnd w:id="66"/>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統計とデータ収集（第31条）</w:t>
      </w:r>
    </w:p>
    <w:p w14:paraId="00000192"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rPr>
          <w:rFonts w:ascii="ＭＳ 明朝" w:eastAsia="ＭＳ 明朝" w:hAnsi="ＭＳ 明朝" w:cs="ＭＳ 明朝"/>
          <w:b/>
          <w:bCs/>
          <w:color w:val="000000"/>
        </w:rPr>
      </w:pPr>
      <w:r>
        <w:rPr>
          <w:rFonts w:ascii="ＭＳ 明朝" w:eastAsia="ＭＳ 明朝" w:hAnsi="ＭＳ 明朝" w:cs="ＭＳ 明朝"/>
          <w:b/>
          <w:bCs/>
          <w:color w:val="000000"/>
        </w:rPr>
        <w:tab/>
        <w:t>事前質問事項のパラグラフ29への回答</w:t>
      </w:r>
    </w:p>
    <w:p w14:paraId="00000193"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sidRPr="00C10187">
        <w:rPr>
          <w:rFonts w:ascii="ＭＳ 明朝" w:eastAsia="ＭＳ 明朝" w:hAnsi="ＭＳ 明朝" w:cs="ＭＳ 明朝"/>
          <w:color w:val="000000"/>
        </w:rPr>
        <w:t>271.</w:t>
      </w:r>
      <w:r w:rsidRPr="00C10187">
        <w:rPr>
          <w:rFonts w:ascii="ＭＳ 明朝" w:eastAsia="ＭＳ 明朝" w:hAnsi="ＭＳ 明朝" w:cs="ＭＳ 明朝"/>
          <w:color w:val="000000"/>
        </w:rPr>
        <w:tab/>
        <w:t>連邦レベルでは、連邦経済・中小企業・</w:t>
      </w:r>
      <w:r>
        <w:rPr>
          <w:rFonts w:ascii="ＭＳ 明朝" w:eastAsia="ＭＳ 明朝" w:hAnsi="ＭＳ 明朝" w:cs="ＭＳ 明朝"/>
          <w:color w:val="000000"/>
        </w:rPr>
        <w:t>自営業・エネルギー公社が、可能な限り統計が障害（disability）で分類されるよう、あらゆる分野の統計作成に障害を組み入れるための継続的な分析を行っている(訳注　ここでの「障害で分類」とは、機能障害の種類による分類ではなく、障害の有無での分類という意味と思われる)。その分類は、欧州統計局のガイドラインに違反することを確実に避けながら、重要性、方法的実現可能性、予算的影響の観点から評価されなければならない。2017年以降、ベルギー統計局（</w:t>
      </w:r>
      <w:proofErr w:type="spellStart"/>
      <w:r>
        <w:rPr>
          <w:rFonts w:ascii="ＭＳ 明朝" w:eastAsia="ＭＳ 明朝" w:hAnsi="ＭＳ 明朝" w:cs="ＭＳ 明朝"/>
          <w:color w:val="000000"/>
        </w:rPr>
        <w:t>Statbel</w:t>
      </w:r>
      <w:proofErr w:type="spellEnd"/>
      <w:r>
        <w:rPr>
          <w:rFonts w:ascii="ＭＳ 明朝" w:eastAsia="ＭＳ 明朝" w:hAnsi="ＭＳ 明朝" w:cs="ＭＳ 明朝"/>
          <w:color w:val="000000"/>
        </w:rPr>
        <w:t>）は、利用可能な障害関連の統計データに関するプレスリリースを毎年発表している。連邦社会保障公社の内部では、障害者総局の統計データを含むデータベースを修正し、行政、医療、財政データを男女別に集計している。さらに、2018年に発行された『難民・無国籍者総監部の年次統計概要』の新版の全表に含まれるデータは、男女別に集計されている。外部の協力者（external partners）とのコミュニケーションも体系的に男女別に集計されている。</w:t>
      </w:r>
    </w:p>
    <w:p w14:paraId="0000019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67" w:name="_heading=h.q8v7opttdy3k" w:colFirst="0" w:colLast="0"/>
      <w:bookmarkEnd w:id="67"/>
      <w:r>
        <w:rPr>
          <w:rFonts w:ascii="ＭＳ 明朝" w:eastAsia="ＭＳ 明朝" w:hAnsi="ＭＳ 明朝" w:cs="ＭＳ 明朝"/>
          <w:color w:val="000000"/>
        </w:rPr>
        <w:t>272.</w:t>
      </w:r>
      <w:r>
        <w:rPr>
          <w:rFonts w:ascii="ＭＳ 明朝" w:eastAsia="ＭＳ 明朝" w:hAnsi="ＭＳ 明朝" w:cs="ＭＳ 明朝"/>
          <w:color w:val="000000"/>
        </w:rPr>
        <w:tab/>
        <w:t>フラマン政府は、フラマンにおける障害者政策を監視する指標を作成するために、2017年から障害のある人の権利監視メカニズムに取り組んでいる。市民社会と研究者の協力のもと、ロバート・シャロックが提唱した生活の質(QOL)の概念に基づく23の指標が作成された。多様性ユニット（Diversity Unit）は、フラマン政府における障害のある職員の存在を認識し、そのデータを年次報告書の中で公表している。このデータは、職員による任意の登録と、職場で合理的配慮を求める人による不本意ながらの登録によって収集されている。GRIP（ベルギー障害フォーラム）が発行した「フラマンにおけるインクルージョンの反映」と題する報告書は、教育、労働、住宅、所得、スポーツ、文化などの分野における多くの重要な指標を含むとともに、障害のある人とない人の間の参加の隔たりを示す数字が記載されており、重要な参考資料となっている。</w:t>
      </w:r>
    </w:p>
    <w:p w14:paraId="00000195"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273.</w:t>
      </w:r>
      <w:r>
        <w:rPr>
          <w:rFonts w:ascii="ＭＳ 明朝" w:eastAsia="ＭＳ 明朝" w:hAnsi="ＭＳ 明朝" w:cs="ＭＳ 明朝"/>
          <w:color w:val="000000"/>
        </w:rPr>
        <w:tab/>
        <w:t xml:space="preserve">フランス語共同体では、障害のある人に関する情報は、インクルーシブ高等教育室（Chamber）および社会参加教育監察局を含む様々な機関によって随時収集されている。 </w:t>
      </w:r>
    </w:p>
    <w:p w14:paraId="0000019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274.</w:t>
      </w:r>
      <w:r>
        <w:rPr>
          <w:rFonts w:ascii="ＭＳ 明朝" w:eastAsia="ＭＳ 明朝" w:hAnsi="ＭＳ 明朝" w:cs="ＭＳ 明朝"/>
          <w:color w:val="000000"/>
        </w:rPr>
        <w:tab/>
        <w:t>ワロン地域では、ワロン保健・社会保護・障害・家族局は現在、依存度の高い障害のある成人に関する統計を改善するため、4つのプロジェクトに取り組んでいる。それは、障害認定プロセスの一環として連邦社会保障公社が収集した個人データへのアクセス、各障害の種類に関する知識の向上、支援サービスへのニーズに関する知識の向上、自己判断の喪失レベルに関する知識の向上である。</w:t>
      </w:r>
    </w:p>
    <w:p w14:paraId="00000197" w14:textId="4D1D50E1"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68" w:name="_heading=h.z5sx1eozlkqq" w:colFirst="0" w:colLast="0"/>
      <w:bookmarkEnd w:id="68"/>
      <w:r>
        <w:rPr>
          <w:rFonts w:ascii="ＭＳ 明朝" w:eastAsia="ＭＳ 明朝" w:hAnsi="ＭＳ 明朝" w:cs="ＭＳ 明朝"/>
          <w:color w:val="000000"/>
        </w:rPr>
        <w:t>275.</w:t>
      </w:r>
      <w:r>
        <w:rPr>
          <w:rFonts w:ascii="ＭＳ 明朝" w:eastAsia="ＭＳ 明朝" w:hAnsi="ＭＳ 明朝" w:cs="ＭＳ 明朝"/>
          <w:color w:val="000000"/>
        </w:rPr>
        <w:tab/>
        <w:t>ブリュッセル保健社会問題監視所（Brussels Observatory of Health and Social Issues）や「パースペクティブ・ブリュッセル」（</w:t>
      </w:r>
      <w:proofErr w:type="spellStart"/>
      <w:r>
        <w:rPr>
          <w:rFonts w:ascii="ＭＳ 明朝" w:eastAsia="ＭＳ 明朝" w:hAnsi="ＭＳ 明朝" w:cs="ＭＳ 明朝"/>
          <w:color w:val="000000"/>
        </w:rPr>
        <w:t>perspective.brussels</w:t>
      </w:r>
      <w:proofErr w:type="spellEnd"/>
      <w:r>
        <w:rPr>
          <w:rFonts w:ascii="ＭＳ 明朝" w:eastAsia="ＭＳ 明朝" w:hAnsi="ＭＳ 明朝" w:cs="ＭＳ 明朝"/>
          <w:color w:val="000000"/>
        </w:rPr>
        <w:t>）など、ブリュッセル地域と共通共同体委員会の中のいくつかの機関が、データの収集、分析、普及を行っている。障害のある人の権利に関するデータの収集、分析、普及を体系化するために、ハンディキャップ・ブリュッセル（</w:t>
      </w:r>
      <w:proofErr w:type="spellStart"/>
      <w:r>
        <w:rPr>
          <w:rFonts w:ascii="ＭＳ 明朝" w:eastAsia="ＭＳ 明朝" w:hAnsi="ＭＳ 明朝" w:cs="ＭＳ 明朝"/>
          <w:color w:val="000000"/>
        </w:rPr>
        <w:t>handicap.brussels</w:t>
      </w:r>
      <w:proofErr w:type="spellEnd"/>
      <w:r>
        <w:rPr>
          <w:rFonts w:ascii="ＭＳ 明朝" w:eastAsia="ＭＳ 明朝" w:hAnsi="ＭＳ 明朝" w:cs="ＭＳ 明朝"/>
          <w:color w:val="000000"/>
        </w:rPr>
        <w:t>）という名前の、すべての関係者のための一元的な障害情報センターを設置する計画がある。ブリュッセル地域では、機会均等確認措置（equal opportunities test）の導入により、すべての施策の影響を、性別、障害、民族的・文化的出自、性的指向・性自認・性表現、社会的</w:t>
      </w:r>
      <w:r w:rsidR="00C10187">
        <w:rPr>
          <w:rFonts w:ascii="ＭＳ 明朝" w:eastAsia="ＭＳ 明朝" w:hAnsi="ＭＳ 明朝" w:cs="ＭＳ 明朝" w:hint="eastAsia"/>
          <w:color w:val="000000"/>
        </w:rPr>
        <w:t>出身</w:t>
      </w:r>
      <w:r>
        <w:rPr>
          <w:rFonts w:ascii="ＭＳ 明朝" w:eastAsia="ＭＳ 明朝" w:hAnsi="ＭＳ 明朝" w:cs="ＭＳ 明朝"/>
          <w:color w:val="000000"/>
        </w:rPr>
        <w:t>・地位の5つの基準で評価しなければならなくなった。</w:t>
      </w:r>
    </w:p>
    <w:p w14:paraId="0000019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276.</w:t>
      </w:r>
      <w:r>
        <w:rPr>
          <w:rFonts w:ascii="ＭＳ 明朝" w:eastAsia="ＭＳ 明朝" w:hAnsi="ＭＳ 明朝" w:cs="ＭＳ 明朝"/>
          <w:color w:val="000000"/>
        </w:rPr>
        <w:tab/>
        <w:t>ドイツ語圏共同体では、統計サービスによって収集される障害に関するデータは、労働力調査における、仕事に関連した障害や健康問題、配慮の必要性に関する3つの質問に関連するものに限定される。統計やデータは、公共政策の立案を改善するために、自立生活サービス（Service for Independent Living）が実施する障害関連のテーマに関する詳細な調査の一環として収集される。</w:t>
      </w:r>
    </w:p>
    <w:p w14:paraId="00000199"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69" w:name="_heading=h.n7k11v8j4zci" w:colFirst="0" w:colLast="0"/>
      <w:bookmarkEnd w:id="69"/>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国際協力（第32条）</w:t>
      </w:r>
    </w:p>
    <w:p w14:paraId="0000019A"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事前質問事項のパラグラフ30への回答</w:t>
      </w:r>
    </w:p>
    <w:p w14:paraId="0000019B" w14:textId="77777777" w:rsidR="0097565A" w:rsidRDefault="00400FB1">
      <w:pPr>
        <w:pBdr>
          <w:top w:val="nil"/>
          <w:left w:val="nil"/>
          <w:bottom w:val="nil"/>
          <w:right w:val="nil"/>
          <w:between w:val="nil"/>
        </w:pBdr>
        <w:tabs>
          <w:tab w:val="left" w:pos="1701"/>
          <w:tab w:val="left" w:pos="2268"/>
          <w:tab w:val="left" w:pos="1504"/>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277.</w:t>
      </w:r>
      <w:r>
        <w:rPr>
          <w:rFonts w:ascii="ＭＳ 明朝" w:eastAsia="ＭＳ 明朝" w:hAnsi="ＭＳ 明朝" w:cs="ＭＳ 明朝"/>
          <w:color w:val="000000"/>
        </w:rPr>
        <w:tab/>
        <w:t xml:space="preserve">ベルギーのすべての開発協力は、連邦政府レベルでも連邦団体（federated entity）レベルでも、「持続可能な開発のための2030アジェンダ」、「持続可能な開発目標」、そして社会的弱者に焦点を当てた「誰一人取り残さない」という呼びかけに完全に足並みをそろえている。 </w:t>
      </w:r>
    </w:p>
    <w:p w14:paraId="0000019C" w14:textId="2570F64B"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278.</w:t>
      </w:r>
      <w:r>
        <w:rPr>
          <w:rFonts w:ascii="ＭＳ 明朝" w:eastAsia="ＭＳ 明朝" w:hAnsi="ＭＳ 明朝" w:cs="ＭＳ 明朝"/>
          <w:color w:val="000000"/>
        </w:rPr>
        <w:tab/>
        <w:t>連邦レベルでのすべての開発協力活動は、人権に基づくアプローチを採用し、人道援助ニーズに基づくもの</w:t>
      </w:r>
      <w:r w:rsidR="00680B19">
        <w:rPr>
          <w:rFonts w:ascii="ＭＳ 明朝" w:eastAsia="ＭＳ 明朝" w:hAnsi="ＭＳ 明朝" w:cs="ＭＳ 明朝" w:hint="eastAsia"/>
          <w:color w:val="000000"/>
        </w:rPr>
        <w:t>で</w:t>
      </w:r>
      <w:r>
        <w:rPr>
          <w:rFonts w:ascii="ＭＳ 明朝" w:eastAsia="ＭＳ 明朝" w:hAnsi="ＭＳ 明朝" w:cs="ＭＳ 明朝"/>
          <w:color w:val="000000"/>
        </w:rPr>
        <w:t>なければならない。この交差的アプローチにより、ベルギーは、ある種の脆弱性に結びついた特定のニーズも含め、あらゆる形の脆弱性を考慮に入れることができる。ベルギーの人道戦略でも、「人道的資金提供は、被災者のニーズと脆弱性の程度に基づかなければならない」と明記されている。障害は脆弱性の一形態であるため、障害のある人は開発協力や人道援助の資金助成において十分に考慮される。ベルギーはまた、「人道活動における障害のある人のインクルージョンに関する憲章」を承認している。このような分野横断的な統合に加え、ベルギーは目的を障害者支援に絞った取り組みを支援している。例えば2017年、ベルギーはマリ、ニジェール、トーゴで装具を必要とする人のために3Dプリンターと遠隔リハビリテーション技術の実現可能性をテストする新たなプロジェクトに資金を提供した。2018年には、ベルギーは北キヴ（North Kivu）のケア施設や地域社会における機能制限者のケアの改善を目的としたプロジェクトに資金を提供した。</w:t>
      </w:r>
    </w:p>
    <w:p w14:paraId="0000019D" w14:textId="0F05992A"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279.</w:t>
      </w:r>
      <w:r>
        <w:rPr>
          <w:rFonts w:ascii="ＭＳ 明朝" w:eastAsia="ＭＳ 明朝" w:hAnsi="ＭＳ 明朝" w:cs="ＭＳ 明朝"/>
          <w:color w:val="000000"/>
        </w:rPr>
        <w:tab/>
        <w:t>フラマン語共同体およびフラマン地域では、開発協力に関する枠組みとなる</w:t>
      </w:r>
      <w:r w:rsidRPr="004E713D">
        <w:rPr>
          <w:rFonts w:ascii="ＭＳ 明朝" w:eastAsia="ＭＳ 明朝" w:hAnsi="ＭＳ 明朝" w:cs="ＭＳ 明朝"/>
          <w:color w:val="000000" w:themeColor="text1"/>
        </w:rPr>
        <w:t>法令に、開発途上国で</w:t>
      </w:r>
      <w:r w:rsidR="00811897" w:rsidRPr="004E713D">
        <w:rPr>
          <w:rFonts w:ascii="ＭＳ 明朝" w:eastAsia="ＭＳ 明朝" w:hAnsi="ＭＳ 明朝" w:cs="ＭＳ 明朝" w:hint="eastAsia"/>
          <w:color w:val="000000" w:themeColor="text1"/>
        </w:rPr>
        <w:t>の</w:t>
      </w:r>
      <w:r w:rsidR="006E242F" w:rsidRPr="004E713D">
        <w:rPr>
          <w:rFonts w:ascii="ＭＳ 明朝" w:eastAsia="ＭＳ 明朝" w:hAnsi="ＭＳ 明朝" w:cs="ＭＳ 明朝" w:hint="eastAsia"/>
          <w:color w:val="000000" w:themeColor="text1"/>
        </w:rPr>
        <w:t>支援</w:t>
      </w:r>
      <w:r w:rsidRPr="004E713D">
        <w:rPr>
          <w:rFonts w:ascii="ＭＳ 明朝" w:eastAsia="ＭＳ 明朝" w:hAnsi="ＭＳ 明朝" w:cs="ＭＳ 明朝"/>
          <w:color w:val="000000" w:themeColor="text1"/>
        </w:rPr>
        <w:t>プロジェクトが不利な立場にある弱者グループに確</w:t>
      </w:r>
      <w:r>
        <w:rPr>
          <w:rFonts w:ascii="ＭＳ 明朝" w:eastAsia="ＭＳ 明朝" w:hAnsi="ＭＳ 明朝" w:cs="ＭＳ 明朝"/>
          <w:color w:val="000000"/>
        </w:rPr>
        <w:t>実に届くようにするためのインクルージョンの原則が盛り込まれている。プロジェクトの状況に応じて、例えば、女性、障害のある人、青少年などが含まれる。フラマンの水平的機会均等政策計画の一環としての開発協力では特に障害のある人に注目している。</w:t>
      </w:r>
    </w:p>
    <w:p w14:paraId="0000019E"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280.</w:t>
      </w:r>
      <w:r>
        <w:rPr>
          <w:rFonts w:ascii="ＭＳ 明朝" w:eastAsia="ＭＳ 明朝" w:hAnsi="ＭＳ 明朝" w:cs="ＭＳ 明朝"/>
          <w:color w:val="000000"/>
        </w:rPr>
        <w:tab/>
        <w:t>ブリュッセルでは、ブリュッセル首都圏地域とフランス語共同体委員会が、障害のある人のインクルージョンの実践に貢献する様々な開発協力プロジェクトを立ち上げている。</w:t>
      </w:r>
    </w:p>
    <w:p w14:paraId="0000019F"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281.</w:t>
      </w:r>
      <w:r>
        <w:rPr>
          <w:rFonts w:ascii="ＭＳ 明朝" w:eastAsia="ＭＳ 明朝" w:hAnsi="ＭＳ 明朝" w:cs="ＭＳ 明朝"/>
          <w:color w:val="000000"/>
        </w:rPr>
        <w:tab/>
        <w:t>ドイツ語共同体では、訓練、雇用、保健の分野のプロジェクトや、障害のある人を含む潜在的なリスクを有する人口集団を保護するプロジェクトの支援が優先される。</w:t>
      </w:r>
    </w:p>
    <w:p w14:paraId="000001A0" w14:textId="77777777" w:rsidR="0097565A" w:rsidRDefault="00400FB1">
      <w:pPr>
        <w:keepNext/>
        <w:keepLines/>
        <w:pBdr>
          <w:top w:val="nil"/>
          <w:left w:val="nil"/>
          <w:bottom w:val="nil"/>
          <w:right w:val="nil"/>
          <w:between w:val="nil"/>
        </w:pBdr>
        <w:tabs>
          <w:tab w:val="right" w:pos="851"/>
        </w:tabs>
        <w:spacing w:before="360" w:after="240" w:line="270" w:lineRule="auto"/>
        <w:ind w:left="1134" w:right="1134" w:hanging="1134"/>
        <w:rPr>
          <w:rFonts w:ascii="ＭＳ 明朝" w:eastAsia="ＭＳ 明朝" w:hAnsi="ＭＳ 明朝" w:cs="ＭＳ 明朝"/>
          <w:b/>
          <w:bCs/>
          <w:color w:val="000000"/>
          <w:sz w:val="24"/>
          <w:szCs w:val="24"/>
        </w:rPr>
      </w:pPr>
      <w:bookmarkStart w:id="70" w:name="_heading=h.gv6ex4drpj6q" w:colFirst="0" w:colLast="0"/>
      <w:bookmarkEnd w:id="70"/>
      <w:r>
        <w:rPr>
          <w:rFonts w:ascii="ＭＳ 明朝" w:eastAsia="ＭＳ 明朝" w:hAnsi="ＭＳ 明朝" w:cs="ＭＳ 明朝"/>
          <w:b/>
          <w:bCs/>
          <w:color w:val="000000"/>
          <w:sz w:val="24"/>
          <w:szCs w:val="24"/>
        </w:rPr>
        <w:tab/>
      </w:r>
      <w:r>
        <w:rPr>
          <w:rFonts w:ascii="ＭＳ 明朝" w:eastAsia="ＭＳ 明朝" w:hAnsi="ＭＳ 明朝" w:cs="ＭＳ 明朝"/>
          <w:b/>
          <w:bCs/>
          <w:color w:val="000000"/>
          <w:sz w:val="24"/>
          <w:szCs w:val="24"/>
        </w:rPr>
        <w:tab/>
        <w:t>国内での実施と監視（第33条）</w:t>
      </w:r>
    </w:p>
    <w:p w14:paraId="000001A1"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rPr>
          <w:rFonts w:ascii="ＭＳ 明朝" w:eastAsia="ＭＳ 明朝" w:hAnsi="ＭＳ 明朝" w:cs="ＭＳ 明朝"/>
          <w:b/>
          <w:bCs/>
          <w:color w:val="000000"/>
        </w:rPr>
      </w:pPr>
      <w:r>
        <w:rPr>
          <w:rFonts w:ascii="ＭＳ 明朝" w:eastAsia="ＭＳ 明朝" w:hAnsi="ＭＳ 明朝" w:cs="ＭＳ 明朝"/>
          <w:b/>
          <w:bCs/>
          <w:color w:val="000000"/>
        </w:rPr>
        <w:tab/>
        <w:t>事前質問事項のパラグラフ31（a）への回答</w:t>
      </w:r>
    </w:p>
    <w:p w14:paraId="000001A2" w14:textId="53FE1F56"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bookmarkStart w:id="71" w:name="_heading=h.hkuf8xkwhgut" w:colFirst="0" w:colLast="0"/>
      <w:bookmarkEnd w:id="71"/>
      <w:r>
        <w:rPr>
          <w:rFonts w:ascii="ＭＳ 明朝" w:eastAsia="ＭＳ 明朝" w:hAnsi="ＭＳ 明朝" w:cs="ＭＳ 明朝"/>
          <w:color w:val="000000"/>
        </w:rPr>
        <w:t>282.</w:t>
      </w:r>
      <w:r>
        <w:rPr>
          <w:rFonts w:ascii="ＭＳ 明朝" w:eastAsia="ＭＳ 明朝" w:hAnsi="ＭＳ 明朝" w:cs="ＭＳ 明朝"/>
          <w:color w:val="000000"/>
        </w:rPr>
        <w:tab/>
        <w:t>ベルギーでは、連邦社会保障公社（Federal Public Service for Social Security）が、連邦調整メカニズムとしての役割を割り当てられている。これは、その役割の中で、連邦社会保障公社は、条約の実施に関する情報交換を調整し、独立機構や市民社会との間だけでなく、政府の各レベルで指定された様々な連絡先(focal points)間の協力を確保する。その一環として、特に情報や成功事例の共有を通じて連絡先を支援している。すべての連絡先の間の調整会議が年に2〜3回開催され、オンラインでの</w:t>
      </w:r>
      <w:r w:rsidR="00CB2489" w:rsidRPr="00913A0A">
        <w:rPr>
          <w:rFonts w:ascii="ＭＳ 明朝" w:eastAsia="ＭＳ 明朝" w:hAnsi="ＭＳ 明朝" w:cs="ＭＳ 明朝" w:hint="eastAsia"/>
          <w:color w:val="000000"/>
        </w:rPr>
        <w:t>情報</w:t>
      </w:r>
      <w:r>
        <w:rPr>
          <w:rFonts w:ascii="ＭＳ 明朝" w:eastAsia="ＭＳ 明朝" w:hAnsi="ＭＳ 明朝" w:cs="ＭＳ 明朝"/>
          <w:color w:val="000000"/>
        </w:rPr>
        <w:t>交換プラットフォームも設置されている。最後に、連邦社会保障公社は年2回のニュースレターを作成し、実施された措置、国内・国際レベルでの最新の事例、障害や条約の規定に関するニュースを連絡先に知らせている。</w:t>
      </w:r>
    </w:p>
    <w:p w14:paraId="000001A3"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rPr>
          <w:rFonts w:ascii="ＭＳ 明朝" w:eastAsia="ＭＳ 明朝" w:hAnsi="ＭＳ 明朝" w:cs="ＭＳ 明朝"/>
          <w:b/>
          <w:bCs/>
          <w:color w:val="000000"/>
        </w:rPr>
      </w:pPr>
      <w:r>
        <w:rPr>
          <w:rFonts w:ascii="ＭＳ 明朝" w:eastAsia="ＭＳ 明朝" w:hAnsi="ＭＳ 明朝" w:cs="ＭＳ 明朝"/>
          <w:b/>
          <w:bCs/>
          <w:color w:val="000000"/>
        </w:rPr>
        <w:tab/>
        <w:t>事前質問事項のパラグラフ31（b）への回答</w:t>
      </w:r>
    </w:p>
    <w:p w14:paraId="000001A4"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283.</w:t>
      </w:r>
      <w:r>
        <w:rPr>
          <w:rFonts w:ascii="ＭＳ 明朝" w:eastAsia="ＭＳ 明朝" w:hAnsi="ＭＳ 明朝" w:cs="ＭＳ 明朝"/>
          <w:color w:val="000000"/>
        </w:rPr>
        <w:tab/>
        <w:t>機会均等・人種差別撤廃行動センター（通称ウニア）は、2014年の協力協定によって設立された。人権の促進と保護のための国内機関の地位に関する原則（パリ原則）に従い、ウニアは完全な独立性をもって協力協定に定められた任務を遂行している。2018年、ウニアは国連が支援する国内人権機関世界連合により、Bランクの国内人権機関として認定された。ウニアに供与される財源は協力協定の第16条に規定されており、協定の全締結者に資金提供を義務付けている。ウニアは、その内部組織、予算管理、職員の採用と配置について、独自の決定を下している。</w:t>
      </w:r>
    </w:p>
    <w:p w14:paraId="000001A5" w14:textId="77777777" w:rsidR="0097565A" w:rsidRDefault="00400FB1">
      <w:pPr>
        <w:keepNext/>
        <w:keepLines/>
        <w:pBdr>
          <w:top w:val="nil"/>
          <w:left w:val="nil"/>
          <w:bottom w:val="nil"/>
          <w:right w:val="nil"/>
          <w:between w:val="nil"/>
        </w:pBdr>
        <w:tabs>
          <w:tab w:val="right" w:pos="851"/>
        </w:tabs>
        <w:spacing w:before="240" w:after="120" w:line="240" w:lineRule="auto"/>
        <w:ind w:left="1134" w:right="1134" w:hanging="1134"/>
        <w:rPr>
          <w:rFonts w:ascii="ＭＳ 明朝" w:eastAsia="ＭＳ 明朝" w:hAnsi="ＭＳ 明朝" w:cs="ＭＳ 明朝"/>
          <w:b/>
          <w:bCs/>
          <w:color w:val="000000"/>
        </w:rPr>
      </w:pPr>
      <w:r>
        <w:rPr>
          <w:rFonts w:ascii="ＭＳ 明朝" w:eastAsia="ＭＳ 明朝" w:hAnsi="ＭＳ 明朝" w:cs="ＭＳ 明朝"/>
          <w:b/>
          <w:bCs/>
          <w:color w:val="000000"/>
        </w:rPr>
        <w:tab/>
      </w:r>
      <w:r>
        <w:rPr>
          <w:rFonts w:ascii="ＭＳ 明朝" w:eastAsia="ＭＳ 明朝" w:hAnsi="ＭＳ 明朝" w:cs="ＭＳ 明朝"/>
          <w:b/>
          <w:bCs/>
          <w:color w:val="000000"/>
        </w:rPr>
        <w:tab/>
        <w:t>事前質問事項のパラグラフ31（c）への回答</w:t>
      </w:r>
    </w:p>
    <w:p w14:paraId="000001A6"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284.</w:t>
      </w:r>
      <w:r>
        <w:rPr>
          <w:rFonts w:ascii="ＭＳ 明朝" w:eastAsia="ＭＳ 明朝" w:hAnsi="ＭＳ 明朝" w:cs="ＭＳ 明朝"/>
          <w:color w:val="000000"/>
        </w:rPr>
        <w:tab/>
        <w:t>国内では、障害のある人を代表する団体が様々なレベルで条約の実施に積極的に関与している。以下はその例である。</w:t>
      </w:r>
    </w:p>
    <w:p w14:paraId="000001A7"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285.</w:t>
      </w:r>
      <w:r>
        <w:rPr>
          <w:rFonts w:ascii="ＭＳ 明朝" w:eastAsia="ＭＳ 明朝" w:hAnsi="ＭＳ 明朝" w:cs="ＭＳ 明朝"/>
          <w:color w:val="000000"/>
        </w:rPr>
        <w:tab/>
        <w:t>連邦レベルでは、全国障害者高等評議会（National Higher Council for Persons with Disabilities）が2015年からの障害者行動計画の策定に参加した。さらに、条約の調整機構、全国高等協議会、ベルギー障害フォーラムが頻繁に連絡を取り合うことで、条約の実施に関する継続的な対話が保証されている。毎年、全国高等評議会やベルギー障害フォーラムを含む団体は、条約締約国会議においてベルギー政府が取るべき立ち位置を検討する際に政府から意見を求められる。連邦当局はまた、会議への市民社会代表の参加に資金を提供している。</w:t>
      </w:r>
    </w:p>
    <w:p w14:paraId="000001A8"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286.</w:t>
      </w:r>
      <w:r>
        <w:rPr>
          <w:rFonts w:ascii="ＭＳ 明朝" w:eastAsia="ＭＳ 明朝" w:hAnsi="ＭＳ 明朝" w:cs="ＭＳ 明朝"/>
          <w:color w:val="000000"/>
        </w:rPr>
        <w:tab/>
        <w:t>2018年、フラマン政府は、そのすべての管轄区域における条約の実施状況を評価するため、関連するすべての公共機関および市民社会の関係者を集めた円卓会議を開催した。</w:t>
      </w:r>
    </w:p>
    <w:p w14:paraId="000001A9" w14:textId="77777777" w:rsidR="0097565A" w:rsidRDefault="00400FB1">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rPr>
      </w:pPr>
      <w:r>
        <w:rPr>
          <w:rFonts w:ascii="ＭＳ 明朝" w:eastAsia="ＭＳ 明朝" w:hAnsi="ＭＳ 明朝" w:cs="ＭＳ 明朝"/>
          <w:color w:val="000000"/>
        </w:rPr>
        <w:t>287.</w:t>
      </w:r>
      <w:r>
        <w:rPr>
          <w:rFonts w:ascii="ＭＳ 明朝" w:eastAsia="ＭＳ 明朝" w:hAnsi="ＭＳ 明朝" w:cs="ＭＳ 明朝"/>
          <w:color w:val="000000"/>
        </w:rPr>
        <w:tab/>
        <w:t>フランス語共同体委員会の障害者諮問委員会は、毎月1回PHAREサービス（訳注　パラグラフ83参照）にて会合を開き、条約の実施を含むすべての関連問題を討議している。</w:t>
      </w:r>
    </w:p>
    <w:p w14:paraId="000001AB" w14:textId="7651AEB3" w:rsidR="0097565A" w:rsidRDefault="00400FB1" w:rsidP="004E713D">
      <w:pPr>
        <w:pBdr>
          <w:top w:val="nil"/>
          <w:left w:val="nil"/>
          <w:bottom w:val="nil"/>
          <w:right w:val="nil"/>
          <w:between w:val="nil"/>
        </w:pBdr>
        <w:tabs>
          <w:tab w:val="left" w:pos="1701"/>
          <w:tab w:val="left" w:pos="2268"/>
        </w:tabs>
        <w:spacing w:after="120"/>
        <w:ind w:left="1134" w:right="1134"/>
        <w:jc w:val="both"/>
        <w:rPr>
          <w:rFonts w:ascii="ＭＳ 明朝" w:eastAsia="ＭＳ 明朝" w:hAnsi="ＭＳ 明朝" w:cs="ＭＳ 明朝"/>
          <w:color w:val="000000"/>
          <w:u w:val="single"/>
        </w:rPr>
      </w:pPr>
      <w:r>
        <w:rPr>
          <w:rFonts w:ascii="ＭＳ 明朝" w:eastAsia="ＭＳ 明朝" w:hAnsi="ＭＳ 明朝" w:cs="ＭＳ 明朝"/>
          <w:color w:val="000000"/>
        </w:rPr>
        <w:t>288.</w:t>
      </w:r>
      <w:r>
        <w:rPr>
          <w:rFonts w:ascii="ＭＳ 明朝" w:eastAsia="ＭＳ 明朝" w:hAnsi="ＭＳ 明朝" w:cs="ＭＳ 明朝"/>
          <w:color w:val="000000"/>
        </w:rPr>
        <w:tab/>
        <w:t xml:space="preserve">ドイツ語共同体では、障害者団体の代表とドイツ語共同体の連絡先である自立生活サービスとの間で、条約に関連する様々なテーマに関する交流が組織されている。 </w:t>
      </w:r>
    </w:p>
    <w:p w14:paraId="000001AC" w14:textId="6E039D85" w:rsidR="0097565A" w:rsidRDefault="00400FB1">
      <w:pPr>
        <w:pBdr>
          <w:top w:val="nil"/>
          <w:left w:val="nil"/>
          <w:bottom w:val="nil"/>
          <w:right w:val="nil"/>
          <w:between w:val="nil"/>
        </w:pBdr>
        <w:tabs>
          <w:tab w:val="left" w:pos="1701"/>
          <w:tab w:val="left" w:pos="2268"/>
        </w:tabs>
        <w:spacing w:after="120"/>
        <w:ind w:left="1134" w:right="1134"/>
        <w:jc w:val="right"/>
        <w:rPr>
          <w:rFonts w:ascii="ＭＳ 明朝" w:eastAsia="ＭＳ 明朝" w:hAnsi="ＭＳ 明朝" w:cs="ＭＳ 明朝"/>
          <w:color w:val="000000"/>
        </w:rPr>
      </w:pPr>
      <w:r>
        <w:rPr>
          <w:rFonts w:ascii="ＭＳ 明朝" w:eastAsia="ＭＳ 明朝" w:hAnsi="ＭＳ 明朝" w:cs="ＭＳ 明朝"/>
          <w:color w:val="000000"/>
          <w:u w:val="single"/>
        </w:rPr>
        <w:t>(翻訳・佐藤久夫、</w:t>
      </w:r>
      <w:r w:rsidR="00AC700E" w:rsidRPr="00913A0A">
        <w:rPr>
          <w:rFonts w:ascii="ＭＳ 明朝" w:eastAsia="ＭＳ 明朝" w:hAnsi="ＭＳ 明朝" w:cs="ＭＳ 明朝" w:hint="eastAsia"/>
          <w:color w:val="000000"/>
          <w:u w:val="single"/>
        </w:rPr>
        <w:t>曽根原純</w:t>
      </w:r>
      <w:r>
        <w:rPr>
          <w:rFonts w:ascii="ＭＳ 明朝" w:eastAsia="ＭＳ 明朝" w:hAnsi="ＭＳ 明朝" w:cs="ＭＳ 明朝"/>
          <w:color w:val="000000"/>
          <w:u w:val="single"/>
        </w:rPr>
        <w:t>)</w:t>
      </w:r>
    </w:p>
    <w:sectPr w:rsidR="0097565A">
      <w:headerReference w:type="even" r:id="rId14"/>
      <w:headerReference w:type="default" r:id="rId15"/>
      <w:footerReference w:type="even" r:id="rId16"/>
      <w:footerReference w:type="default" r:id="rId17"/>
      <w:footerReference w:type="first" r:id="rId18"/>
      <w:pgSz w:w="11907" w:h="16840"/>
      <w:pgMar w:top="1417" w:right="1134" w:bottom="1134" w:left="1134" w:header="850" w:footer="567"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jun sonehara" w:date="2025-05-24T12:21:00Z" w:initials="">
    <w:p w14:paraId="000001B5" w14:textId="77777777" w:rsidR="0097565A" w:rsidRDefault="00400FB1">
      <w:pPr>
        <w:widowControl w:val="0"/>
        <w:pBdr>
          <w:top w:val="nil"/>
          <w:left w:val="nil"/>
          <w:bottom w:val="nil"/>
          <w:right w:val="nil"/>
          <w:between w:val="nil"/>
        </w:pBdr>
        <w:spacing w:line="240" w:lineRule="auto"/>
        <w:rPr>
          <w:rFonts w:ascii="Arial" w:eastAsia="Arial" w:hAnsi="Arial" w:cs="Arial"/>
          <w:color w:val="000000"/>
          <w:sz w:val="22"/>
          <w:szCs w:val="22"/>
        </w:rPr>
      </w:pPr>
      <w:r>
        <w:rPr>
          <w:rStyle w:val="af3"/>
        </w:rPr>
        <w:annotationRef/>
      </w:r>
    </w:p>
  </w:comment>
  <w:comment w:id="23" w:author="jun sonehara" w:date="2025-05-24T12:22:00Z" w:initials="">
    <w:p w14:paraId="43B3A5DB" w14:textId="77777777" w:rsidR="00400FB1" w:rsidRDefault="00400FB1">
      <w:pPr>
        <w:pStyle w:val="af6"/>
      </w:pPr>
    </w:p>
    <w:p w14:paraId="000001B6" w14:textId="77777777" w:rsidR="0097565A" w:rsidRDefault="0097565A">
      <w:pPr>
        <w:widowControl w:val="0"/>
        <w:pBdr>
          <w:top w:val="nil"/>
          <w:left w:val="nil"/>
          <w:bottom w:val="nil"/>
          <w:right w:val="nil"/>
          <w:between w:val="nil"/>
        </w:pBdr>
        <w:spacing w:line="240" w:lineRule="auto"/>
        <w:rPr>
          <w:rFonts w:ascii="Arial" w:eastAsia="Arial" w:hAnsi="Arial" w:cs="Arial"/>
          <w:color w:val="000000"/>
          <w:sz w:val="22"/>
          <w:szCs w:val="22"/>
        </w:rPr>
      </w:pPr>
    </w:p>
    <w:p w14:paraId="5DEE8B03" w14:textId="77777777" w:rsidR="00400FB1" w:rsidRDefault="00400FB1">
      <w:pPr>
        <w:pStyle w:val="af6"/>
      </w:pPr>
      <w:r>
        <w:rPr>
          <w:rStyle w:val="a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B5" w15:done="0"/>
  <w15:commentEx w15:paraId="5DEE8B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B5" w16cid:durableId="000001B5"/>
  <w16cid:commentId w16cid:paraId="5DEE8B03" w16cid:durableId="5DEE8B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7E3D" w14:textId="77777777" w:rsidR="008C2AC3" w:rsidRDefault="008C2AC3">
      <w:pPr>
        <w:spacing w:line="240" w:lineRule="auto"/>
      </w:pPr>
      <w:r>
        <w:separator/>
      </w:r>
    </w:p>
  </w:endnote>
  <w:endnote w:type="continuationSeparator" w:id="0">
    <w:p w14:paraId="1B2AC682" w14:textId="77777777" w:rsidR="008C2AC3" w:rsidRDefault="008C2A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EEF758F-2E75-4079-AA75-17AF48CAB6F0}"/>
  </w:font>
  <w:font w:name="Calibri">
    <w:panose1 w:val="020F0502020204030204"/>
    <w:charset w:val="00"/>
    <w:family w:val="swiss"/>
    <w:pitch w:val="variable"/>
    <w:sig w:usb0="E4002EFF" w:usb1="C000247B" w:usb2="00000009" w:usb3="00000000" w:csb0="000001FF" w:csb1="00000000"/>
    <w:embedRegular r:id="rId2" w:fontKey="{3FD6545F-F1C5-41DD-B09B-3F0FE727CB66}"/>
  </w:font>
  <w:font w:name="Georgia">
    <w:panose1 w:val="02040502050405020303"/>
    <w:charset w:val="00"/>
    <w:family w:val="roman"/>
    <w:pitch w:val="variable"/>
    <w:sig w:usb0="00000287" w:usb1="00000000" w:usb2="00000000" w:usb3="00000000" w:csb0="0000009F" w:csb1="00000000"/>
    <w:embedItalic r:id="rId3" w:fontKey="{BAB81FA4-8A68-480C-A479-DC9DE7B45DF2}"/>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4" w:subsetted="1" w:fontKey="{93CC1663-3CEF-416F-92F7-9638D15B1C5A}"/>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4943EC3-DDF9-41F6-9ACA-4C1831D09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1" w14:textId="4A8F7724" w:rsidR="0097565A" w:rsidRDefault="00400FB1">
    <w:pPr>
      <w:pBdr>
        <w:top w:val="nil"/>
        <w:left w:val="nil"/>
        <w:bottom w:val="nil"/>
        <w:right w:val="nil"/>
        <w:between w:val="nil"/>
      </w:pBdr>
      <w:tabs>
        <w:tab w:val="right" w:pos="9638"/>
      </w:tabs>
      <w:spacing w:line="240" w:lineRule="auto"/>
      <w:rPr>
        <w:color w:val="000000"/>
        <w:sz w:val="16"/>
        <w:szCs w:val="16"/>
      </w:rPr>
    </w:pPr>
    <w:r>
      <w:rPr>
        <w:b/>
        <w:bCs/>
        <w:color w:val="000000"/>
        <w:sz w:val="18"/>
        <w:szCs w:val="18"/>
      </w:rPr>
      <w:fldChar w:fldCharType="begin"/>
    </w:r>
    <w:r>
      <w:rPr>
        <w:rFonts w:eastAsia="Times New Roman"/>
        <w:b/>
        <w:bCs/>
        <w:color w:val="000000"/>
        <w:sz w:val="18"/>
        <w:szCs w:val="18"/>
      </w:rPr>
      <w:instrText>PAGE</w:instrText>
    </w:r>
    <w:r>
      <w:rPr>
        <w:b/>
        <w:bCs/>
        <w:color w:val="000000"/>
        <w:sz w:val="18"/>
        <w:szCs w:val="18"/>
      </w:rPr>
      <w:fldChar w:fldCharType="separate"/>
    </w:r>
    <w:r w:rsidR="00286D09">
      <w:rPr>
        <w:rFonts w:eastAsia="Times New Roman"/>
        <w:b/>
        <w:bCs/>
        <w:noProof/>
        <w:color w:val="000000"/>
        <w:sz w:val="18"/>
        <w:szCs w:val="18"/>
      </w:rPr>
      <w:t>2</w:t>
    </w:r>
    <w:r>
      <w:rPr>
        <w:b/>
        <w:bC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2" w14:textId="7B25FF7C" w:rsidR="0097565A" w:rsidRDefault="00400FB1">
    <w:pPr>
      <w:pBdr>
        <w:top w:val="nil"/>
        <w:left w:val="nil"/>
        <w:bottom w:val="nil"/>
        <w:right w:val="nil"/>
        <w:between w:val="nil"/>
      </w:pBdr>
      <w:tabs>
        <w:tab w:val="right" w:pos="9638"/>
      </w:tabs>
      <w:spacing w:line="240" w:lineRule="auto"/>
      <w:rPr>
        <w:color w:val="000000"/>
        <w:sz w:val="16"/>
        <w:szCs w:val="16"/>
      </w:rPr>
    </w:pPr>
    <w:r>
      <w:rPr>
        <w:rFonts w:eastAsia="Times New Roman"/>
        <w:color w:val="000000"/>
        <w:sz w:val="16"/>
        <w:szCs w:val="16"/>
      </w:rPr>
      <w:tab/>
    </w:r>
    <w:r>
      <w:rPr>
        <w:b/>
        <w:bCs/>
        <w:color w:val="000000"/>
        <w:sz w:val="18"/>
        <w:szCs w:val="18"/>
      </w:rPr>
      <w:fldChar w:fldCharType="begin"/>
    </w:r>
    <w:r>
      <w:rPr>
        <w:rFonts w:eastAsia="Times New Roman"/>
        <w:b/>
        <w:bCs/>
        <w:color w:val="000000"/>
        <w:sz w:val="18"/>
        <w:szCs w:val="18"/>
      </w:rPr>
      <w:instrText>PAGE</w:instrText>
    </w:r>
    <w:r>
      <w:rPr>
        <w:b/>
        <w:bCs/>
        <w:color w:val="000000"/>
        <w:sz w:val="18"/>
        <w:szCs w:val="18"/>
      </w:rPr>
      <w:fldChar w:fldCharType="separate"/>
    </w:r>
    <w:r w:rsidR="00286D09">
      <w:rPr>
        <w:rFonts w:eastAsia="Times New Roman"/>
        <w:b/>
        <w:bCs/>
        <w:noProof/>
        <w:color w:val="000000"/>
        <w:sz w:val="18"/>
        <w:szCs w:val="18"/>
      </w:rPr>
      <w:t>3</w:t>
    </w:r>
    <w:r>
      <w:rPr>
        <w:b/>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4" w14:textId="286EACDC" w:rsidR="0097565A" w:rsidRPr="0086525D" w:rsidRDefault="0097565A">
    <w:pPr>
      <w:pBdr>
        <w:top w:val="nil"/>
        <w:left w:val="nil"/>
        <w:bottom w:val="nil"/>
        <w:right w:val="nil"/>
        <w:between w:val="nil"/>
      </w:pBdr>
      <w:tabs>
        <w:tab w:val="right" w:pos="7370"/>
      </w:tabs>
      <w:spacing w:line="240" w:lineRule="auto"/>
      <w:rPr>
        <w:rFonts w:hint="eastAs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E6516" w14:textId="77777777" w:rsidR="008C2AC3" w:rsidRDefault="008C2AC3">
      <w:pPr>
        <w:spacing w:line="240" w:lineRule="auto"/>
      </w:pPr>
      <w:r>
        <w:separator/>
      </w:r>
    </w:p>
  </w:footnote>
  <w:footnote w:type="continuationSeparator" w:id="0">
    <w:p w14:paraId="77ACB2EB" w14:textId="77777777" w:rsidR="008C2AC3" w:rsidRDefault="008C2AC3">
      <w:pPr>
        <w:spacing w:line="240" w:lineRule="auto"/>
      </w:pPr>
      <w:r>
        <w:continuationSeparator/>
      </w:r>
    </w:p>
  </w:footnote>
  <w:footnote w:id="1">
    <w:p w14:paraId="000001AD" w14:textId="5D0C2321" w:rsidR="0097565A" w:rsidRDefault="00400FB1" w:rsidP="0080339E">
      <w:pPr>
        <w:pBdr>
          <w:top w:val="nil"/>
          <w:left w:val="nil"/>
          <w:bottom w:val="nil"/>
          <w:right w:val="nil"/>
          <w:between w:val="nil"/>
        </w:pBdr>
        <w:tabs>
          <w:tab w:val="right" w:pos="1021"/>
          <w:tab w:val="left" w:pos="1134"/>
          <w:tab w:val="left" w:pos="1701"/>
          <w:tab w:val="left" w:pos="2268"/>
        </w:tabs>
        <w:spacing w:line="220" w:lineRule="auto"/>
        <w:ind w:right="1134"/>
        <w:rPr>
          <w:rFonts w:ascii="ＭＳ 明朝" w:eastAsia="ＭＳ 明朝" w:hAnsi="ＭＳ 明朝" w:cs="ＭＳ 明朝"/>
          <w:color w:val="000000"/>
          <w:sz w:val="18"/>
          <w:szCs w:val="18"/>
        </w:rPr>
      </w:pPr>
      <w:r>
        <w:rPr>
          <w:rFonts w:eastAsia="Times New Roman"/>
          <w:color w:val="000000"/>
          <w:sz w:val="18"/>
          <w:szCs w:val="18"/>
        </w:rPr>
        <w:tab/>
        <w:t xml:space="preserve">* </w:t>
      </w:r>
      <w:r>
        <w:rPr>
          <w:rFonts w:ascii="ＭＳ 明朝" w:eastAsia="ＭＳ 明朝" w:hAnsi="ＭＳ 明朝" w:cs="ＭＳ 明朝"/>
          <w:color w:val="000000"/>
          <w:sz w:val="18"/>
          <w:szCs w:val="18"/>
        </w:rPr>
        <w:t>この文書は正式な編集を加えずに発行している。</w:t>
      </w:r>
    </w:p>
    <w:p w14:paraId="718A66FC" w14:textId="3D1F9358" w:rsidR="0086525D" w:rsidRDefault="0086525D" w:rsidP="0080339E">
      <w:pPr>
        <w:pBdr>
          <w:top w:val="nil"/>
          <w:left w:val="nil"/>
          <w:bottom w:val="nil"/>
          <w:right w:val="nil"/>
          <w:between w:val="nil"/>
        </w:pBdr>
        <w:tabs>
          <w:tab w:val="right" w:pos="1021"/>
          <w:tab w:val="left" w:pos="1134"/>
          <w:tab w:val="left" w:pos="1701"/>
          <w:tab w:val="left" w:pos="2268"/>
        </w:tabs>
        <w:spacing w:line="220" w:lineRule="auto"/>
        <w:ind w:right="1134"/>
        <w:rPr>
          <w:rFonts w:ascii="ＭＳ 明朝" w:eastAsia="ＭＳ 明朝" w:hAnsi="ＭＳ 明朝" w:cs="ＭＳ 明朝" w:hint="eastAsia"/>
          <w:color w:val="000000"/>
          <w:sz w:val="18"/>
          <w:szCs w:val="18"/>
        </w:rPr>
      </w:pPr>
      <w:r>
        <w:rPr>
          <w:rFonts w:ascii="ＭＳ 明朝" w:eastAsia="ＭＳ 明朝" w:hAnsi="ＭＳ 明朝" w:cs="ＭＳ 明朝" w:hint="eastAsia"/>
          <w:color w:val="000000"/>
          <w:sz w:val="18"/>
          <w:szCs w:val="18"/>
        </w:rPr>
        <w:t>**　この文書の付属資料は委員会のウェッブページで閲覧できる。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F" w14:textId="77777777" w:rsidR="0097565A" w:rsidRDefault="00400FB1">
    <w:pPr>
      <w:pBdr>
        <w:top w:val="nil"/>
        <w:left w:val="nil"/>
        <w:bottom w:val="single" w:sz="4" w:space="4" w:color="000000"/>
        <w:right w:val="nil"/>
        <w:between w:val="nil"/>
      </w:pBdr>
      <w:spacing w:line="240" w:lineRule="auto"/>
      <w:rPr>
        <w:b/>
        <w:bCs/>
        <w:color w:val="000000"/>
        <w:sz w:val="18"/>
        <w:szCs w:val="18"/>
      </w:rPr>
    </w:pPr>
    <w:r>
      <w:rPr>
        <w:rFonts w:eastAsia="Times New Roman"/>
        <w:b/>
        <w:bCs/>
        <w:color w:val="000000"/>
        <w:sz w:val="18"/>
        <w:szCs w:val="18"/>
      </w:rPr>
      <w:t>CRPD/C/BEL/2-3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0" w14:textId="77777777" w:rsidR="0097565A" w:rsidRDefault="00400FB1">
    <w:pPr>
      <w:pBdr>
        <w:top w:val="nil"/>
        <w:left w:val="nil"/>
        <w:bottom w:val="single" w:sz="4" w:space="4" w:color="000000"/>
        <w:right w:val="nil"/>
        <w:between w:val="nil"/>
      </w:pBdr>
      <w:spacing w:line="240" w:lineRule="auto"/>
      <w:jc w:val="right"/>
      <w:rPr>
        <w:b/>
        <w:bCs/>
        <w:color w:val="000000"/>
        <w:sz w:val="18"/>
        <w:szCs w:val="18"/>
      </w:rPr>
    </w:pPr>
    <w:r>
      <w:rPr>
        <w:rFonts w:eastAsia="Times New Roman"/>
        <w:b/>
        <w:bCs/>
        <w:color w:val="000000"/>
        <w:sz w:val="18"/>
        <w:szCs w:val="18"/>
      </w:rPr>
      <w:t>CRPD/C/BEL/2-3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3508C"/>
    <w:multiLevelType w:val="multilevel"/>
    <w:tmpl w:val="AF224476"/>
    <w:lvl w:ilvl="0">
      <w:start w:val="1"/>
      <w:numFmt w:val="decimal"/>
      <w:pStyle w:val="Bullet1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87119784">
    <w:abstractNumId w:val="0"/>
  </w:num>
  <w:num w:numId="2" w16cid:durableId="1689070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9613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0625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3048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n sonehara">
    <w15:presenceInfo w15:providerId="Windows Live" w15:userId="7ec9f24809776e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bordersDoNotSurroundHeader/>
  <w:bordersDoNotSurroundFooter/>
  <w:proofState w:spelling="clean" w:grammar="dirty"/>
  <w:revisionView w:markup="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65A"/>
    <w:rsid w:val="00006F0F"/>
    <w:rsid w:val="00016A2D"/>
    <w:rsid w:val="000406D6"/>
    <w:rsid w:val="0005608E"/>
    <w:rsid w:val="000C5B34"/>
    <w:rsid w:val="000D2D98"/>
    <w:rsid w:val="000D4454"/>
    <w:rsid w:val="000D5AC8"/>
    <w:rsid w:val="0010542B"/>
    <w:rsid w:val="001151C8"/>
    <w:rsid w:val="001246D2"/>
    <w:rsid w:val="0012703C"/>
    <w:rsid w:val="00152B75"/>
    <w:rsid w:val="00154ECB"/>
    <w:rsid w:val="0016151B"/>
    <w:rsid w:val="001617DE"/>
    <w:rsid w:val="00177A78"/>
    <w:rsid w:val="001F4DD0"/>
    <w:rsid w:val="00246C4C"/>
    <w:rsid w:val="00270156"/>
    <w:rsid w:val="00286D09"/>
    <w:rsid w:val="002D65B7"/>
    <w:rsid w:val="002E15C0"/>
    <w:rsid w:val="00311FC6"/>
    <w:rsid w:val="00326FC2"/>
    <w:rsid w:val="0036384A"/>
    <w:rsid w:val="0039091C"/>
    <w:rsid w:val="003F156A"/>
    <w:rsid w:val="00400FB1"/>
    <w:rsid w:val="00461D2C"/>
    <w:rsid w:val="004B2314"/>
    <w:rsid w:val="004C76A8"/>
    <w:rsid w:val="004D073F"/>
    <w:rsid w:val="004E306E"/>
    <w:rsid w:val="004E713D"/>
    <w:rsid w:val="00535492"/>
    <w:rsid w:val="00540B7E"/>
    <w:rsid w:val="00543D1A"/>
    <w:rsid w:val="00553840"/>
    <w:rsid w:val="005776BB"/>
    <w:rsid w:val="005D01A0"/>
    <w:rsid w:val="005E1F20"/>
    <w:rsid w:val="005F5B59"/>
    <w:rsid w:val="00647A0F"/>
    <w:rsid w:val="00680B19"/>
    <w:rsid w:val="006A3844"/>
    <w:rsid w:val="006C50C6"/>
    <w:rsid w:val="006E0F45"/>
    <w:rsid w:val="006E242F"/>
    <w:rsid w:val="0070434A"/>
    <w:rsid w:val="00714498"/>
    <w:rsid w:val="00714ACC"/>
    <w:rsid w:val="00717DC3"/>
    <w:rsid w:val="007465C5"/>
    <w:rsid w:val="007C1814"/>
    <w:rsid w:val="007C1873"/>
    <w:rsid w:val="0080339E"/>
    <w:rsid w:val="00811897"/>
    <w:rsid w:val="00834D12"/>
    <w:rsid w:val="0086525D"/>
    <w:rsid w:val="008814A1"/>
    <w:rsid w:val="008C2AC3"/>
    <w:rsid w:val="008C7B96"/>
    <w:rsid w:val="008D4B92"/>
    <w:rsid w:val="00902E27"/>
    <w:rsid w:val="009049DC"/>
    <w:rsid w:val="009131DB"/>
    <w:rsid w:val="00913A0A"/>
    <w:rsid w:val="0093413E"/>
    <w:rsid w:val="009365A9"/>
    <w:rsid w:val="00963CE5"/>
    <w:rsid w:val="0097565A"/>
    <w:rsid w:val="009970B1"/>
    <w:rsid w:val="009B2025"/>
    <w:rsid w:val="009B24AE"/>
    <w:rsid w:val="009E57B1"/>
    <w:rsid w:val="009F4D71"/>
    <w:rsid w:val="00A23D9E"/>
    <w:rsid w:val="00A3763E"/>
    <w:rsid w:val="00A405A2"/>
    <w:rsid w:val="00A6696D"/>
    <w:rsid w:val="00A77A06"/>
    <w:rsid w:val="00A805EA"/>
    <w:rsid w:val="00A92670"/>
    <w:rsid w:val="00AB4219"/>
    <w:rsid w:val="00AC332E"/>
    <w:rsid w:val="00AC700E"/>
    <w:rsid w:val="00AE0AE7"/>
    <w:rsid w:val="00B157A5"/>
    <w:rsid w:val="00B32DC5"/>
    <w:rsid w:val="00B43000"/>
    <w:rsid w:val="00B45A9E"/>
    <w:rsid w:val="00B46B28"/>
    <w:rsid w:val="00B52B47"/>
    <w:rsid w:val="00BB5D68"/>
    <w:rsid w:val="00C10187"/>
    <w:rsid w:val="00C3031A"/>
    <w:rsid w:val="00C8771F"/>
    <w:rsid w:val="00C935E8"/>
    <w:rsid w:val="00CA7B42"/>
    <w:rsid w:val="00CB2489"/>
    <w:rsid w:val="00CC2F39"/>
    <w:rsid w:val="00D973B2"/>
    <w:rsid w:val="00DA5BEE"/>
    <w:rsid w:val="00DB0E36"/>
    <w:rsid w:val="00DC030B"/>
    <w:rsid w:val="00DC0580"/>
    <w:rsid w:val="00DE4C3A"/>
    <w:rsid w:val="00E22BED"/>
    <w:rsid w:val="00E52787"/>
    <w:rsid w:val="00E63495"/>
    <w:rsid w:val="00EB6C65"/>
    <w:rsid w:val="00EF46D0"/>
    <w:rsid w:val="00F11FC1"/>
    <w:rsid w:val="00F37F34"/>
    <w:rsid w:val="00F7108D"/>
    <w:rsid w:val="00FD4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02A8C5"/>
  <w15:docId w15:val="{D6A0D7B3-B8AD-4209-A9FA-244D5B52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tabs>
        <w:tab w:val="left" w:pos="1701"/>
        <w:tab w:val="left" w:pos="2268"/>
      </w:tabs>
      <w:spacing w:line="240" w:lineRule="auto"/>
      <w:ind w:left="1134"/>
      <w:outlineLvl w:val="0"/>
    </w:pPr>
  </w:style>
  <w:style w:type="paragraph" w:styleId="2">
    <w:name w:val="heading 2"/>
    <w:basedOn w:val="a"/>
    <w:next w:val="a"/>
    <w:uiPriority w:val="9"/>
    <w:semiHidden/>
    <w:unhideWhenUsed/>
    <w:qFormat/>
    <w:pPr>
      <w:spacing w:line="240" w:lineRule="auto"/>
      <w:outlineLvl w:val="1"/>
    </w:pPr>
  </w:style>
  <w:style w:type="paragraph" w:styleId="3">
    <w:name w:val="heading 3"/>
    <w:basedOn w:val="a"/>
    <w:next w:val="a"/>
    <w:uiPriority w:val="9"/>
    <w:semiHidden/>
    <w:unhideWhenUsed/>
    <w:qFormat/>
    <w:pPr>
      <w:spacing w:line="240" w:lineRule="auto"/>
      <w:outlineLvl w:val="2"/>
    </w:pPr>
  </w:style>
  <w:style w:type="paragraph" w:styleId="4">
    <w:name w:val="heading 4"/>
    <w:basedOn w:val="a"/>
    <w:next w:val="a"/>
    <w:uiPriority w:val="9"/>
    <w:semiHidden/>
    <w:unhideWhenUsed/>
    <w:qFormat/>
    <w:pPr>
      <w:spacing w:line="240" w:lineRule="auto"/>
      <w:outlineLvl w:val="3"/>
    </w:pPr>
  </w:style>
  <w:style w:type="paragraph" w:styleId="5">
    <w:name w:val="heading 5"/>
    <w:basedOn w:val="a"/>
    <w:next w:val="a"/>
    <w:uiPriority w:val="9"/>
    <w:semiHidden/>
    <w:unhideWhenUsed/>
    <w:qFormat/>
    <w:pPr>
      <w:spacing w:line="240" w:lineRule="auto"/>
      <w:outlineLvl w:val="4"/>
    </w:pPr>
  </w:style>
  <w:style w:type="paragraph" w:styleId="6">
    <w:name w:val="heading 6"/>
    <w:basedOn w:val="a"/>
    <w:next w:val="a"/>
    <w:uiPriority w:val="9"/>
    <w:semiHidden/>
    <w:unhideWhenUsed/>
    <w:qFormat/>
    <w:pPr>
      <w:spacing w:line="240" w:lineRule="auto"/>
      <w:outlineLvl w:val="5"/>
    </w:pPr>
  </w:style>
  <w:style w:type="paragraph" w:styleId="7">
    <w:name w:val="heading 7"/>
    <w:link w:val="70"/>
    <w:semiHidden/>
    <w:rsid w:val="0036035B"/>
    <w:pPr>
      <w:spacing w:line="240" w:lineRule="auto"/>
      <w:outlineLvl w:val="6"/>
    </w:pPr>
  </w:style>
  <w:style w:type="paragraph" w:styleId="8">
    <w:name w:val="heading 8"/>
    <w:link w:val="80"/>
    <w:semiHidden/>
    <w:rsid w:val="0036035B"/>
    <w:pPr>
      <w:spacing w:line="240" w:lineRule="auto"/>
      <w:outlineLvl w:val="7"/>
    </w:pPr>
  </w:style>
  <w:style w:type="paragraph" w:styleId="9">
    <w:name w:val="heading 9"/>
    <w:link w:val="90"/>
    <w:semiHidden/>
    <w:rsid w:val="0036035B"/>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aliases w:val="6_G"/>
    <w:link w:val="a5"/>
    <w:rsid w:val="0036035B"/>
    <w:pPr>
      <w:pBdr>
        <w:bottom w:val="single" w:sz="4" w:space="4" w:color="auto"/>
      </w:pBdr>
      <w:spacing w:line="240" w:lineRule="auto"/>
    </w:pPr>
    <w:rPr>
      <w:b/>
      <w:sz w:val="18"/>
    </w:rPr>
  </w:style>
  <w:style w:type="character" w:customStyle="1" w:styleId="a5">
    <w:name w:val="ヘッダー (文字)"/>
    <w:aliases w:val="6_G (文字)"/>
    <w:basedOn w:val="a0"/>
    <w:link w:val="a4"/>
    <w:rsid w:val="003B4550"/>
    <w:rPr>
      <w:rFonts w:ascii="Times New Roman" w:hAnsi="Times New Roman" w:cs="Times New Roman"/>
      <w:b/>
      <w:sz w:val="18"/>
      <w:szCs w:val="20"/>
    </w:rPr>
  </w:style>
  <w:style w:type="paragraph" w:styleId="a6">
    <w:name w:val="footer"/>
    <w:aliases w:val="3_G"/>
    <w:link w:val="a7"/>
    <w:rsid w:val="0036035B"/>
    <w:pPr>
      <w:spacing w:line="240" w:lineRule="auto"/>
    </w:pPr>
    <w:rPr>
      <w:sz w:val="16"/>
    </w:rPr>
  </w:style>
  <w:style w:type="character" w:customStyle="1" w:styleId="a7">
    <w:name w:val="フッター (文字)"/>
    <w:aliases w:val="3_G (文字)"/>
    <w:basedOn w:val="a0"/>
    <w:link w:val="a6"/>
    <w:rsid w:val="00247E2C"/>
    <w:rPr>
      <w:rFonts w:ascii="Times New Roman" w:hAnsi="Times New Roman" w:cs="Times New Roman"/>
      <w:sz w:val="16"/>
      <w:szCs w:val="20"/>
    </w:rPr>
  </w:style>
  <w:style w:type="paragraph" w:customStyle="1" w:styleId="HMG">
    <w:name w:val="_ H __M_G"/>
    <w:qFormat/>
    <w:rsid w:val="007268F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link w:val="HChGChar"/>
    <w:qFormat/>
    <w:rsid w:val="007268F9"/>
    <w:pPr>
      <w:keepNext/>
      <w:keepLines/>
      <w:tabs>
        <w:tab w:val="right" w:pos="851"/>
      </w:tabs>
      <w:spacing w:before="360" w:after="240" w:line="300" w:lineRule="exact"/>
      <w:ind w:left="1134" w:right="1134" w:hanging="1134"/>
      <w:outlineLvl w:val="1"/>
    </w:pPr>
    <w:rPr>
      <w:b/>
      <w:sz w:val="28"/>
    </w:rPr>
  </w:style>
  <w:style w:type="paragraph" w:customStyle="1" w:styleId="H1G">
    <w:name w:val="_ H_1_G"/>
    <w:link w:val="H1GChar"/>
    <w:qFormat/>
    <w:rsid w:val="007268F9"/>
    <w:pPr>
      <w:keepNext/>
      <w:keepLines/>
      <w:tabs>
        <w:tab w:val="right" w:pos="851"/>
      </w:tabs>
      <w:spacing w:before="360" w:after="240" w:line="270" w:lineRule="exact"/>
      <w:ind w:left="1134" w:right="1134" w:hanging="1134"/>
      <w:outlineLvl w:val="2"/>
    </w:pPr>
    <w:rPr>
      <w:b/>
      <w:sz w:val="24"/>
    </w:rPr>
  </w:style>
  <w:style w:type="paragraph" w:customStyle="1" w:styleId="H23G">
    <w:name w:val="_ H_2/3_G"/>
    <w:link w:val="H23GChar"/>
    <w:qFormat/>
    <w:rsid w:val="007268F9"/>
    <w:pPr>
      <w:keepNext/>
      <w:keepLines/>
      <w:tabs>
        <w:tab w:val="right" w:pos="851"/>
      </w:tabs>
      <w:spacing w:before="240" w:after="120" w:line="240" w:lineRule="exact"/>
      <w:ind w:left="1134" w:right="1134" w:hanging="1134"/>
      <w:outlineLvl w:val="3"/>
    </w:pPr>
    <w:rPr>
      <w:b/>
    </w:rPr>
  </w:style>
  <w:style w:type="paragraph" w:customStyle="1" w:styleId="H4G">
    <w:name w:val="_ H_4_G"/>
    <w:qFormat/>
    <w:rsid w:val="007268F9"/>
    <w:pPr>
      <w:keepNext/>
      <w:keepLines/>
      <w:tabs>
        <w:tab w:val="right" w:pos="851"/>
      </w:tabs>
      <w:spacing w:before="240" w:after="120" w:line="240" w:lineRule="exact"/>
      <w:ind w:left="1134" w:right="1134" w:hanging="1134"/>
      <w:outlineLvl w:val="4"/>
    </w:pPr>
    <w:rPr>
      <w:i/>
    </w:rPr>
  </w:style>
  <w:style w:type="paragraph" w:customStyle="1" w:styleId="H56G">
    <w:name w:val="_ H_5/6_G"/>
    <w:qFormat/>
    <w:rsid w:val="007268F9"/>
    <w:pPr>
      <w:keepNext/>
      <w:keepLines/>
      <w:tabs>
        <w:tab w:val="right" w:pos="851"/>
      </w:tabs>
      <w:spacing w:before="240" w:after="120" w:line="240" w:lineRule="exact"/>
      <w:ind w:left="1134" w:right="1134" w:hanging="1134"/>
      <w:outlineLvl w:val="5"/>
    </w:pPr>
  </w:style>
  <w:style w:type="paragraph" w:customStyle="1" w:styleId="SingleTxtG">
    <w:name w:val="_ Single Txt_G"/>
    <w:link w:val="SingleTxtGChar"/>
    <w:rsid w:val="0036035B"/>
    <w:pPr>
      <w:tabs>
        <w:tab w:val="left" w:pos="1701"/>
        <w:tab w:val="left" w:pos="2268"/>
      </w:tabs>
      <w:spacing w:after="120"/>
      <w:ind w:left="1134" w:right="1134"/>
      <w:jc w:val="both"/>
    </w:pPr>
  </w:style>
  <w:style w:type="paragraph" w:customStyle="1" w:styleId="SLG">
    <w:name w:val="__S_L_G"/>
    <w:rsid w:val="0036035B"/>
    <w:pPr>
      <w:keepNext/>
      <w:keepLines/>
      <w:spacing w:before="240" w:after="240" w:line="580" w:lineRule="exact"/>
      <w:ind w:left="1134" w:right="1134"/>
    </w:pPr>
    <w:rPr>
      <w:b/>
      <w:sz w:val="56"/>
    </w:rPr>
  </w:style>
  <w:style w:type="paragraph" w:customStyle="1" w:styleId="SMG">
    <w:name w:val="__S_M_G"/>
    <w:rsid w:val="0036035B"/>
    <w:pPr>
      <w:keepNext/>
      <w:keepLines/>
      <w:spacing w:before="240" w:after="240" w:line="420" w:lineRule="exact"/>
      <w:ind w:left="1134" w:right="1134"/>
    </w:pPr>
    <w:rPr>
      <w:b/>
      <w:sz w:val="40"/>
    </w:rPr>
  </w:style>
  <w:style w:type="paragraph" w:customStyle="1" w:styleId="SSG">
    <w:name w:val="__S_S_G"/>
    <w:rsid w:val="0036035B"/>
    <w:pPr>
      <w:keepNext/>
      <w:keepLines/>
      <w:spacing w:before="240" w:after="240" w:line="300" w:lineRule="exact"/>
      <w:ind w:left="1134" w:right="1134"/>
    </w:pPr>
    <w:rPr>
      <w:b/>
      <w:sz w:val="28"/>
    </w:rPr>
  </w:style>
  <w:style w:type="paragraph" w:customStyle="1" w:styleId="XLargeG">
    <w:name w:val="__XLarge_G"/>
    <w:rsid w:val="0036035B"/>
    <w:pPr>
      <w:keepNext/>
      <w:keepLines/>
      <w:spacing w:before="240" w:after="240" w:line="420" w:lineRule="exact"/>
      <w:ind w:left="1134" w:right="1134"/>
    </w:pPr>
    <w:rPr>
      <w:b/>
      <w:sz w:val="40"/>
    </w:rPr>
  </w:style>
  <w:style w:type="paragraph" w:customStyle="1" w:styleId="Bullet1G">
    <w:name w:val="_Bullet 1_G"/>
    <w:rsid w:val="0036035B"/>
    <w:pPr>
      <w:numPr>
        <w:numId w:val="1"/>
      </w:numPr>
      <w:spacing w:after="120"/>
      <w:ind w:right="1134"/>
      <w:jc w:val="both"/>
    </w:pPr>
  </w:style>
  <w:style w:type="paragraph" w:customStyle="1" w:styleId="Bullet2G">
    <w:name w:val="_Bullet 2_G"/>
    <w:rsid w:val="0036035B"/>
    <w:pPr>
      <w:tabs>
        <w:tab w:val="num" w:pos="720"/>
      </w:tabs>
      <w:spacing w:after="120"/>
      <w:ind w:left="720" w:right="1134" w:hanging="720"/>
      <w:jc w:val="both"/>
    </w:pPr>
  </w:style>
  <w:style w:type="paragraph" w:customStyle="1" w:styleId="ParaNoG">
    <w:name w:val="_ParaNo._G"/>
    <w:basedOn w:val="SingleTxtG"/>
    <w:rsid w:val="0036035B"/>
    <w:pPr>
      <w:tabs>
        <w:tab w:val="num" w:pos="720"/>
      </w:tabs>
      <w:ind w:left="720" w:hanging="720"/>
    </w:pPr>
  </w:style>
  <w:style w:type="numbering" w:styleId="111111">
    <w:name w:val="Outline List 2"/>
    <w:basedOn w:val="a2"/>
    <w:semiHidden/>
    <w:rsid w:val="0036035B"/>
  </w:style>
  <w:style w:type="numbering" w:styleId="1ai">
    <w:name w:val="Outline List 1"/>
    <w:basedOn w:val="a2"/>
    <w:semiHidden/>
    <w:rsid w:val="0036035B"/>
  </w:style>
  <w:style w:type="character" w:styleId="a8">
    <w:name w:val="endnote reference"/>
    <w:aliases w:val="1_G"/>
    <w:rsid w:val="0036035B"/>
    <w:rPr>
      <w:rFonts w:ascii="Times New Roman" w:hAnsi="Times New Roman"/>
      <w:sz w:val="18"/>
      <w:vertAlign w:val="superscript"/>
    </w:rPr>
  </w:style>
  <w:style w:type="paragraph" w:styleId="a9">
    <w:name w:val="Balloon Text"/>
    <w:link w:val="aa"/>
    <w:rsid w:val="0036035B"/>
    <w:pPr>
      <w:spacing w:line="240" w:lineRule="auto"/>
    </w:pPr>
    <w:rPr>
      <w:rFonts w:ascii="Tahoma" w:hAnsi="Tahoma" w:cs="Tahoma"/>
      <w:sz w:val="16"/>
      <w:szCs w:val="16"/>
    </w:rPr>
  </w:style>
  <w:style w:type="character" w:customStyle="1" w:styleId="aa">
    <w:name w:val="吹き出し (文字)"/>
    <w:basedOn w:val="a0"/>
    <w:link w:val="a9"/>
    <w:rsid w:val="0036035B"/>
    <w:rPr>
      <w:rFonts w:ascii="Tahoma" w:hAnsi="Tahoma" w:cs="Tahoma"/>
      <w:sz w:val="16"/>
      <w:szCs w:val="16"/>
    </w:rPr>
  </w:style>
  <w:style w:type="paragraph" w:styleId="ab">
    <w:name w:val="endnote text"/>
    <w:aliases w:val="2_G"/>
    <w:basedOn w:val="ac"/>
    <w:link w:val="ad"/>
    <w:rsid w:val="0036035B"/>
  </w:style>
  <w:style w:type="character" w:customStyle="1" w:styleId="ad">
    <w:name w:val="文末脚注文字列 (文字)"/>
    <w:aliases w:val="2_G (文字)"/>
    <w:basedOn w:val="a0"/>
    <w:link w:val="ab"/>
    <w:rsid w:val="007268F9"/>
    <w:rPr>
      <w:rFonts w:ascii="Times New Roman" w:hAnsi="Times New Roman" w:cs="Times New Roman"/>
      <w:sz w:val="18"/>
      <w:szCs w:val="20"/>
    </w:rPr>
  </w:style>
  <w:style w:type="paragraph" w:styleId="ac">
    <w:name w:val="footnote text"/>
    <w:aliases w:val="5_G"/>
    <w:link w:val="ae"/>
    <w:rsid w:val="0036035B"/>
    <w:pPr>
      <w:tabs>
        <w:tab w:val="right" w:pos="1021"/>
        <w:tab w:val="left" w:pos="1134"/>
        <w:tab w:val="left" w:pos="1701"/>
        <w:tab w:val="left" w:pos="2268"/>
      </w:tabs>
      <w:spacing w:line="220" w:lineRule="exact"/>
      <w:ind w:left="1134" w:right="1134" w:hanging="1134"/>
    </w:pPr>
    <w:rPr>
      <w:sz w:val="18"/>
    </w:rPr>
  </w:style>
  <w:style w:type="character" w:customStyle="1" w:styleId="10">
    <w:name w:val="見出し 1 (文字)"/>
    <w:aliases w:val="Table_G (文字)"/>
    <w:basedOn w:val="a0"/>
    <w:rsid w:val="003B4550"/>
    <w:rPr>
      <w:rFonts w:ascii="Times New Roman" w:hAnsi="Times New Roman" w:cs="Times New Roman"/>
      <w:sz w:val="20"/>
      <w:szCs w:val="20"/>
    </w:rPr>
  </w:style>
  <w:style w:type="character" w:customStyle="1" w:styleId="20">
    <w:name w:val="見出し 2 (文字)"/>
    <w:basedOn w:val="a0"/>
    <w:semiHidden/>
    <w:rsid w:val="003B4550"/>
    <w:rPr>
      <w:rFonts w:ascii="Times New Roman" w:hAnsi="Times New Roman" w:cs="Times New Roman"/>
      <w:sz w:val="20"/>
      <w:szCs w:val="20"/>
    </w:rPr>
  </w:style>
  <w:style w:type="character" w:customStyle="1" w:styleId="30">
    <w:name w:val="見出し 3 (文字)"/>
    <w:basedOn w:val="a0"/>
    <w:semiHidden/>
    <w:rsid w:val="003B4550"/>
    <w:rPr>
      <w:rFonts w:ascii="Times New Roman" w:hAnsi="Times New Roman" w:cs="Times New Roman"/>
      <w:sz w:val="20"/>
      <w:szCs w:val="20"/>
    </w:rPr>
  </w:style>
  <w:style w:type="character" w:customStyle="1" w:styleId="40">
    <w:name w:val="見出し 4 (文字)"/>
    <w:basedOn w:val="a0"/>
    <w:semiHidden/>
    <w:rsid w:val="003B4550"/>
    <w:rPr>
      <w:rFonts w:ascii="Times New Roman" w:hAnsi="Times New Roman" w:cs="Times New Roman"/>
      <w:sz w:val="20"/>
      <w:szCs w:val="20"/>
    </w:rPr>
  </w:style>
  <w:style w:type="character" w:customStyle="1" w:styleId="50">
    <w:name w:val="見出し 5 (文字)"/>
    <w:basedOn w:val="a0"/>
    <w:semiHidden/>
    <w:rsid w:val="003B4550"/>
    <w:rPr>
      <w:rFonts w:ascii="Times New Roman" w:hAnsi="Times New Roman" w:cs="Times New Roman"/>
      <w:sz w:val="20"/>
      <w:szCs w:val="20"/>
    </w:rPr>
  </w:style>
  <w:style w:type="character" w:customStyle="1" w:styleId="60">
    <w:name w:val="見出し 6 (文字)"/>
    <w:basedOn w:val="a0"/>
    <w:semiHidden/>
    <w:rsid w:val="003B4550"/>
    <w:rPr>
      <w:rFonts w:ascii="Times New Roman" w:hAnsi="Times New Roman" w:cs="Times New Roman"/>
      <w:sz w:val="20"/>
      <w:szCs w:val="20"/>
    </w:rPr>
  </w:style>
  <w:style w:type="character" w:customStyle="1" w:styleId="70">
    <w:name w:val="見出し 7 (文字)"/>
    <w:basedOn w:val="a0"/>
    <w:link w:val="7"/>
    <w:semiHidden/>
    <w:rsid w:val="003B4550"/>
    <w:rPr>
      <w:rFonts w:ascii="Times New Roman" w:hAnsi="Times New Roman" w:cs="Times New Roman"/>
      <w:sz w:val="20"/>
      <w:szCs w:val="20"/>
    </w:rPr>
  </w:style>
  <w:style w:type="character" w:customStyle="1" w:styleId="80">
    <w:name w:val="見出し 8 (文字)"/>
    <w:basedOn w:val="a0"/>
    <w:link w:val="8"/>
    <w:semiHidden/>
    <w:rsid w:val="003B4550"/>
    <w:rPr>
      <w:rFonts w:ascii="Times New Roman" w:hAnsi="Times New Roman" w:cs="Times New Roman"/>
      <w:sz w:val="20"/>
      <w:szCs w:val="20"/>
    </w:rPr>
  </w:style>
  <w:style w:type="character" w:customStyle="1" w:styleId="90">
    <w:name w:val="見出し 9 (文字)"/>
    <w:basedOn w:val="a0"/>
    <w:link w:val="9"/>
    <w:semiHidden/>
    <w:rsid w:val="003B4550"/>
    <w:rPr>
      <w:rFonts w:ascii="Times New Roman" w:hAnsi="Times New Roman" w:cs="Times New Roman"/>
      <w:sz w:val="20"/>
      <w:szCs w:val="20"/>
    </w:rPr>
  </w:style>
  <w:style w:type="character" w:styleId="af">
    <w:name w:val="page number"/>
    <w:aliases w:val="7_G"/>
    <w:rsid w:val="0036035B"/>
    <w:rPr>
      <w:rFonts w:ascii="Times New Roman" w:hAnsi="Times New Roman"/>
      <w:b/>
      <w:sz w:val="18"/>
    </w:rPr>
  </w:style>
  <w:style w:type="character" w:customStyle="1" w:styleId="ae">
    <w:name w:val="脚注文字列 (文字)"/>
    <w:aliases w:val="5_G (文字)"/>
    <w:basedOn w:val="a0"/>
    <w:link w:val="ac"/>
    <w:rsid w:val="0036035B"/>
    <w:rPr>
      <w:rFonts w:ascii="Times New Roman" w:hAnsi="Times New Roman" w:cs="Times New Roman"/>
      <w:sz w:val="18"/>
      <w:szCs w:val="20"/>
    </w:rPr>
  </w:style>
  <w:style w:type="character" w:styleId="af0">
    <w:name w:val="footnote reference"/>
    <w:aliases w:val="4_G"/>
    <w:rsid w:val="0036035B"/>
    <w:rPr>
      <w:rFonts w:ascii="Times New Roman" w:hAnsi="Times New Roman"/>
      <w:sz w:val="18"/>
      <w:vertAlign w:val="superscript"/>
    </w:rPr>
  </w:style>
  <w:style w:type="table" w:styleId="af1">
    <w:name w:val="Table Grid"/>
    <w:basedOn w:val="a1"/>
    <w:rsid w:val="0036035B"/>
    <w:pPr>
      <w:suppressAutoHyphens/>
      <w:spacing w:line="24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187D25"/>
    <w:rPr>
      <w:color w:val="605E5C"/>
      <w:shd w:val="clear" w:color="auto" w:fill="E1DFDD"/>
    </w:rPr>
  </w:style>
  <w:style w:type="character" w:customStyle="1" w:styleId="SingleTxtGChar">
    <w:name w:val="_ Single Txt_G Char"/>
    <w:basedOn w:val="a0"/>
    <w:link w:val="SingleTxtG"/>
    <w:rsid w:val="000C291C"/>
    <w:rPr>
      <w:rFonts w:ascii="Times New Roman" w:hAnsi="Times New Roman" w:cs="Times New Roman"/>
      <w:sz w:val="20"/>
      <w:szCs w:val="20"/>
    </w:rPr>
  </w:style>
  <w:style w:type="character" w:styleId="af3">
    <w:name w:val="annotation reference"/>
    <w:basedOn w:val="a0"/>
    <w:uiPriority w:val="99"/>
    <w:semiHidden/>
    <w:unhideWhenUsed/>
    <w:rsid w:val="00FB23DD"/>
    <w:rPr>
      <w:sz w:val="16"/>
      <w:szCs w:val="16"/>
    </w:rPr>
  </w:style>
  <w:style w:type="character" w:styleId="af4">
    <w:name w:val="Hyperlink"/>
    <w:basedOn w:val="a0"/>
    <w:rsid w:val="0036035B"/>
    <w:rPr>
      <w:color w:val="0000FF"/>
      <w:u w:val="none"/>
    </w:rPr>
  </w:style>
  <w:style w:type="character" w:styleId="af5">
    <w:name w:val="FollowedHyperlink"/>
    <w:basedOn w:val="a0"/>
    <w:unhideWhenUsed/>
    <w:rsid w:val="007654F0"/>
    <w:rPr>
      <w:color w:val="0000FF"/>
      <w:u w:val="none"/>
    </w:rPr>
  </w:style>
  <w:style w:type="character" w:customStyle="1" w:styleId="HChGChar">
    <w:name w:val="_ H _Ch_G Char"/>
    <w:link w:val="HChG"/>
    <w:rsid w:val="007654F0"/>
    <w:rPr>
      <w:rFonts w:ascii="Times New Roman" w:hAnsi="Times New Roman" w:cs="Times New Roman"/>
      <w:b/>
      <w:sz w:val="28"/>
      <w:szCs w:val="20"/>
    </w:rPr>
  </w:style>
  <w:style w:type="character" w:customStyle="1" w:styleId="H1GChar">
    <w:name w:val="_ H_1_G Char"/>
    <w:link w:val="H1G"/>
    <w:locked/>
    <w:rsid w:val="007654F0"/>
    <w:rPr>
      <w:rFonts w:ascii="Times New Roman" w:hAnsi="Times New Roman" w:cs="Times New Roman"/>
      <w:b/>
      <w:sz w:val="24"/>
      <w:szCs w:val="20"/>
    </w:rPr>
  </w:style>
  <w:style w:type="character" w:customStyle="1" w:styleId="H23GChar">
    <w:name w:val="_ H_2/3_G Char"/>
    <w:link w:val="H23G"/>
    <w:locked/>
    <w:rsid w:val="007654F0"/>
    <w:rPr>
      <w:rFonts w:ascii="Times New Roman" w:hAnsi="Times New Roman" w:cs="Times New Roman"/>
      <w:b/>
      <w:sz w:val="20"/>
      <w:szCs w:val="20"/>
    </w:rPr>
  </w:style>
  <w:style w:type="paragraph" w:styleId="af6">
    <w:name w:val="annotation text"/>
    <w:link w:val="af7"/>
    <w:uiPriority w:val="99"/>
    <w:unhideWhenUsed/>
    <w:rsid w:val="00FB23DD"/>
    <w:pPr>
      <w:spacing w:line="240" w:lineRule="auto"/>
    </w:pPr>
  </w:style>
  <w:style w:type="character" w:customStyle="1" w:styleId="af7">
    <w:name w:val="コメント文字列 (文字)"/>
    <w:basedOn w:val="a0"/>
    <w:link w:val="af6"/>
    <w:uiPriority w:val="99"/>
    <w:rsid w:val="00FB23DD"/>
    <w:rPr>
      <w:rFonts w:ascii="Times New Roman" w:hAnsi="Times New Roman" w:cs="Times New Roman"/>
      <w:sz w:val="20"/>
      <w:szCs w:val="20"/>
    </w:rPr>
  </w:style>
  <w:style w:type="paragraph" w:styleId="af8">
    <w:name w:val="annotation subject"/>
    <w:basedOn w:val="af6"/>
    <w:next w:val="af6"/>
    <w:link w:val="af9"/>
    <w:uiPriority w:val="99"/>
    <w:semiHidden/>
    <w:unhideWhenUsed/>
    <w:rsid w:val="00FB23DD"/>
    <w:rPr>
      <w:b/>
      <w:bCs/>
    </w:rPr>
  </w:style>
  <w:style w:type="character" w:customStyle="1" w:styleId="af9">
    <w:name w:val="コメント内容 (文字)"/>
    <w:basedOn w:val="af7"/>
    <w:link w:val="af8"/>
    <w:uiPriority w:val="99"/>
    <w:semiHidden/>
    <w:rsid w:val="00FB23DD"/>
    <w:rPr>
      <w:rFonts w:ascii="Times New Roman" w:hAnsi="Times New Roman" w:cs="Times New Roman"/>
      <w:b/>
      <w:bCs/>
      <w:sz w:val="20"/>
      <w:szCs w:val="20"/>
    </w:rPr>
  </w:style>
  <w:style w:type="paragraph" w:styleId="afa">
    <w:name w:val="Revision"/>
    <w:hidden/>
    <w:uiPriority w:val="99"/>
    <w:semiHidden/>
    <w:rsid w:val="007654F0"/>
    <w:pPr>
      <w:spacing w:line="240" w:lineRule="auto"/>
    </w:pPr>
    <w:rPr>
      <w:rFonts w:eastAsiaTheme="minorHAnsi"/>
      <w:lang w:val="fr-CH" w:eastAsia="en-US"/>
    </w:rPr>
  </w:style>
  <w:style w:type="paragraph" w:styleId="af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undocs.org/en/CRPD/C/BEL/QPR/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ndocs.org/en/CRPD/C/BEL/CO/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Y/e1qgoZsVHgxV8nqZA/3XjjA==">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8638</Words>
  <Characters>49238</Characters>
  <Application>Microsoft Office Word</Application>
  <DocSecurity>0</DocSecurity>
  <Lines>410</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AVT</dc:creator>
  <cp:lastModifiedBy>久夫 佐藤</cp:lastModifiedBy>
  <cp:revision>2</cp:revision>
  <dcterms:created xsi:type="dcterms:W3CDTF">2026-03-26T10:30:00Z</dcterms:created>
  <dcterms:modified xsi:type="dcterms:W3CDTF">2026-03-26T10:30:00Z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0x0101009742F048F6452148A50C1FA94B1DDBE8</vt:lpwstr>
  </property>
</Properties>
</file>