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076B" w14:textId="77777777" w:rsidR="006915A6" w:rsidRPr="0088556C" w:rsidRDefault="006915A6" w:rsidP="006915A6">
      <w:pPr>
        <w:rPr>
          <w:rFonts w:ascii="ＭＳ 明朝" w:eastAsia="ＭＳ 明朝" w:hAnsi="ＭＳ 明朝"/>
        </w:rPr>
      </w:pPr>
      <w:r w:rsidRPr="0088556C">
        <w:rPr>
          <w:rFonts w:ascii="ＭＳ 明朝" w:eastAsia="ＭＳ 明朝" w:hAnsi="ＭＳ 明朝" w:hint="eastAsia"/>
        </w:rPr>
        <w:t>中国　第</w:t>
      </w:r>
      <w:r w:rsidRPr="0088556C">
        <w:rPr>
          <w:rFonts w:ascii="ＭＳ 明朝" w:eastAsia="ＭＳ 明朝" w:hAnsi="ＭＳ 明朝"/>
        </w:rPr>
        <w:t>2・3回審査　事前質問事項前　ISHRパラレポ　　　　　　（JD仮訳）</w:t>
      </w:r>
    </w:p>
    <w:p w14:paraId="1E0A3A9D" w14:textId="596D0707" w:rsidR="006915A6" w:rsidRPr="0088556C" w:rsidRDefault="006915A6" w:rsidP="006915A6">
      <w:pPr>
        <w:rPr>
          <w:rFonts w:ascii="ＭＳ 明朝" w:eastAsia="ＭＳ 明朝" w:hAnsi="ＭＳ 明朝"/>
          <w:b/>
          <w:bCs/>
        </w:rPr>
      </w:pPr>
      <w:r w:rsidRPr="0088556C">
        <w:rPr>
          <w:rFonts w:ascii="ＭＳ 明朝" w:eastAsia="ＭＳ 明朝" w:hAnsi="ＭＳ 明朝" w:hint="eastAsia"/>
          <w:b/>
          <w:bCs/>
        </w:rPr>
        <w:t>中華人民共和国への事前質問事項の採択に</w:t>
      </w:r>
      <w:r w:rsidR="00D61716" w:rsidRPr="0088556C">
        <w:rPr>
          <w:rFonts w:ascii="ＭＳ 明朝" w:eastAsia="ＭＳ 明朝" w:hAnsi="ＭＳ 明朝" w:hint="eastAsia"/>
          <w:b/>
          <w:bCs/>
        </w:rPr>
        <w:t>際しての</w:t>
      </w:r>
      <w:r w:rsidRPr="0088556C">
        <w:rPr>
          <w:rFonts w:ascii="ＭＳ 明朝" w:eastAsia="ＭＳ 明朝" w:hAnsi="ＭＳ 明朝" w:hint="eastAsia"/>
          <w:b/>
          <w:bCs/>
        </w:rPr>
        <w:t>障害者権利委員会への情報提供</w:t>
      </w:r>
    </w:p>
    <w:p w14:paraId="097748FE" w14:textId="2FA2A199" w:rsidR="006915A6" w:rsidRPr="0088556C" w:rsidRDefault="008C5632" w:rsidP="006915A6">
      <w:pPr>
        <w:rPr>
          <w:rFonts w:ascii="ＭＳ 明朝" w:eastAsia="ＭＳ 明朝" w:hAnsi="ＭＳ 明朝"/>
        </w:rPr>
      </w:pPr>
      <w:r w:rsidRPr="0088556C">
        <w:rPr>
          <w:rFonts w:ascii="ＭＳ 明朝" w:eastAsia="ＭＳ 明朝" w:hAnsi="ＭＳ 明朝" w:hint="eastAsia"/>
        </w:rPr>
        <w:t>2020年2月</w:t>
      </w:r>
    </w:p>
    <w:p w14:paraId="4037F557" w14:textId="77777777" w:rsidR="006915A6" w:rsidRPr="0088556C" w:rsidRDefault="006915A6" w:rsidP="006915A6">
      <w:pPr>
        <w:rPr>
          <w:rFonts w:ascii="ＭＳ 明朝" w:eastAsia="ＭＳ 明朝" w:hAnsi="ＭＳ 明朝"/>
        </w:rPr>
      </w:pPr>
      <w:r w:rsidRPr="0088556C">
        <w:rPr>
          <w:rFonts w:ascii="ＭＳ 明朝" w:eastAsia="ＭＳ 明朝" w:hAnsi="ＭＳ 明朝"/>
        </w:rPr>
        <w:t>Information for the Committee on the Rights of Persons with Disabilities on the occasion of the adoption of a List of Issues for the review of the People’s Republic of China</w:t>
      </w:r>
    </w:p>
    <w:p w14:paraId="3DCBE5DE" w14:textId="77777777" w:rsidR="006915A6" w:rsidRPr="0088556C" w:rsidRDefault="006915A6" w:rsidP="006915A6">
      <w:pPr>
        <w:rPr>
          <w:rFonts w:ascii="ＭＳ 明朝" w:eastAsia="ＭＳ 明朝" w:hAnsi="ＭＳ 明朝"/>
          <w:b/>
          <w:bCs/>
        </w:rPr>
      </w:pPr>
      <w:r w:rsidRPr="0088556C">
        <w:rPr>
          <w:rFonts w:ascii="ＭＳ 明朝" w:eastAsia="ＭＳ 明朝" w:hAnsi="ＭＳ 明朝"/>
          <w:b/>
          <w:bCs/>
        </w:rPr>
        <w:t>The International Service for Human Rights</w:t>
      </w:r>
    </w:p>
    <w:p w14:paraId="523E58A1" w14:textId="77777777" w:rsidR="006915A6" w:rsidRPr="0088556C" w:rsidRDefault="006915A6" w:rsidP="006915A6">
      <w:pPr>
        <w:rPr>
          <w:rFonts w:ascii="ＭＳ 明朝" w:eastAsia="ＭＳ 明朝" w:hAnsi="ＭＳ 明朝"/>
        </w:rPr>
      </w:pPr>
    </w:p>
    <w:p w14:paraId="3CDAF04E" w14:textId="1DB43FC4" w:rsidR="006915A6" w:rsidRPr="0088556C" w:rsidRDefault="006915A6" w:rsidP="006915A6">
      <w:pPr>
        <w:rPr>
          <w:rFonts w:ascii="ＭＳ 明朝" w:eastAsia="ＭＳ 明朝" w:hAnsi="ＭＳ 明朝"/>
        </w:rPr>
      </w:pPr>
      <w:r w:rsidRPr="0088556C">
        <w:rPr>
          <w:rFonts w:ascii="ＭＳ 明朝" w:eastAsia="ＭＳ 明朝" w:hAnsi="ＭＳ 明朝" w:hint="eastAsia"/>
        </w:rPr>
        <w:t>第</w:t>
      </w:r>
      <w:r w:rsidRPr="0088556C">
        <w:rPr>
          <w:rFonts w:ascii="ＭＳ 明朝" w:eastAsia="ＭＳ 明朝" w:hAnsi="ＭＳ 明朝"/>
        </w:rPr>
        <w:t>13回</w:t>
      </w:r>
      <w:r w:rsidR="00D61716" w:rsidRPr="0088556C">
        <w:rPr>
          <w:rFonts w:ascii="ＭＳ 明朝" w:eastAsia="ＭＳ 明朝" w:hAnsi="ＭＳ 明朝" w:hint="eastAsia"/>
        </w:rPr>
        <w:t>会期前</w:t>
      </w:r>
      <w:r w:rsidRPr="0088556C">
        <w:rPr>
          <w:rFonts w:ascii="ＭＳ 明朝" w:eastAsia="ＭＳ 明朝" w:hAnsi="ＭＳ 明朝"/>
        </w:rPr>
        <w:t>ワーキング・グループ</w:t>
      </w:r>
    </w:p>
    <w:p w14:paraId="3641B5AE" w14:textId="77777777" w:rsidR="006915A6" w:rsidRPr="0088556C" w:rsidRDefault="006915A6" w:rsidP="006915A6">
      <w:pPr>
        <w:rPr>
          <w:rFonts w:ascii="ＭＳ 明朝" w:eastAsia="ＭＳ 明朝" w:hAnsi="ＭＳ 明朝"/>
        </w:rPr>
      </w:pPr>
      <w:r w:rsidRPr="0088556C">
        <w:rPr>
          <w:rFonts w:ascii="ＭＳ 明朝" w:eastAsia="ＭＳ 明朝" w:hAnsi="ＭＳ 明朝"/>
        </w:rPr>
        <w:t>2020年3月30日～4月3日</w:t>
      </w:r>
    </w:p>
    <w:p w14:paraId="2A8B96A2" w14:textId="77777777" w:rsidR="005D79FD" w:rsidRPr="0088556C" w:rsidRDefault="006915A6" w:rsidP="005D79FD">
      <w:pPr>
        <w:widowControl/>
        <w:jc w:val="left"/>
        <w:rPr>
          <w:rFonts w:ascii="ＭＳ 明朝" w:eastAsia="ＭＳ 明朝" w:hAnsi="ＭＳ 明朝" w:cs="ＭＳ Ｐゴシック"/>
          <w:kern w:val="0"/>
        </w:rPr>
      </w:pPr>
      <w:r w:rsidRPr="0088556C">
        <w:rPr>
          <w:rFonts w:ascii="ＭＳ 明朝" w:eastAsia="ＭＳ 明朝" w:hAnsi="ＭＳ 明朝" w:hint="eastAsia"/>
          <w:b/>
          <w:bCs/>
        </w:rPr>
        <w:t>国際人権サービス</w:t>
      </w:r>
      <w:r w:rsidR="005D79FD" w:rsidRPr="0088556C">
        <w:rPr>
          <w:rStyle w:val="a9"/>
          <w:rFonts w:ascii="ＭＳ 明朝" w:eastAsia="ＭＳ 明朝" w:hAnsi="ＭＳ 明朝"/>
          <w:kern w:val="0"/>
        </w:rPr>
        <w:footnoteReference w:id="1"/>
      </w:r>
      <w:r w:rsidR="005D79FD" w:rsidRPr="0088556C">
        <w:rPr>
          <w:rFonts w:ascii="ＭＳ 明朝" w:eastAsia="ＭＳ 明朝" w:hAnsi="ＭＳ 明朝" w:cs="ＭＳ Ｐゴシック" w:hint="eastAsia"/>
          <w:kern w:val="0"/>
        </w:rPr>
        <w:t xml:space="preserve"> </w:t>
      </w:r>
    </w:p>
    <w:p w14:paraId="65F521C4" w14:textId="77777777" w:rsidR="006915A6" w:rsidRPr="0088556C" w:rsidRDefault="006915A6" w:rsidP="006915A6">
      <w:pPr>
        <w:rPr>
          <w:rFonts w:ascii="ＭＳ 明朝" w:eastAsia="ＭＳ 明朝" w:hAnsi="ＭＳ 明朝"/>
        </w:rPr>
      </w:pPr>
    </w:p>
    <w:p w14:paraId="6452EE4B" w14:textId="77777777" w:rsidR="006915A6" w:rsidRPr="0088556C" w:rsidRDefault="006915A6" w:rsidP="006915A6">
      <w:pPr>
        <w:rPr>
          <w:rFonts w:ascii="ＭＳ 明朝" w:eastAsia="ＭＳ 明朝" w:hAnsi="ＭＳ 明朝"/>
          <w:b/>
          <w:bCs/>
        </w:rPr>
      </w:pPr>
      <w:r w:rsidRPr="0088556C">
        <w:rPr>
          <w:rFonts w:ascii="ＭＳ 明朝" w:eastAsia="ＭＳ 明朝" w:hAnsi="ＭＳ 明朝"/>
          <w:b/>
          <w:bCs/>
        </w:rPr>
        <w:t>1.</w:t>
      </w:r>
      <w:r w:rsidRPr="0088556C">
        <w:rPr>
          <w:rFonts w:ascii="ＭＳ 明朝" w:eastAsia="ＭＳ 明朝" w:hAnsi="ＭＳ 明朝"/>
          <w:b/>
          <w:bCs/>
        </w:rPr>
        <w:tab/>
        <w:t xml:space="preserve">第24条：教育 </w:t>
      </w:r>
    </w:p>
    <w:p w14:paraId="5C8CAE47" w14:textId="77777777" w:rsidR="006915A6" w:rsidRPr="0088556C" w:rsidRDefault="006915A6" w:rsidP="006915A6">
      <w:pPr>
        <w:rPr>
          <w:rFonts w:ascii="ＭＳ 明朝" w:eastAsia="ＭＳ 明朝" w:hAnsi="ＭＳ 明朝"/>
        </w:rPr>
      </w:pPr>
    </w:p>
    <w:p w14:paraId="1C06BD60" w14:textId="77777777" w:rsidR="006915A6" w:rsidRPr="0088556C" w:rsidRDefault="006915A6" w:rsidP="006915A6">
      <w:pPr>
        <w:ind w:firstLineChars="100" w:firstLine="210"/>
        <w:rPr>
          <w:rFonts w:ascii="ＭＳ 明朝" w:eastAsia="ＭＳ 明朝" w:hAnsi="ＭＳ 明朝"/>
        </w:rPr>
      </w:pPr>
      <w:r w:rsidRPr="0088556C">
        <w:rPr>
          <w:rFonts w:ascii="ＭＳ 明朝" w:eastAsia="ＭＳ 明朝" w:hAnsi="ＭＳ 明朝"/>
        </w:rPr>
        <w:t>2012年の前回審査以降のインクルーシブ教育の実施状況をCRPD委員会に報告する。前回審査を行った専門家による総括所見では、障害のある子どもが一般（主流）の教育を受けられるように、特別な教育制度から資源を移し、一般の学校でインクルーシブ教育を推進するよう中国に勧告した（35、36項）。中国政府は、2017年に「障害のある人の教育政策に関する規定（残疾人教育条例）」を改定した。</w:t>
      </w:r>
    </w:p>
    <w:p w14:paraId="499BCEB6" w14:textId="77777777" w:rsidR="006915A6" w:rsidRPr="0088556C" w:rsidRDefault="006915A6" w:rsidP="006915A6">
      <w:pPr>
        <w:rPr>
          <w:rFonts w:ascii="ＭＳ 明朝" w:eastAsia="ＭＳ 明朝" w:hAnsi="ＭＳ 明朝"/>
        </w:rPr>
      </w:pPr>
    </w:p>
    <w:p w14:paraId="7955F6DA" w14:textId="353F1EE8" w:rsidR="006915A6" w:rsidRPr="0088556C" w:rsidRDefault="006915A6" w:rsidP="00D61716">
      <w:pPr>
        <w:widowControl/>
        <w:ind w:firstLineChars="100" w:firstLine="210"/>
        <w:jc w:val="left"/>
        <w:rPr>
          <w:rFonts w:ascii="ＭＳ 明朝" w:eastAsia="ＭＳ 明朝" w:hAnsi="ＭＳ 明朝"/>
        </w:rPr>
      </w:pPr>
      <w:r w:rsidRPr="0088556C">
        <w:rPr>
          <w:rFonts w:ascii="ＭＳ 明朝" w:eastAsia="ＭＳ 明朝" w:hAnsi="ＭＳ 明朝"/>
        </w:rPr>
        <w:t>2017年5月1日に発表された改訂版では、「障害者教育は質を高め、インクルーシブ教育を積極的に推進し、障害の種類や能力に応じて標準的な教育方法を優先しつつ、特別な教育方法も含めるべきである」（第3条）</w:t>
      </w:r>
      <w:r w:rsidR="005D79FD" w:rsidRPr="0088556C">
        <w:rPr>
          <w:rStyle w:val="ab"/>
          <w:rFonts w:ascii="ＭＳ 明朝" w:eastAsia="ＭＳ 明朝" w:hAnsi="ＭＳ 明朝"/>
          <w:kern w:val="0"/>
        </w:rPr>
        <w:footnoteReference w:id="2"/>
      </w:r>
      <w:r w:rsidR="005D79FD" w:rsidRPr="0088556C">
        <w:rPr>
          <w:rFonts w:ascii="ＭＳ 明朝" w:eastAsia="ＭＳ 明朝" w:hAnsi="ＭＳ 明朝" w:cs="ＭＳ Ｐゴシック" w:hint="eastAsia"/>
          <w:kern w:val="0"/>
        </w:rPr>
        <w:t xml:space="preserve"> </w:t>
      </w:r>
      <w:r w:rsidRPr="0088556C">
        <w:rPr>
          <w:rFonts w:ascii="ＭＳ 明朝" w:eastAsia="ＭＳ 明朝" w:hAnsi="ＭＳ 明朝"/>
        </w:rPr>
        <w:t>、と書かれている。第2次特殊教育推進計画（2017-2020）でも、「標準的な学校での教育へのアクセスを重視し、特殊教育施設の重要性を保持することにより、（当局は）インクルーシブ教育を全面的に推進すべきである」</w:t>
      </w:r>
      <w:r w:rsidR="005D79FD" w:rsidRPr="0088556C">
        <w:rPr>
          <w:rStyle w:val="ab"/>
          <w:rFonts w:ascii="ＭＳ 明朝" w:eastAsia="ＭＳ 明朝" w:hAnsi="ＭＳ 明朝"/>
          <w:kern w:val="0"/>
        </w:rPr>
        <w:footnoteReference w:id="3"/>
      </w:r>
      <w:r w:rsidR="005D79FD" w:rsidRPr="0088556C">
        <w:rPr>
          <w:rFonts w:ascii="ＭＳ 明朝" w:eastAsia="ＭＳ 明朝" w:hAnsi="ＭＳ 明朝" w:cs="ＭＳ Ｐゴシック" w:hint="eastAsia"/>
          <w:kern w:val="0"/>
        </w:rPr>
        <w:t xml:space="preserve"> </w:t>
      </w:r>
      <w:r w:rsidRPr="0088556C">
        <w:rPr>
          <w:rFonts w:ascii="ＭＳ 明朝" w:eastAsia="ＭＳ 明朝" w:hAnsi="ＭＳ 明朝"/>
        </w:rPr>
        <w:t>と述べ、インクルーシブ教育の向上を誓っている。</w:t>
      </w:r>
    </w:p>
    <w:p w14:paraId="71EC081F" w14:textId="77777777" w:rsidR="006915A6" w:rsidRPr="0088556C" w:rsidRDefault="006915A6" w:rsidP="006915A6">
      <w:pPr>
        <w:rPr>
          <w:rFonts w:ascii="ＭＳ 明朝" w:eastAsia="ＭＳ 明朝" w:hAnsi="ＭＳ 明朝"/>
        </w:rPr>
      </w:pPr>
    </w:p>
    <w:p w14:paraId="07008214" w14:textId="77777777" w:rsidR="006915A6" w:rsidRPr="0088556C" w:rsidRDefault="006915A6" w:rsidP="006915A6">
      <w:pPr>
        <w:ind w:firstLineChars="100" w:firstLine="210"/>
        <w:rPr>
          <w:rFonts w:ascii="ＭＳ 明朝" w:eastAsia="ＭＳ 明朝" w:hAnsi="ＭＳ 明朝"/>
        </w:rPr>
      </w:pPr>
      <w:r w:rsidRPr="0088556C">
        <w:rPr>
          <w:rFonts w:ascii="ＭＳ 明朝" w:eastAsia="ＭＳ 明朝" w:hAnsi="ＭＳ 明朝" w:hint="eastAsia"/>
        </w:rPr>
        <w:t>しかし、このような誓約は漠然としており、評価が難しい。他の公式文書にも、</w:t>
      </w:r>
      <w:r w:rsidRPr="0088556C">
        <w:rPr>
          <w:rFonts w:ascii="ＭＳ 明朝" w:eastAsia="ＭＳ 明朝" w:hAnsi="ＭＳ 明朝"/>
        </w:rPr>
        <w:t>2018年9月の公式締約国報告にも、「インクルーシブ教育」を実際にどのように実施するのか、より</w:t>
      </w:r>
      <w:r w:rsidRPr="0088556C">
        <w:rPr>
          <w:rFonts w:ascii="ＭＳ 明朝" w:eastAsia="ＭＳ 明朝" w:hAnsi="ＭＳ 明朝"/>
        </w:rPr>
        <w:lastRenderedPageBreak/>
        <w:t xml:space="preserve">詳細な情報はない。 </w:t>
      </w:r>
    </w:p>
    <w:p w14:paraId="398AF3A3" w14:textId="77777777" w:rsidR="006915A6" w:rsidRPr="0088556C" w:rsidRDefault="006915A6" w:rsidP="006915A6">
      <w:pPr>
        <w:rPr>
          <w:rFonts w:ascii="ＭＳ 明朝" w:eastAsia="ＭＳ 明朝" w:hAnsi="ＭＳ 明朝"/>
        </w:rPr>
      </w:pPr>
    </w:p>
    <w:p w14:paraId="22B17ACD" w14:textId="0677F19F" w:rsidR="006915A6" w:rsidRPr="0088556C" w:rsidRDefault="006915A6" w:rsidP="006915A6">
      <w:pPr>
        <w:ind w:firstLineChars="100" w:firstLine="211"/>
        <w:rPr>
          <w:rFonts w:ascii="ＭＳ 明朝" w:eastAsia="ＭＳ 明朝" w:hAnsi="ＭＳ 明朝"/>
          <w:b/>
          <w:bCs/>
        </w:rPr>
      </w:pPr>
      <w:r w:rsidRPr="0088556C">
        <w:rPr>
          <w:rFonts w:ascii="ＭＳ 明朝" w:eastAsia="ＭＳ 明朝" w:hAnsi="ＭＳ 明朝" w:hint="eastAsia"/>
          <w:b/>
          <w:bCs/>
        </w:rPr>
        <w:t>私たちは、委員会が締約国に対し、規則の改訂プロセス、その実施、進捗状況を監視するための手段とベンチマークについて、明確な情報を提供するよう要請</w:t>
      </w:r>
      <w:r w:rsidR="00976372" w:rsidRPr="0088556C">
        <w:rPr>
          <w:rFonts w:ascii="ＭＳ 明朝" w:eastAsia="ＭＳ 明朝" w:hAnsi="ＭＳ 明朝" w:hint="eastAsia"/>
          <w:b/>
          <w:bCs/>
        </w:rPr>
        <w:t>できる</w:t>
      </w:r>
      <w:r w:rsidRPr="0088556C">
        <w:rPr>
          <w:rFonts w:ascii="ＭＳ 明朝" w:eastAsia="ＭＳ 明朝" w:hAnsi="ＭＳ 明朝" w:hint="eastAsia"/>
          <w:b/>
          <w:bCs/>
        </w:rPr>
        <w:t>ことを願っている。</w:t>
      </w:r>
    </w:p>
    <w:p w14:paraId="0DC0C1FF" w14:textId="77777777" w:rsidR="006915A6" w:rsidRPr="0088556C" w:rsidRDefault="006915A6" w:rsidP="006915A6">
      <w:pPr>
        <w:rPr>
          <w:rFonts w:ascii="ＭＳ 明朝" w:eastAsia="ＭＳ 明朝" w:hAnsi="ＭＳ 明朝"/>
        </w:rPr>
      </w:pPr>
    </w:p>
    <w:p w14:paraId="36DF1DF7" w14:textId="77777777" w:rsidR="006915A6" w:rsidRPr="0088556C" w:rsidRDefault="006915A6" w:rsidP="006915A6">
      <w:pPr>
        <w:rPr>
          <w:rFonts w:ascii="ＭＳ 明朝" w:eastAsia="ＭＳ 明朝" w:hAnsi="ＭＳ 明朝"/>
          <w:b/>
          <w:bCs/>
        </w:rPr>
      </w:pPr>
      <w:r w:rsidRPr="0088556C">
        <w:rPr>
          <w:rFonts w:ascii="ＭＳ 明朝" w:eastAsia="ＭＳ 明朝" w:hAnsi="ＭＳ 明朝"/>
          <w:b/>
          <w:bCs/>
        </w:rPr>
        <w:t>2.</w:t>
      </w:r>
      <w:r w:rsidRPr="0088556C">
        <w:rPr>
          <w:rFonts w:ascii="ＭＳ 明朝" w:eastAsia="ＭＳ 明朝" w:hAnsi="ＭＳ 明朝"/>
          <w:b/>
          <w:bCs/>
        </w:rPr>
        <w:tab/>
        <w:t>第29条：政治的及び公的活動への参加</w:t>
      </w:r>
    </w:p>
    <w:p w14:paraId="288D6DC4" w14:textId="77777777" w:rsidR="006915A6" w:rsidRPr="0088556C" w:rsidRDefault="006915A6" w:rsidP="006915A6">
      <w:pPr>
        <w:rPr>
          <w:rFonts w:ascii="ＭＳ 明朝" w:eastAsia="ＭＳ 明朝" w:hAnsi="ＭＳ 明朝"/>
        </w:rPr>
      </w:pPr>
    </w:p>
    <w:p w14:paraId="54B8B44B" w14:textId="7AF0AD56" w:rsidR="006915A6" w:rsidRPr="0088556C" w:rsidRDefault="006915A6" w:rsidP="003A144E">
      <w:pPr>
        <w:widowControl/>
        <w:ind w:firstLineChars="100" w:firstLine="210"/>
        <w:jc w:val="left"/>
        <w:rPr>
          <w:rFonts w:ascii="ＭＳ 明朝" w:eastAsia="ＭＳ 明朝" w:hAnsi="ＭＳ 明朝"/>
        </w:rPr>
      </w:pPr>
      <w:r w:rsidRPr="0088556C">
        <w:rPr>
          <w:rFonts w:ascii="ＭＳ 明朝" w:eastAsia="ＭＳ 明朝" w:hAnsi="ＭＳ 明朝" w:hint="eastAsia"/>
        </w:rPr>
        <w:t>民政部の資料に基づいた国家報告の情報によると、障害者支援に取り組む社会組織（または</w:t>
      </w:r>
      <w:proofErr w:type="spellStart"/>
      <w:r w:rsidRPr="0088556C">
        <w:rPr>
          <w:rFonts w:ascii="ＭＳ 明朝" w:eastAsia="ＭＳ 明朝" w:hAnsi="ＭＳ 明朝"/>
        </w:rPr>
        <w:t>shehui</w:t>
      </w:r>
      <w:proofErr w:type="spellEnd"/>
      <w:r w:rsidRPr="0088556C">
        <w:rPr>
          <w:rFonts w:ascii="ＭＳ 明朝" w:eastAsia="ＭＳ 明朝" w:hAnsi="ＭＳ 明朝"/>
        </w:rPr>
        <w:t xml:space="preserve"> </w:t>
      </w:r>
      <w:proofErr w:type="spellStart"/>
      <w:r w:rsidRPr="0088556C">
        <w:rPr>
          <w:rFonts w:ascii="ＭＳ 明朝" w:eastAsia="ＭＳ 明朝" w:hAnsi="ＭＳ 明朝"/>
        </w:rPr>
        <w:t>zuzhi</w:t>
      </w:r>
      <w:proofErr w:type="spellEnd"/>
      <w:r w:rsidRPr="0088556C">
        <w:rPr>
          <w:rFonts w:ascii="ＭＳ 明朝" w:eastAsia="ＭＳ 明朝" w:hAnsi="ＭＳ 明朝"/>
        </w:rPr>
        <w:t>）の数は、全国レベルで7組織、地方レベルで6200組織（社会組織、財団の両方、民間の非営利社会事業）となっている</w:t>
      </w:r>
      <w:r w:rsidR="005D79FD" w:rsidRPr="0088556C">
        <w:rPr>
          <w:rStyle w:val="a9"/>
          <w:rFonts w:ascii="ＭＳ 明朝" w:eastAsia="ＭＳ 明朝" w:hAnsi="ＭＳ 明朝"/>
          <w:kern w:val="0"/>
        </w:rPr>
        <w:footnoteReference w:id="4"/>
      </w:r>
      <w:r w:rsidRPr="0088556C">
        <w:rPr>
          <w:rFonts w:ascii="ＭＳ 明朝" w:eastAsia="ＭＳ 明朝" w:hAnsi="ＭＳ 明朝"/>
        </w:rPr>
        <w:t>。</w:t>
      </w:r>
    </w:p>
    <w:p w14:paraId="4CE99503" w14:textId="77777777" w:rsidR="006915A6" w:rsidRPr="0088556C" w:rsidRDefault="006915A6" w:rsidP="006915A6">
      <w:pPr>
        <w:rPr>
          <w:rFonts w:ascii="ＭＳ 明朝" w:eastAsia="ＭＳ 明朝" w:hAnsi="ＭＳ 明朝"/>
        </w:rPr>
      </w:pPr>
    </w:p>
    <w:p w14:paraId="38065FEB" w14:textId="77777777" w:rsidR="006915A6" w:rsidRPr="0088556C" w:rsidRDefault="006915A6" w:rsidP="006915A6">
      <w:pPr>
        <w:ind w:firstLineChars="100" w:firstLine="210"/>
        <w:rPr>
          <w:rFonts w:ascii="ＭＳ 明朝" w:eastAsia="ＭＳ 明朝" w:hAnsi="ＭＳ 明朝"/>
        </w:rPr>
      </w:pPr>
      <w:r w:rsidRPr="0088556C">
        <w:rPr>
          <w:rFonts w:ascii="ＭＳ 明朝" w:eastAsia="ＭＳ 明朝" w:hAnsi="ＭＳ 明朝" w:hint="eastAsia"/>
        </w:rPr>
        <w:t>この主張を検証するために、対応する公式情報を見つけるのは非常に困難で、公式の数字はあまり定義されていない。例えば、</w:t>
      </w:r>
    </w:p>
    <w:p w14:paraId="679A8D51" w14:textId="77777777" w:rsidR="006915A6" w:rsidRPr="0088556C" w:rsidRDefault="006915A6" w:rsidP="006915A6">
      <w:pPr>
        <w:rPr>
          <w:rFonts w:ascii="ＭＳ 明朝" w:eastAsia="ＭＳ 明朝" w:hAnsi="ＭＳ 明朝"/>
        </w:rPr>
      </w:pPr>
      <w:r w:rsidRPr="0088556C">
        <w:rPr>
          <w:rFonts w:ascii="ＭＳ 明朝" w:eastAsia="ＭＳ 明朝" w:hAnsi="ＭＳ 明朝"/>
        </w:rPr>
        <w:t xml:space="preserve"> </w:t>
      </w:r>
    </w:p>
    <w:p w14:paraId="2F2C3930" w14:textId="2A24DB15" w:rsidR="006915A6" w:rsidRPr="0088556C" w:rsidRDefault="006915A6" w:rsidP="003F1C38">
      <w:pPr>
        <w:widowControl/>
        <w:jc w:val="left"/>
        <w:rPr>
          <w:rFonts w:ascii="ＭＳ 明朝" w:eastAsia="ＭＳ 明朝" w:hAnsi="ＭＳ 明朝"/>
        </w:rPr>
      </w:pPr>
      <w:r w:rsidRPr="0088556C">
        <w:rPr>
          <w:rFonts w:ascii="ＭＳ 明朝" w:eastAsia="ＭＳ 明朝" w:hAnsi="ＭＳ 明朝" w:hint="eastAsia"/>
        </w:rPr>
        <w:t xml:space="preserve">・　</w:t>
      </w:r>
      <w:r w:rsidRPr="0088556C">
        <w:rPr>
          <w:rFonts w:ascii="ＭＳ 明朝" w:eastAsia="ＭＳ 明朝" w:hAnsi="ＭＳ 明朝"/>
        </w:rPr>
        <w:t>2019年3月のCDPF（中国障害者（残疾人）連合会（China Disabled Persons’ Federation））報告書では、障害のある人の支援を目的とした合計16,000の専門団体が記載されている。この中には、全国の障害のある人を支援する2562の社会組織（</w:t>
      </w:r>
      <w:proofErr w:type="spellStart"/>
      <w:r w:rsidRPr="0088556C">
        <w:rPr>
          <w:rFonts w:ascii="ＭＳ 明朝" w:eastAsia="ＭＳ 明朝" w:hAnsi="ＭＳ 明朝"/>
        </w:rPr>
        <w:t>shehui</w:t>
      </w:r>
      <w:proofErr w:type="spellEnd"/>
      <w:r w:rsidRPr="0088556C">
        <w:rPr>
          <w:rFonts w:ascii="ＭＳ 明朝" w:eastAsia="ＭＳ 明朝" w:hAnsi="ＭＳ 明朝"/>
        </w:rPr>
        <w:t xml:space="preserve"> </w:t>
      </w:r>
      <w:proofErr w:type="spellStart"/>
      <w:r w:rsidRPr="0088556C">
        <w:rPr>
          <w:rFonts w:ascii="ＭＳ 明朝" w:eastAsia="ＭＳ 明朝" w:hAnsi="ＭＳ 明朝"/>
        </w:rPr>
        <w:t>zuzhi</w:t>
      </w:r>
      <w:proofErr w:type="spellEnd"/>
      <w:r w:rsidRPr="0088556C">
        <w:rPr>
          <w:rFonts w:ascii="ＭＳ 明朝" w:eastAsia="ＭＳ 明朝" w:hAnsi="ＭＳ 明朝"/>
        </w:rPr>
        <w:t xml:space="preserve">）が含まれている。また、障害のある人のリハビリテーションに取り組む9036の組織（ji </w:t>
      </w:r>
      <w:proofErr w:type="spellStart"/>
      <w:r w:rsidRPr="0088556C">
        <w:rPr>
          <w:rFonts w:ascii="ＭＳ 明朝" w:eastAsia="ＭＳ 明朝" w:hAnsi="ＭＳ 明朝"/>
        </w:rPr>
        <w:t>gou</w:t>
      </w:r>
      <w:proofErr w:type="spellEnd"/>
      <w:r w:rsidRPr="0088556C">
        <w:rPr>
          <w:rFonts w:ascii="ＭＳ 明朝" w:eastAsia="ＭＳ 明朝" w:hAnsi="ＭＳ 明朝"/>
        </w:rPr>
        <w:t>）も掲載されている。この中には、視覚障害者を支援する1346団体、聴覚障害者を支援する1549団体、身体障害のある人を</w:t>
      </w:r>
      <w:r w:rsidRPr="0088556C">
        <w:rPr>
          <w:rFonts w:ascii="ＭＳ 明朝" w:eastAsia="ＭＳ 明朝" w:hAnsi="ＭＳ 明朝" w:hint="eastAsia"/>
        </w:rPr>
        <w:t>支援する</w:t>
      </w:r>
      <w:r w:rsidRPr="0088556C">
        <w:rPr>
          <w:rFonts w:ascii="ＭＳ 明朝" w:eastAsia="ＭＳ 明朝" w:hAnsi="ＭＳ 明朝"/>
        </w:rPr>
        <w:t>3737団体、学習障害のある人を支援する3024団体、心理障害のある人を支援する1962団体、自閉症の子どもを支援する1811団体、補助器具を提供する1929団体が含まれている</w:t>
      </w:r>
      <w:r w:rsidR="003F1C38" w:rsidRPr="0088556C">
        <w:rPr>
          <w:rStyle w:val="a9"/>
          <w:rFonts w:ascii="ＭＳ 明朝" w:eastAsia="ＭＳ 明朝" w:hAnsi="ＭＳ 明朝"/>
          <w:kern w:val="0"/>
        </w:rPr>
        <w:footnoteReference w:id="5"/>
      </w:r>
      <w:r w:rsidRPr="0088556C">
        <w:rPr>
          <w:rFonts w:ascii="ＭＳ 明朝" w:eastAsia="ＭＳ 明朝" w:hAnsi="ＭＳ 明朝"/>
        </w:rPr>
        <w:t xml:space="preserve">。  </w:t>
      </w:r>
    </w:p>
    <w:p w14:paraId="4E9ABB55" w14:textId="77777777" w:rsidR="006915A6" w:rsidRPr="0088556C" w:rsidRDefault="006915A6" w:rsidP="006915A6">
      <w:pPr>
        <w:ind w:left="283" w:hangingChars="135" w:hanging="283"/>
        <w:rPr>
          <w:rFonts w:ascii="ＭＳ 明朝" w:eastAsia="ＭＳ 明朝" w:hAnsi="ＭＳ 明朝"/>
        </w:rPr>
      </w:pPr>
      <w:r w:rsidRPr="0088556C">
        <w:rPr>
          <w:rFonts w:ascii="ＭＳ 明朝" w:eastAsia="ＭＳ 明朝" w:hAnsi="ＭＳ 明朝" w:hint="eastAsia"/>
        </w:rPr>
        <w:t xml:space="preserve">・　</w:t>
      </w:r>
      <w:r w:rsidRPr="0088556C">
        <w:rPr>
          <w:rFonts w:ascii="ＭＳ 明朝" w:eastAsia="ＭＳ 明朝" w:hAnsi="ＭＳ 明朝"/>
        </w:rPr>
        <w:t>CDPFのこの報告書ではさらに、2018年に42,000のCDPFの支部が設立され、合計549,000の支部が95%以上の市・町・近隣地区・コミューンをカバーしていると記されている。この組織は大衆組織であり、中国共産党や政府機関と密接につながっている。同組織の会長の張海淀（Zhang Haidi）は、共産党員を中心に構成された立法諮問機関である中国人民政治協商会議（CPPCC）の常任委員会において長期に役職を務めている。</w:t>
      </w:r>
    </w:p>
    <w:p w14:paraId="21117E01" w14:textId="77777777" w:rsidR="006915A6" w:rsidRPr="0088556C" w:rsidRDefault="006915A6" w:rsidP="006915A6">
      <w:pPr>
        <w:ind w:left="283" w:hangingChars="135" w:hanging="283"/>
        <w:rPr>
          <w:rFonts w:ascii="ＭＳ 明朝" w:eastAsia="ＭＳ 明朝" w:hAnsi="ＭＳ 明朝"/>
        </w:rPr>
      </w:pPr>
      <w:r w:rsidRPr="0088556C">
        <w:rPr>
          <w:rFonts w:ascii="ＭＳ 明朝" w:eastAsia="ＭＳ 明朝" w:hAnsi="ＭＳ 明朝" w:hint="eastAsia"/>
        </w:rPr>
        <w:t>・　最後に、</w:t>
      </w:r>
      <w:r w:rsidRPr="0088556C">
        <w:rPr>
          <w:rFonts w:ascii="ＭＳ 明朝" w:eastAsia="ＭＳ 明朝" w:hAnsi="ＭＳ 明朝"/>
        </w:rPr>
        <w:t>2019年7月に発行された国務院情報局の報告書によると、新疆と黒竜江の軍事地帯を除く全国の障害のある人のためのCDPF支部組織は42,000、専門協会は16,000であると主張している。</w:t>
      </w:r>
    </w:p>
    <w:p w14:paraId="371BA2D6" w14:textId="77777777" w:rsidR="006915A6" w:rsidRPr="0088556C" w:rsidRDefault="006915A6" w:rsidP="006915A6">
      <w:pPr>
        <w:rPr>
          <w:rFonts w:ascii="ＭＳ 明朝" w:eastAsia="ＭＳ 明朝" w:hAnsi="ＭＳ 明朝"/>
        </w:rPr>
      </w:pPr>
    </w:p>
    <w:p w14:paraId="3A42C79B" w14:textId="77777777" w:rsidR="006915A6" w:rsidRPr="0088556C" w:rsidRDefault="006915A6" w:rsidP="006915A6">
      <w:pPr>
        <w:ind w:firstLineChars="100" w:firstLine="210"/>
        <w:rPr>
          <w:rFonts w:ascii="ＭＳ 明朝" w:eastAsia="ＭＳ 明朝" w:hAnsi="ＭＳ 明朝"/>
        </w:rPr>
      </w:pPr>
      <w:r w:rsidRPr="0088556C">
        <w:rPr>
          <w:rFonts w:ascii="ＭＳ 明朝" w:eastAsia="ＭＳ 明朝" w:hAnsi="ＭＳ 明朝" w:hint="eastAsia"/>
        </w:rPr>
        <w:lastRenderedPageBreak/>
        <w:t>国内については、民政部のデータベースによると、</w:t>
      </w:r>
      <w:r w:rsidRPr="0088556C">
        <w:rPr>
          <w:rFonts w:ascii="ＭＳ 明朝" w:eastAsia="ＭＳ 明朝" w:hAnsi="ＭＳ 明朝"/>
        </w:rPr>
        <w:t>2020年1月時点で865,000近くのNGOが登録されている。可能な限り最大の数字を使っても、国内の（訳注　障害者支援のための）慈善団体・非政府組織の割合はNGOの2％にも及ばない。</w:t>
      </w:r>
    </w:p>
    <w:p w14:paraId="2EF0534F" w14:textId="77777777" w:rsidR="006915A6" w:rsidRPr="0088556C" w:rsidRDefault="006915A6" w:rsidP="006915A6">
      <w:pPr>
        <w:rPr>
          <w:rFonts w:ascii="ＭＳ 明朝" w:eastAsia="ＭＳ 明朝" w:hAnsi="ＭＳ 明朝"/>
        </w:rPr>
      </w:pPr>
    </w:p>
    <w:p w14:paraId="54B8DAE9" w14:textId="77777777" w:rsidR="006915A6" w:rsidRPr="0088556C" w:rsidRDefault="006915A6" w:rsidP="006915A6">
      <w:pPr>
        <w:ind w:firstLineChars="100" w:firstLine="210"/>
        <w:rPr>
          <w:rFonts w:ascii="ＭＳ 明朝" w:eastAsia="ＭＳ 明朝" w:hAnsi="ＭＳ 明朝"/>
        </w:rPr>
      </w:pPr>
      <w:r w:rsidRPr="0088556C">
        <w:rPr>
          <w:rFonts w:ascii="ＭＳ 明朝" w:eastAsia="ＭＳ 明朝" w:hAnsi="ＭＳ 明朝" w:hint="eastAsia"/>
        </w:rPr>
        <w:t>外国の非政府組織（</w:t>
      </w:r>
      <w:r w:rsidRPr="0088556C">
        <w:rPr>
          <w:rFonts w:ascii="ＭＳ 明朝" w:eastAsia="ＭＳ 明朝" w:hAnsi="ＭＳ 明朝"/>
        </w:rPr>
        <w:t>FNGO(foreign non-governmental organizations)、公安省に登録されているもの）525のうち、30ほどの組織が全体的または部分的に障害者分野で活動していると回答している。これは、登録されているFNGO全体の6％弱であり、報告されている障害者人口の割合（14億人のうち8,500万人と報告されている）とほぼ同じである。</w:t>
      </w:r>
    </w:p>
    <w:p w14:paraId="52B2F4FC" w14:textId="77777777" w:rsidR="006915A6" w:rsidRPr="0088556C" w:rsidRDefault="006915A6" w:rsidP="006915A6">
      <w:pPr>
        <w:rPr>
          <w:rFonts w:ascii="ＭＳ 明朝" w:eastAsia="ＭＳ 明朝" w:hAnsi="ＭＳ 明朝"/>
        </w:rPr>
      </w:pPr>
    </w:p>
    <w:p w14:paraId="366D474E" w14:textId="5CC29E16" w:rsidR="006915A6" w:rsidRPr="0088556C" w:rsidRDefault="006915A6" w:rsidP="006915A6">
      <w:pPr>
        <w:ind w:firstLineChars="100" w:firstLine="210"/>
        <w:rPr>
          <w:rFonts w:ascii="ＭＳ 明朝" w:eastAsia="ＭＳ 明朝" w:hAnsi="ＭＳ 明朝"/>
        </w:rPr>
      </w:pPr>
      <w:r w:rsidRPr="0088556C">
        <w:rPr>
          <w:rFonts w:ascii="ＭＳ 明朝" w:eastAsia="ＭＳ 明朝" w:hAnsi="ＭＳ 明朝" w:hint="eastAsia"/>
        </w:rPr>
        <w:t>これは、市民社会組織との国際協力の余地や、国内の独立した公益団体や市民社会団体の発展の余地を提供する</w:t>
      </w:r>
      <w:r w:rsidR="00725027" w:rsidRPr="0088556C">
        <w:rPr>
          <w:rFonts w:ascii="ＭＳ 明朝" w:eastAsia="ＭＳ 明朝" w:hAnsi="ＭＳ 明朝" w:hint="eastAsia"/>
        </w:rPr>
        <w:t>前向きな姿勢</w:t>
      </w:r>
      <w:r w:rsidRPr="0088556C">
        <w:rPr>
          <w:rFonts w:ascii="ＭＳ 明朝" w:eastAsia="ＭＳ 明朝" w:hAnsi="ＭＳ 明朝" w:hint="eastAsia"/>
        </w:rPr>
        <w:t>を感じさせるが、いくつかのケースは教訓に値する。例えば、</w:t>
      </w:r>
      <w:r w:rsidRPr="0088556C">
        <w:rPr>
          <w:rFonts w:ascii="ＭＳ 明朝" w:eastAsia="ＭＳ 明朝" w:hAnsi="ＭＳ 明朝"/>
        </w:rPr>
        <w:t>2017年の夏、「国境なき点字」の創設者であり、最初のチベット点字を作成したサブリエ・テンベルケン（</w:t>
      </w:r>
      <w:proofErr w:type="spellStart"/>
      <w:r w:rsidRPr="0088556C">
        <w:rPr>
          <w:rFonts w:ascii="ＭＳ 明朝" w:eastAsia="ＭＳ 明朝" w:hAnsi="ＭＳ 明朝"/>
        </w:rPr>
        <w:t>Sabriye</w:t>
      </w:r>
      <w:proofErr w:type="spellEnd"/>
      <w:r w:rsidRPr="0088556C">
        <w:rPr>
          <w:rFonts w:ascii="ＭＳ 明朝" w:eastAsia="ＭＳ 明朝" w:hAnsi="ＭＳ 明朝"/>
        </w:rPr>
        <w:t xml:space="preserve"> </w:t>
      </w:r>
      <w:proofErr w:type="spellStart"/>
      <w:r w:rsidRPr="0088556C">
        <w:rPr>
          <w:rFonts w:ascii="ＭＳ 明朝" w:eastAsia="ＭＳ 明朝" w:hAnsi="ＭＳ 明朝"/>
        </w:rPr>
        <w:t>Tenberken</w:t>
      </w:r>
      <w:proofErr w:type="spellEnd"/>
      <w:r w:rsidRPr="0088556C">
        <w:rPr>
          <w:rFonts w:ascii="ＭＳ 明朝" w:eastAsia="ＭＳ 明朝" w:hAnsi="ＭＳ 明朝"/>
        </w:rPr>
        <w:t>）は、（おそらく2017年1月1日に施行された新しいFNGO法に基づき）、現地パートナーの承認が得られなかったためラサ（訳注　チベット自治区の首府）での彼女と彼女の組織の活動を終了するよう求められた。チベット障害者連盟</w:t>
      </w:r>
      <w:r w:rsidRPr="0088556C">
        <w:rPr>
          <w:rFonts w:ascii="ＭＳ 明朝" w:eastAsia="ＭＳ 明朝" w:hAnsi="ＭＳ 明朝" w:hint="eastAsia"/>
        </w:rPr>
        <w:t>と連携した彼女らの活動を通じて、</w:t>
      </w:r>
      <w:r w:rsidRPr="0088556C">
        <w:rPr>
          <w:rFonts w:ascii="ＭＳ 明朝" w:eastAsia="ＭＳ 明朝" w:hAnsi="ＭＳ 明朝"/>
        </w:rPr>
        <w:t>1998年以来、300人以上の視覚障害のあるチベット人学生を訓練してきた。</w:t>
      </w:r>
    </w:p>
    <w:p w14:paraId="19555A6C" w14:textId="77777777" w:rsidR="006915A6" w:rsidRPr="0088556C" w:rsidRDefault="006915A6" w:rsidP="006915A6">
      <w:pPr>
        <w:rPr>
          <w:rFonts w:ascii="ＭＳ 明朝" w:eastAsia="ＭＳ 明朝" w:hAnsi="ＭＳ 明朝"/>
        </w:rPr>
      </w:pPr>
    </w:p>
    <w:p w14:paraId="7A7AA7F7" w14:textId="77777777" w:rsidR="006915A6" w:rsidRPr="0088556C" w:rsidRDefault="006915A6" w:rsidP="006915A6">
      <w:pPr>
        <w:ind w:firstLineChars="100" w:firstLine="211"/>
        <w:rPr>
          <w:rFonts w:ascii="ＭＳ 明朝" w:eastAsia="ＭＳ 明朝" w:hAnsi="ＭＳ 明朝"/>
          <w:b/>
          <w:bCs/>
        </w:rPr>
      </w:pPr>
      <w:r w:rsidRPr="0088556C">
        <w:rPr>
          <w:rFonts w:ascii="ＭＳ 明朝" w:eastAsia="ＭＳ 明朝" w:hAnsi="ＭＳ 明朝" w:hint="eastAsia"/>
          <w:b/>
          <w:bCs/>
        </w:rPr>
        <w:t>私たちは、委員会が締約国に対し、</w:t>
      </w:r>
      <w:r w:rsidRPr="0088556C">
        <w:rPr>
          <w:rFonts w:ascii="ＭＳ 明朝" w:eastAsia="ＭＳ 明朝" w:hAnsi="ＭＳ 明朝"/>
          <w:b/>
          <w:bCs/>
        </w:rPr>
        <w:t>FNGO法およびチャリティ法が、特に少数民族地域で障害者支援のために活動している非政府・非営利団体組織の登録および活動に与える影響について、より多くの情報を提供するよう要請することを求めたい。</w:t>
      </w:r>
    </w:p>
    <w:p w14:paraId="4E8A9A8D" w14:textId="77777777" w:rsidR="006915A6" w:rsidRPr="0088556C" w:rsidRDefault="006915A6" w:rsidP="006915A6">
      <w:pPr>
        <w:rPr>
          <w:rFonts w:ascii="ＭＳ 明朝" w:eastAsia="ＭＳ 明朝" w:hAnsi="ＭＳ 明朝"/>
        </w:rPr>
      </w:pPr>
    </w:p>
    <w:p w14:paraId="3657FBC0" w14:textId="468E7950" w:rsidR="006915A6" w:rsidRPr="0088556C" w:rsidRDefault="006915A6" w:rsidP="006915A6">
      <w:pPr>
        <w:ind w:firstLineChars="100" w:firstLine="211"/>
        <w:rPr>
          <w:rFonts w:ascii="ＭＳ 明朝" w:eastAsia="ＭＳ 明朝" w:hAnsi="ＭＳ 明朝"/>
          <w:b/>
          <w:bCs/>
        </w:rPr>
      </w:pPr>
      <w:r w:rsidRPr="0088556C">
        <w:rPr>
          <w:rFonts w:ascii="ＭＳ 明朝" w:eastAsia="ＭＳ 明朝" w:hAnsi="ＭＳ 明朝" w:hint="eastAsia"/>
          <w:b/>
          <w:bCs/>
        </w:rPr>
        <w:t>また、</w:t>
      </w:r>
      <w:r w:rsidRPr="0088556C">
        <w:rPr>
          <w:rFonts w:ascii="ＭＳ 明朝" w:eastAsia="ＭＳ 明朝" w:hAnsi="ＭＳ 明朝"/>
          <w:b/>
          <w:bCs/>
        </w:rPr>
        <w:t>CDPF から独立して活動している組織が、資金の確保、サービスの提供、関係する法律や政策についての協議への参加、</w:t>
      </w:r>
      <w:r w:rsidR="00725027" w:rsidRPr="0088556C">
        <w:rPr>
          <w:rFonts w:ascii="ＭＳ 明朝" w:eastAsia="ＭＳ 明朝" w:hAnsi="ＭＳ 明朝" w:hint="eastAsia"/>
          <w:b/>
          <w:bCs/>
        </w:rPr>
        <w:t>障害者権利</w:t>
      </w:r>
      <w:r w:rsidRPr="0088556C">
        <w:rPr>
          <w:rFonts w:ascii="ＭＳ 明朝" w:eastAsia="ＭＳ 明朝" w:hAnsi="ＭＳ 明朝"/>
          <w:b/>
          <w:bCs/>
        </w:rPr>
        <w:t>委員会を含む（ただしこれに限定されない）国連の人権の仕組みの活動への貢献を行えるようにするために、どのような措置がとられているか、質問してほしい。</w:t>
      </w:r>
    </w:p>
    <w:p w14:paraId="6861B722" w14:textId="77777777" w:rsidR="006915A6" w:rsidRPr="0088556C" w:rsidRDefault="006915A6" w:rsidP="006915A6">
      <w:pPr>
        <w:rPr>
          <w:rFonts w:ascii="ＭＳ 明朝" w:eastAsia="ＭＳ 明朝" w:hAnsi="ＭＳ 明朝"/>
        </w:rPr>
      </w:pPr>
    </w:p>
    <w:p w14:paraId="07BB9103" w14:textId="77777777" w:rsidR="006915A6" w:rsidRPr="0088556C" w:rsidRDefault="006915A6" w:rsidP="006915A6">
      <w:pPr>
        <w:rPr>
          <w:rFonts w:ascii="ＭＳ 明朝" w:eastAsia="ＭＳ 明朝" w:hAnsi="ＭＳ 明朝"/>
          <w:b/>
          <w:bCs/>
        </w:rPr>
      </w:pPr>
      <w:r w:rsidRPr="0088556C">
        <w:rPr>
          <w:rFonts w:ascii="ＭＳ 明朝" w:eastAsia="ＭＳ 明朝" w:hAnsi="ＭＳ 明朝"/>
          <w:b/>
          <w:bCs/>
        </w:rPr>
        <w:t>3.</w:t>
      </w:r>
      <w:r w:rsidRPr="0088556C">
        <w:rPr>
          <w:rFonts w:ascii="ＭＳ 明朝" w:eastAsia="ＭＳ 明朝" w:hAnsi="ＭＳ 明朝"/>
          <w:b/>
          <w:bCs/>
        </w:rPr>
        <w:tab/>
        <w:t>第31条 統計およびデータ収集</w:t>
      </w:r>
    </w:p>
    <w:p w14:paraId="41B6C4A8" w14:textId="77777777" w:rsidR="006915A6" w:rsidRPr="0088556C" w:rsidRDefault="006915A6" w:rsidP="006915A6">
      <w:pPr>
        <w:rPr>
          <w:rFonts w:ascii="ＭＳ 明朝" w:eastAsia="ＭＳ 明朝" w:hAnsi="ＭＳ 明朝"/>
        </w:rPr>
      </w:pPr>
    </w:p>
    <w:p w14:paraId="1BA32D16" w14:textId="7909E6B9" w:rsidR="006915A6" w:rsidRPr="0088556C" w:rsidRDefault="006915A6" w:rsidP="00725027">
      <w:pPr>
        <w:widowControl/>
        <w:ind w:firstLineChars="100" w:firstLine="210"/>
        <w:jc w:val="left"/>
        <w:rPr>
          <w:rFonts w:ascii="ＭＳ 明朝" w:eastAsia="ＭＳ 明朝" w:hAnsi="ＭＳ 明朝" w:cs="ＭＳ Ｐゴシック"/>
          <w:kern w:val="0"/>
        </w:rPr>
      </w:pPr>
      <w:r w:rsidRPr="0088556C">
        <w:rPr>
          <w:rFonts w:ascii="ＭＳ 明朝" w:eastAsia="ＭＳ 明朝" w:hAnsi="ＭＳ 明朝" w:hint="eastAsia"/>
        </w:rPr>
        <w:t>国家報告は、障害のある人に関する情報を民族別、あるいは民族地域の居住地別に集計していない。具体的には、国家報告において政府は「農村部に住む貧しい障害のある人を、政府の全体的な貧困緩和の取り組みに組み入れた」</w:t>
      </w:r>
      <w:r w:rsidR="003F1C38" w:rsidRPr="0088556C">
        <w:rPr>
          <w:rStyle w:val="a9"/>
          <w:rFonts w:ascii="ＭＳ 明朝" w:eastAsia="ＭＳ 明朝" w:hAnsi="ＭＳ 明朝"/>
          <w:kern w:val="0"/>
        </w:rPr>
        <w:footnoteReference w:id="6"/>
      </w:r>
      <w:r w:rsidRPr="0088556C">
        <w:rPr>
          <w:rFonts w:ascii="ＭＳ 明朝" w:eastAsia="ＭＳ 明朝" w:hAnsi="ＭＳ 明朝"/>
        </w:rPr>
        <w:t>,と述べているが、後述の「包括的な保護メカニズム」を含むこれらの取り組みが、地理的、言語的、文化的に異なる状況下でどのように実施されているかについての明確な情報はない。</w:t>
      </w:r>
    </w:p>
    <w:p w14:paraId="5E05667A" w14:textId="77777777" w:rsidR="006915A6" w:rsidRPr="0088556C" w:rsidRDefault="006915A6" w:rsidP="006915A6">
      <w:pPr>
        <w:rPr>
          <w:rFonts w:ascii="ＭＳ 明朝" w:eastAsia="ＭＳ 明朝" w:hAnsi="ＭＳ 明朝"/>
        </w:rPr>
      </w:pPr>
    </w:p>
    <w:p w14:paraId="10394D16" w14:textId="6C056945" w:rsidR="006915A6" w:rsidRPr="0088556C" w:rsidRDefault="006915A6" w:rsidP="00725027">
      <w:pPr>
        <w:widowControl/>
        <w:ind w:firstLineChars="100" w:firstLine="210"/>
        <w:jc w:val="left"/>
        <w:rPr>
          <w:rFonts w:ascii="ＭＳ 明朝" w:eastAsia="ＭＳ 明朝" w:hAnsi="ＭＳ 明朝"/>
        </w:rPr>
      </w:pPr>
      <w:r w:rsidRPr="0088556C">
        <w:rPr>
          <w:rFonts w:ascii="ＭＳ 明朝" w:eastAsia="ＭＳ 明朝" w:hAnsi="ＭＳ 明朝" w:hint="eastAsia"/>
        </w:rPr>
        <w:t>これは長く続いている問題である。中国障害者連合会（党所属の大衆組織である</w:t>
      </w:r>
      <w:r w:rsidRPr="0088556C">
        <w:rPr>
          <w:rFonts w:ascii="ＭＳ 明朝" w:eastAsia="ＭＳ 明朝" w:hAnsi="ＭＳ 明朝"/>
        </w:rPr>
        <w:t>CDPF）が2019年3月に発表した年次報告書</w:t>
      </w:r>
      <w:r w:rsidR="003F1C38" w:rsidRPr="0088556C">
        <w:rPr>
          <w:rStyle w:val="ab"/>
          <w:rFonts w:ascii="ＭＳ 明朝" w:eastAsia="ＭＳ 明朝" w:hAnsi="ＭＳ 明朝"/>
          <w:kern w:val="0"/>
          <w:u w:val="single"/>
        </w:rPr>
        <w:footnoteReference w:id="7"/>
      </w:r>
      <w:r w:rsidRPr="0088556C">
        <w:rPr>
          <w:rFonts w:ascii="ＭＳ 明朝" w:eastAsia="ＭＳ 明朝" w:hAnsi="ＭＳ 明朝"/>
        </w:rPr>
        <w:t>には、年齢別（6歳未満の子ども、その他）、障害の種類別、一般の教育機関へのアクセスとインクルージョンと特殊教育制度などの内訳について広範な情報が盛り込まれていた。同様に、2019年9月に国務院情報局が発表した白書では</w:t>
      </w:r>
      <w:r w:rsidR="003F1C38" w:rsidRPr="0088556C">
        <w:rPr>
          <w:rStyle w:val="ab"/>
          <w:rFonts w:ascii="ＭＳ 明朝" w:eastAsia="ＭＳ 明朝" w:hAnsi="ＭＳ 明朝"/>
          <w:kern w:val="0"/>
          <w:u w:val="single"/>
        </w:rPr>
        <w:footnoteReference w:id="8"/>
      </w:r>
      <w:r w:rsidRPr="0088556C">
        <w:rPr>
          <w:rFonts w:ascii="ＭＳ 明朝" w:eastAsia="ＭＳ 明朝" w:hAnsi="ＭＳ 明朝"/>
        </w:rPr>
        <w:t>、障害者の権利保護における一連の成功例が紹介されているが、ここでも農村、貧困、および／または少数民族の文脈に属する障害のある人の特異的なかつ交差的な経験を反映させるのではなく、全</w:t>
      </w:r>
      <w:r w:rsidRPr="0088556C">
        <w:rPr>
          <w:rFonts w:ascii="ＭＳ 明朝" w:eastAsia="ＭＳ 明朝" w:hAnsi="ＭＳ 明朝" w:hint="eastAsia"/>
        </w:rPr>
        <w:t>体を合計した数字に焦点が当てられている。</w:t>
      </w:r>
    </w:p>
    <w:p w14:paraId="014EF4A7" w14:textId="77777777" w:rsidR="006915A6" w:rsidRPr="0088556C" w:rsidRDefault="006915A6" w:rsidP="006915A6">
      <w:pPr>
        <w:rPr>
          <w:rFonts w:ascii="ＭＳ 明朝" w:eastAsia="ＭＳ 明朝" w:hAnsi="ＭＳ 明朝"/>
        </w:rPr>
      </w:pPr>
    </w:p>
    <w:p w14:paraId="4D0C4BDC" w14:textId="77777777" w:rsidR="006915A6" w:rsidRPr="0088556C" w:rsidRDefault="006915A6" w:rsidP="006915A6">
      <w:pPr>
        <w:ind w:firstLineChars="100" w:firstLine="211"/>
        <w:rPr>
          <w:rFonts w:ascii="ＭＳ 明朝" w:eastAsia="ＭＳ 明朝" w:hAnsi="ＭＳ 明朝"/>
          <w:b/>
          <w:bCs/>
        </w:rPr>
      </w:pPr>
      <w:r w:rsidRPr="0088556C">
        <w:rPr>
          <w:rFonts w:ascii="ＭＳ 明朝" w:eastAsia="ＭＳ 明朝" w:hAnsi="ＭＳ 明朝" w:hint="eastAsia"/>
          <w:b/>
          <w:bCs/>
        </w:rPr>
        <w:t>委員会は、中国政府に対し、社会サービスや公共財へのアクセスのばらつきをよりよく理解するために、省や地域、民族ごとに分けた詳細な情報を提供するよう要請する。特に興味があるのは、イ族、チベット族、ウイグル族の地域社会におけるベースラインの状況と、それに対処するための努力に関する情報である。</w:t>
      </w:r>
    </w:p>
    <w:p w14:paraId="6BC722AB" w14:textId="77777777" w:rsidR="006915A6" w:rsidRPr="0088556C" w:rsidRDefault="006915A6" w:rsidP="006915A6">
      <w:pPr>
        <w:rPr>
          <w:rFonts w:ascii="ＭＳ 明朝" w:eastAsia="ＭＳ 明朝" w:hAnsi="ＭＳ 明朝"/>
          <w:b/>
          <w:bCs/>
        </w:rPr>
      </w:pPr>
    </w:p>
    <w:p w14:paraId="5189E711" w14:textId="77777777" w:rsidR="006915A6" w:rsidRPr="0088556C" w:rsidRDefault="006915A6" w:rsidP="006915A6">
      <w:pPr>
        <w:rPr>
          <w:rFonts w:ascii="ＭＳ 明朝" w:eastAsia="ＭＳ 明朝" w:hAnsi="ＭＳ 明朝"/>
          <w:b/>
          <w:bCs/>
        </w:rPr>
      </w:pPr>
      <w:r w:rsidRPr="0088556C">
        <w:rPr>
          <w:rFonts w:ascii="ＭＳ 明朝" w:eastAsia="ＭＳ 明朝" w:hAnsi="ＭＳ 明朝"/>
          <w:b/>
          <w:bCs/>
        </w:rPr>
        <w:t>4.</w:t>
      </w:r>
      <w:r w:rsidRPr="0088556C">
        <w:rPr>
          <w:rFonts w:ascii="ＭＳ 明朝" w:eastAsia="ＭＳ 明朝" w:hAnsi="ＭＳ 明朝"/>
          <w:b/>
          <w:bCs/>
        </w:rPr>
        <w:tab/>
        <w:t xml:space="preserve">第33条: 国内での実施と監視 </w:t>
      </w:r>
    </w:p>
    <w:p w14:paraId="32725536" w14:textId="77777777" w:rsidR="006915A6" w:rsidRPr="0088556C" w:rsidRDefault="006915A6" w:rsidP="006915A6">
      <w:pPr>
        <w:rPr>
          <w:rFonts w:ascii="ＭＳ 明朝" w:eastAsia="ＭＳ 明朝" w:hAnsi="ＭＳ 明朝"/>
        </w:rPr>
      </w:pPr>
    </w:p>
    <w:p w14:paraId="673BD0E1" w14:textId="77777777" w:rsidR="006915A6" w:rsidRPr="0088556C" w:rsidRDefault="006915A6" w:rsidP="006915A6">
      <w:pPr>
        <w:ind w:firstLineChars="100" w:firstLine="210"/>
        <w:rPr>
          <w:rFonts w:ascii="ＭＳ 明朝" w:eastAsia="ＭＳ 明朝" w:hAnsi="ＭＳ 明朝"/>
        </w:rPr>
      </w:pPr>
      <w:r w:rsidRPr="0088556C">
        <w:rPr>
          <w:rFonts w:ascii="ＭＳ 明朝" w:eastAsia="ＭＳ 明朝" w:hAnsi="ＭＳ 明朝" w:hint="eastAsia"/>
        </w:rPr>
        <w:t>団体が直面している課題に加えて、報告期間中、障害者の権利のために活動する個人の人権擁護者も脅威にさらされていることが報告されている。これには次のようなものがある。</w:t>
      </w:r>
    </w:p>
    <w:p w14:paraId="7CC946E3" w14:textId="77777777" w:rsidR="006915A6" w:rsidRPr="0088556C" w:rsidRDefault="006915A6" w:rsidP="006915A6">
      <w:pPr>
        <w:rPr>
          <w:rFonts w:ascii="ＭＳ 明朝" w:eastAsia="ＭＳ 明朝" w:hAnsi="ＭＳ 明朝"/>
        </w:rPr>
      </w:pPr>
      <w:r w:rsidRPr="0088556C">
        <w:rPr>
          <w:rFonts w:ascii="ＭＳ 明朝" w:eastAsia="ＭＳ 明朝" w:hAnsi="ＭＳ 明朝"/>
        </w:rPr>
        <w:t xml:space="preserve"> </w:t>
      </w:r>
    </w:p>
    <w:p w14:paraId="50B17C08" w14:textId="03C093BF" w:rsidR="006915A6" w:rsidRPr="0088556C" w:rsidRDefault="006915A6" w:rsidP="00366F82">
      <w:pPr>
        <w:widowControl/>
        <w:jc w:val="left"/>
        <w:rPr>
          <w:rFonts w:ascii="ＭＳ 明朝" w:eastAsia="ＭＳ 明朝" w:hAnsi="ＭＳ 明朝"/>
        </w:rPr>
      </w:pPr>
      <w:r w:rsidRPr="0088556C">
        <w:rPr>
          <w:rFonts w:ascii="ＭＳ 明朝" w:eastAsia="ＭＳ 明朝" w:hAnsi="ＭＳ 明朝" w:hint="eastAsia"/>
        </w:rPr>
        <w:t xml:space="preserve">・　</w:t>
      </w:r>
      <w:r w:rsidR="00E04974" w:rsidRPr="0088556C">
        <w:rPr>
          <w:rFonts w:ascii="ＭＳ 明朝" w:eastAsia="ＭＳ 明朝" w:hAnsi="ＭＳ 明朝" w:hint="eastAsia"/>
        </w:rPr>
        <w:t>「</w:t>
      </w:r>
      <w:r w:rsidRPr="0088556C">
        <w:rPr>
          <w:rFonts w:ascii="ＭＳ 明朝" w:eastAsia="ＭＳ 明朝" w:hAnsi="ＭＳ 明朝" w:hint="eastAsia"/>
        </w:rPr>
        <w:t>権利運動</w:t>
      </w:r>
      <w:r w:rsidR="00E04974" w:rsidRPr="0088556C">
        <w:rPr>
          <w:rFonts w:ascii="ＭＳ 明朝" w:eastAsia="ＭＳ 明朝" w:hAnsi="ＭＳ 明朝" w:hint="eastAsia"/>
        </w:rPr>
        <w:t>」</w:t>
      </w:r>
      <w:r w:rsidRPr="0088556C">
        <w:rPr>
          <w:rFonts w:ascii="ＭＳ 明朝" w:eastAsia="ＭＳ 明朝" w:hAnsi="ＭＳ 明朝" w:hint="eastAsia"/>
        </w:rPr>
        <w:t>（</w:t>
      </w:r>
      <w:r w:rsidRPr="0088556C">
        <w:rPr>
          <w:rFonts w:ascii="ＭＳ 明朝" w:eastAsia="ＭＳ 明朝" w:hAnsi="ＭＳ 明朝"/>
        </w:rPr>
        <w:t>Human Rights Campaign in China、HRCC、</w:t>
      </w:r>
      <w:r w:rsidRPr="0088556C">
        <w:rPr>
          <w:rFonts w:ascii="SimSun" w:eastAsia="SimSun" w:hAnsi="SimSun" w:cs="SimSun" w:hint="eastAsia"/>
        </w:rPr>
        <w:t>权</w:t>
      </w:r>
      <w:r w:rsidRPr="0088556C">
        <w:rPr>
          <w:rFonts w:ascii="ＭＳ 明朝" w:eastAsia="ＭＳ 明朝" w:hAnsi="ＭＳ 明朝" w:cs="ＭＳ 明朝" w:hint="eastAsia"/>
        </w:rPr>
        <w:t>利运</w:t>
      </w:r>
      <w:r w:rsidRPr="0088556C">
        <w:rPr>
          <w:rFonts w:ascii="SimSun" w:eastAsia="SimSun" w:hAnsi="SimSun" w:cs="SimSun" w:hint="eastAsia"/>
        </w:rPr>
        <w:t>动</w:t>
      </w:r>
      <w:r w:rsidRPr="0088556C">
        <w:rPr>
          <w:rFonts w:ascii="ＭＳ 明朝" w:eastAsia="ＭＳ 明朝" w:hAnsi="ＭＳ 明朝" w:cs="游明朝" w:hint="eastAsia"/>
        </w:rPr>
        <w:t>）の共同創設者の一人で</w:t>
      </w:r>
      <w:r w:rsidRPr="0088556C">
        <w:rPr>
          <w:rFonts w:ascii="ＭＳ 明朝" w:eastAsia="ＭＳ 明朝" w:hAnsi="ＭＳ 明朝" w:hint="eastAsia"/>
        </w:rPr>
        <w:t>ある胡軍（</w:t>
      </w:r>
      <w:r w:rsidRPr="0088556C">
        <w:rPr>
          <w:rFonts w:ascii="ＭＳ 明朝" w:eastAsia="ＭＳ 明朝" w:hAnsi="ＭＳ 明朝"/>
        </w:rPr>
        <w:t>Hu Jun）氏が故郷の新疆ウイグル自治区で、インターネットにアクセスできず、自由に動けない状態で危険にさらされていると、ウェブサイト</w:t>
      </w:r>
      <w:proofErr w:type="spellStart"/>
      <w:r w:rsidRPr="0088556C">
        <w:rPr>
          <w:rFonts w:ascii="ＭＳ 明朝" w:eastAsia="ＭＳ 明朝" w:hAnsi="ＭＳ 明朝"/>
        </w:rPr>
        <w:t>Weiquanwang</w:t>
      </w:r>
      <w:proofErr w:type="spellEnd"/>
      <w:r w:rsidRPr="0088556C">
        <w:rPr>
          <w:rFonts w:ascii="ＭＳ 明朝" w:eastAsia="ＭＳ 明朝" w:hAnsi="ＭＳ 明朝"/>
        </w:rPr>
        <w:t>（維権網）によって報道された</w:t>
      </w:r>
      <w:r w:rsidR="00366F82" w:rsidRPr="0088556C">
        <w:rPr>
          <w:rStyle w:val="a9"/>
          <w:rFonts w:ascii="ＭＳ 明朝" w:eastAsia="ＭＳ 明朝" w:hAnsi="ＭＳ 明朝" w:cs="Times New Roman"/>
          <w:kern w:val="0"/>
        </w:rPr>
        <w:footnoteReference w:id="9"/>
      </w:r>
      <w:r w:rsidRPr="0088556C">
        <w:rPr>
          <w:rFonts w:ascii="ＭＳ 明朝" w:eastAsia="ＭＳ 明朝" w:hAnsi="ＭＳ 明朝"/>
        </w:rPr>
        <w:t>。胡氏は、1992年から1994年、1995年から2008年にかけて、さまざまな罪で投獄された経験があり、その間、労働キャンプで身体が麻痺し、車椅子なしでは動けない。2009年、胡氏は仲間とともにHRCCという組織を立ち上げた。その後、2011年にHRCCの活動に関連した「国家転覆」の罪で拘束され、戸籍や身分証明書を取得する権利もないまま、居宅監視下に置かれた。</w:t>
      </w:r>
    </w:p>
    <w:p w14:paraId="43F02BA1" w14:textId="77777777" w:rsidR="006915A6" w:rsidRPr="0088556C" w:rsidRDefault="006915A6" w:rsidP="006915A6">
      <w:pPr>
        <w:rPr>
          <w:rFonts w:ascii="ＭＳ 明朝" w:eastAsia="ＭＳ 明朝" w:hAnsi="ＭＳ 明朝"/>
        </w:rPr>
      </w:pPr>
    </w:p>
    <w:p w14:paraId="6FC68877" w14:textId="77777777" w:rsidR="006915A6" w:rsidRPr="0088556C" w:rsidRDefault="006915A6" w:rsidP="006915A6">
      <w:pPr>
        <w:ind w:firstLineChars="100" w:firstLine="211"/>
        <w:rPr>
          <w:rFonts w:ascii="ＭＳ 明朝" w:eastAsia="ＭＳ 明朝" w:hAnsi="ＭＳ 明朝"/>
          <w:b/>
          <w:bCs/>
        </w:rPr>
      </w:pPr>
      <w:r w:rsidRPr="0088556C">
        <w:rPr>
          <w:rFonts w:ascii="ＭＳ 明朝" w:eastAsia="ＭＳ 明朝" w:hAnsi="ＭＳ 明朝" w:hint="eastAsia"/>
          <w:b/>
          <w:bCs/>
        </w:rPr>
        <w:t>委員会は、</w:t>
      </w:r>
      <w:r w:rsidRPr="0088556C">
        <w:rPr>
          <w:rFonts w:ascii="ＭＳ 明朝" w:eastAsia="ＭＳ 明朝" w:hAnsi="ＭＳ 明朝"/>
          <w:b/>
          <w:bCs/>
        </w:rPr>
        <w:t>2017年8月から監禁されている胡軍氏の所在と、同氏に対する正式な司法手続きについて、締約国から情報を要求することを検討してほしい。</w:t>
      </w:r>
    </w:p>
    <w:p w14:paraId="2E6E3A4A" w14:textId="77777777" w:rsidR="006915A6" w:rsidRPr="0088556C" w:rsidRDefault="006915A6" w:rsidP="006915A6">
      <w:pPr>
        <w:rPr>
          <w:rFonts w:ascii="ＭＳ 明朝" w:eastAsia="ＭＳ 明朝" w:hAnsi="ＭＳ 明朝"/>
        </w:rPr>
      </w:pPr>
    </w:p>
    <w:p w14:paraId="55BEE280" w14:textId="5D607DC7" w:rsidR="006915A6" w:rsidRPr="0088556C" w:rsidRDefault="006915A6" w:rsidP="00AB0137">
      <w:pPr>
        <w:widowControl/>
        <w:ind w:firstLineChars="100" w:firstLine="211"/>
        <w:jc w:val="left"/>
        <w:rPr>
          <w:rFonts w:ascii="ＭＳ 明朝" w:eastAsia="ＭＳ 明朝" w:hAnsi="ＭＳ 明朝"/>
          <w:b/>
          <w:bCs/>
        </w:rPr>
      </w:pPr>
      <w:r w:rsidRPr="0088556C">
        <w:rPr>
          <w:rFonts w:ascii="ＭＳ 明朝" w:eastAsia="ＭＳ 明朝" w:hAnsi="ＭＳ 明朝" w:hint="eastAsia"/>
          <w:b/>
          <w:bCs/>
        </w:rPr>
        <w:t>直近の</w:t>
      </w:r>
      <w:r w:rsidRPr="0088556C">
        <w:rPr>
          <w:rFonts w:ascii="ＭＳ 明朝" w:eastAsia="ＭＳ 明朝" w:hAnsi="ＭＳ 明朝"/>
          <w:b/>
          <w:bCs/>
        </w:rPr>
        <w:t>2019年11月の「特別手続」</w:t>
      </w:r>
      <w:r w:rsidR="00917FBB" w:rsidRPr="0088556C">
        <w:rPr>
          <w:rFonts w:ascii="ＭＳ 明朝" w:eastAsia="ＭＳ 明朝" w:hAnsi="ＭＳ 明朝" w:hint="eastAsia"/>
          <w:b/>
          <w:bCs/>
        </w:rPr>
        <w:t>（</w:t>
      </w:r>
      <w:r w:rsidR="00917FBB" w:rsidRPr="0088556C">
        <w:rPr>
          <w:rFonts w:ascii="ＭＳ 明朝" w:eastAsia="ＭＳ 明朝" w:hAnsi="ＭＳ 明朝"/>
          <w:b/>
          <w:bCs/>
        </w:rPr>
        <w:t>Special Procedures</w:t>
      </w:r>
      <w:r w:rsidR="00917FBB" w:rsidRPr="0088556C">
        <w:rPr>
          <w:rFonts w:ascii="ＭＳ 明朝" w:eastAsia="ＭＳ 明朝" w:hAnsi="ＭＳ 明朝" w:hint="eastAsia"/>
          <w:b/>
          <w:bCs/>
        </w:rPr>
        <w:t>）</w:t>
      </w:r>
      <w:r w:rsidRPr="0088556C">
        <w:rPr>
          <w:rFonts w:ascii="ＭＳ 明朝" w:eastAsia="ＭＳ 明朝" w:hAnsi="ＭＳ 明朝"/>
          <w:b/>
          <w:bCs/>
        </w:rPr>
        <w:t>を含む他の国連メカニズムによって繰り返し締約国に要請されているように</w:t>
      </w:r>
      <w:r w:rsidR="00366F82" w:rsidRPr="0088556C">
        <w:rPr>
          <w:rStyle w:val="a9"/>
          <w:rFonts w:ascii="ＭＳ 明朝" w:eastAsia="ＭＳ 明朝" w:hAnsi="ＭＳ 明朝"/>
          <w:b/>
          <w:kern w:val="0"/>
        </w:rPr>
        <w:footnoteReference w:id="10"/>
      </w:r>
      <w:r w:rsidRPr="0088556C">
        <w:rPr>
          <w:rFonts w:ascii="ＭＳ 明朝" w:eastAsia="ＭＳ 明朝" w:hAnsi="ＭＳ 明朝"/>
          <w:b/>
          <w:bCs/>
        </w:rPr>
        <w:t>、私たちは次のような質問をすることを委員会に強く求める：中国における人権擁護者（および市民社会組織、および国際的に認知されている人権を促進し保護しようとする他の人々）が、いかなる種類の脅迫または威嚇行為や嫌がらせの恐れなしに、安全で協力的な環境で、平和的かつ合法的な活動を行うことができるようにするために、締約国はどのような措置を講じましたか？</w:t>
      </w:r>
      <w:r w:rsidR="00917FBB" w:rsidRPr="0088556C">
        <w:rPr>
          <w:rFonts w:ascii="ＭＳ 明朝" w:eastAsia="ＭＳ 明朝" w:hAnsi="ＭＳ 明朝" w:hint="eastAsia"/>
          <w:b/>
          <w:bCs/>
        </w:rPr>
        <w:t xml:space="preserve">　</w:t>
      </w:r>
    </w:p>
    <w:p w14:paraId="17043C7E" w14:textId="77777777" w:rsidR="006915A6" w:rsidRPr="0088556C" w:rsidRDefault="006915A6" w:rsidP="006915A6">
      <w:pPr>
        <w:rPr>
          <w:rFonts w:ascii="ＭＳ 明朝" w:eastAsia="ＭＳ 明朝" w:hAnsi="ＭＳ 明朝"/>
        </w:rPr>
      </w:pPr>
    </w:p>
    <w:p w14:paraId="18916825" w14:textId="1E4AC245" w:rsidR="006915A6" w:rsidRPr="0088556C" w:rsidRDefault="006915A6" w:rsidP="006915A6">
      <w:pPr>
        <w:rPr>
          <w:rFonts w:ascii="ＭＳ 明朝" w:eastAsia="ＭＳ 明朝" w:hAnsi="ＭＳ 明朝"/>
          <w:b/>
          <w:bCs/>
        </w:rPr>
      </w:pPr>
      <w:r w:rsidRPr="0088556C">
        <w:rPr>
          <w:rFonts w:ascii="ＭＳ 明朝" w:eastAsia="ＭＳ 明朝" w:hAnsi="ＭＳ 明朝"/>
          <w:b/>
          <w:bCs/>
        </w:rPr>
        <w:t>5.</w:t>
      </w:r>
      <w:r w:rsidRPr="0088556C">
        <w:rPr>
          <w:rFonts w:ascii="ＭＳ 明朝" w:eastAsia="ＭＳ 明朝" w:hAnsi="ＭＳ 明朝"/>
          <w:b/>
          <w:bCs/>
        </w:rPr>
        <w:tab/>
        <w:t>第33条：国</w:t>
      </w:r>
      <w:r w:rsidR="00917FBB" w:rsidRPr="0088556C">
        <w:rPr>
          <w:rFonts w:ascii="ＭＳ 明朝" w:eastAsia="ＭＳ 明朝" w:hAnsi="ＭＳ 明朝" w:hint="eastAsia"/>
          <w:b/>
          <w:bCs/>
        </w:rPr>
        <w:t>内</w:t>
      </w:r>
      <w:r w:rsidRPr="0088556C">
        <w:rPr>
          <w:rFonts w:ascii="ＭＳ 明朝" w:eastAsia="ＭＳ 明朝" w:hAnsi="ＭＳ 明朝"/>
          <w:b/>
          <w:bCs/>
        </w:rPr>
        <w:t xml:space="preserve">での実施と監視 </w:t>
      </w:r>
    </w:p>
    <w:p w14:paraId="1D551A07" w14:textId="77777777" w:rsidR="006915A6" w:rsidRPr="0088556C" w:rsidRDefault="006915A6" w:rsidP="006915A6">
      <w:pPr>
        <w:rPr>
          <w:rFonts w:ascii="ＭＳ 明朝" w:eastAsia="ＭＳ 明朝" w:hAnsi="ＭＳ 明朝"/>
        </w:rPr>
      </w:pPr>
    </w:p>
    <w:p w14:paraId="64D43610" w14:textId="77777777" w:rsidR="006915A6" w:rsidRPr="0088556C" w:rsidRDefault="006915A6" w:rsidP="005D79FD">
      <w:pPr>
        <w:ind w:firstLineChars="100" w:firstLine="210"/>
        <w:rPr>
          <w:rFonts w:ascii="ＭＳ 明朝" w:eastAsia="ＭＳ 明朝" w:hAnsi="ＭＳ 明朝"/>
        </w:rPr>
      </w:pPr>
      <w:r w:rsidRPr="0088556C">
        <w:rPr>
          <w:rFonts w:ascii="ＭＳ 明朝" w:eastAsia="ＭＳ 明朝" w:hAnsi="ＭＳ 明朝" w:hint="eastAsia"/>
        </w:rPr>
        <w:t>中国の第</w:t>
      </w:r>
      <w:r w:rsidRPr="0088556C">
        <w:rPr>
          <w:rFonts w:ascii="ＭＳ 明朝" w:eastAsia="ＭＳ 明朝" w:hAnsi="ＭＳ 明朝"/>
        </w:rPr>
        <w:t>1回報告に対する2012年の審査において、委員会は、条約の実施を監視する独立した機関や組織が存在しないことに懸念を示した。そこで委員会は、「条約に沿って、また、人権の促進と保護のための国家機関の地位に関する原則に従って、独立した国家監視機構を設立すること」を勧告した。</w:t>
      </w:r>
    </w:p>
    <w:p w14:paraId="3C2AF481" w14:textId="77777777" w:rsidR="006915A6" w:rsidRPr="0088556C" w:rsidRDefault="006915A6" w:rsidP="006915A6">
      <w:pPr>
        <w:rPr>
          <w:rFonts w:ascii="ＭＳ 明朝" w:eastAsia="ＭＳ 明朝" w:hAnsi="ＭＳ 明朝"/>
        </w:rPr>
      </w:pPr>
    </w:p>
    <w:p w14:paraId="56F2D9E5" w14:textId="77777777" w:rsidR="006915A6" w:rsidRPr="0088556C" w:rsidRDefault="006915A6" w:rsidP="005D79FD">
      <w:pPr>
        <w:ind w:firstLineChars="100" w:firstLine="210"/>
        <w:rPr>
          <w:rFonts w:ascii="ＭＳ 明朝" w:eastAsia="ＭＳ 明朝" w:hAnsi="ＭＳ 明朝"/>
        </w:rPr>
      </w:pPr>
      <w:r w:rsidRPr="0088556C">
        <w:rPr>
          <w:rFonts w:ascii="ＭＳ 明朝" w:eastAsia="ＭＳ 明朝" w:hAnsi="ＭＳ 明朝" w:hint="eastAsia"/>
        </w:rPr>
        <w:t>中国政府は締約国報告の中で、国務院の障害者工作委員会が「条約の実施を促進」し、障害者に関連する問題について国連との関わりを総合的に調整する役割を担っていると主張している（パラ</w:t>
      </w:r>
      <w:r w:rsidRPr="0088556C">
        <w:rPr>
          <w:rFonts w:ascii="ＭＳ 明朝" w:eastAsia="ＭＳ 明朝" w:hAnsi="ＭＳ 明朝"/>
        </w:rPr>
        <w:t>154）。</w:t>
      </w:r>
    </w:p>
    <w:p w14:paraId="3D9E08A6" w14:textId="77777777" w:rsidR="006915A6" w:rsidRPr="0088556C" w:rsidRDefault="006915A6" w:rsidP="006915A6">
      <w:pPr>
        <w:rPr>
          <w:rFonts w:ascii="ＭＳ 明朝" w:eastAsia="ＭＳ 明朝" w:hAnsi="ＭＳ 明朝"/>
        </w:rPr>
      </w:pPr>
    </w:p>
    <w:p w14:paraId="72BE95B4" w14:textId="77777777" w:rsidR="006915A6" w:rsidRPr="0088556C" w:rsidRDefault="006915A6" w:rsidP="005D79FD">
      <w:pPr>
        <w:ind w:firstLineChars="100" w:firstLine="210"/>
        <w:rPr>
          <w:rFonts w:ascii="ＭＳ 明朝" w:eastAsia="ＭＳ 明朝" w:hAnsi="ＭＳ 明朝"/>
        </w:rPr>
      </w:pPr>
      <w:r w:rsidRPr="0088556C">
        <w:rPr>
          <w:rFonts w:ascii="ＭＳ 明朝" w:eastAsia="ＭＳ 明朝" w:hAnsi="ＭＳ 明朝" w:hint="eastAsia"/>
        </w:rPr>
        <w:t>しかし、前回の審査以降、私たちの評価と追跡調査によると、中国政府は、パリ原則に沿った国家人権機関を設立する必要性に対するアプローチをほとんど変えていない。中国政府は、これに優先的に取り組むのではなく、そのような取り組みを「検討する」ことを好んでいるが、このプロセスはまだ実を結んでおらず、具体的な進捗を評価するのは困難である。</w:t>
      </w:r>
    </w:p>
    <w:p w14:paraId="14820C96" w14:textId="77777777" w:rsidR="006915A6" w:rsidRPr="0088556C" w:rsidRDefault="006915A6" w:rsidP="006915A6">
      <w:pPr>
        <w:rPr>
          <w:rFonts w:ascii="ＭＳ 明朝" w:eastAsia="ＭＳ 明朝" w:hAnsi="ＭＳ 明朝"/>
        </w:rPr>
      </w:pPr>
    </w:p>
    <w:p w14:paraId="5C298313" w14:textId="77777777" w:rsidR="006915A6" w:rsidRPr="0088556C" w:rsidRDefault="006915A6" w:rsidP="005D79FD">
      <w:pPr>
        <w:ind w:left="424" w:hangingChars="202" w:hanging="424"/>
        <w:rPr>
          <w:rFonts w:ascii="ＭＳ 明朝" w:eastAsia="ＭＳ 明朝" w:hAnsi="ＭＳ 明朝"/>
        </w:rPr>
      </w:pPr>
      <w:r w:rsidRPr="0088556C">
        <w:rPr>
          <w:rFonts w:ascii="ＭＳ 明朝" w:eastAsia="ＭＳ 明朝" w:hAnsi="ＭＳ 明朝" w:hint="eastAsia"/>
        </w:rPr>
        <w:t>・　中国は</w:t>
      </w:r>
      <w:r w:rsidRPr="0088556C">
        <w:rPr>
          <w:rFonts w:ascii="ＭＳ 明朝" w:eastAsia="ＭＳ 明朝" w:hAnsi="ＭＳ 明朝"/>
        </w:rPr>
        <w:t>2014年に、NHRI（国家人権機関）の設立に明確に関連するUPR（普遍的定期的審査）の勧告を受け入れた。</w:t>
      </w:r>
    </w:p>
    <w:p w14:paraId="3F964CAA" w14:textId="77777777" w:rsidR="006915A6" w:rsidRPr="0088556C" w:rsidRDefault="006915A6" w:rsidP="005D79FD">
      <w:pPr>
        <w:ind w:left="424" w:hangingChars="202" w:hanging="424"/>
        <w:rPr>
          <w:rFonts w:ascii="ＭＳ 明朝" w:eastAsia="ＭＳ 明朝" w:hAnsi="ＭＳ 明朝"/>
        </w:rPr>
      </w:pPr>
      <w:r w:rsidRPr="0088556C">
        <w:rPr>
          <w:rFonts w:ascii="ＭＳ 明朝" w:eastAsia="ＭＳ 明朝" w:hAnsi="ＭＳ 明朝" w:hint="eastAsia"/>
        </w:rPr>
        <w:t>・　同年末、中国は経済・社会・文化権委員会に対し、</w:t>
      </w:r>
      <w:r w:rsidRPr="0088556C">
        <w:rPr>
          <w:rFonts w:ascii="ＭＳ 明朝" w:eastAsia="ＭＳ 明朝" w:hAnsi="ＭＳ 明朝"/>
        </w:rPr>
        <w:t>NHRIは設立していないものの、同様の機能を果たす目的の25の新しい政府機関の設立を監督していると報告した。同委員会は総括所見において、（パリ原則に沿った）NHRIが存在しないことに懸念を表明し、政府機関は「そのような機関に取って代わるものではない」と指摘した。</w:t>
      </w:r>
    </w:p>
    <w:p w14:paraId="0407EAA8" w14:textId="483B4D94" w:rsidR="006915A6" w:rsidRPr="0088556C" w:rsidRDefault="006915A6" w:rsidP="00366F82">
      <w:pPr>
        <w:widowControl/>
        <w:jc w:val="left"/>
        <w:rPr>
          <w:rFonts w:ascii="ＭＳ 明朝" w:eastAsia="ＭＳ 明朝" w:hAnsi="ＭＳ 明朝"/>
        </w:rPr>
      </w:pPr>
      <w:r w:rsidRPr="0088556C">
        <w:rPr>
          <w:rFonts w:ascii="ＭＳ 明朝" w:eastAsia="ＭＳ 明朝" w:hAnsi="ＭＳ 明朝" w:hint="eastAsia"/>
        </w:rPr>
        <w:lastRenderedPageBreak/>
        <w:t>・　このことは、</w:t>
      </w:r>
      <w:r w:rsidRPr="0088556C">
        <w:rPr>
          <w:rFonts w:ascii="ＭＳ 明朝" w:eastAsia="ＭＳ 明朝" w:hAnsi="ＭＳ 明朝"/>
        </w:rPr>
        <w:t>2015年に拷問禁止委員会が中国との対話の中でNHRIの設立を求めた際にも同様に指摘された</w:t>
      </w:r>
      <w:r w:rsidR="00366F82" w:rsidRPr="0088556C">
        <w:rPr>
          <w:rStyle w:val="a9"/>
          <w:rFonts w:ascii="ＭＳ 明朝" w:eastAsia="ＭＳ 明朝" w:hAnsi="ＭＳ 明朝"/>
          <w:kern w:val="0"/>
        </w:rPr>
        <w:footnoteReference w:id="11"/>
      </w:r>
      <w:r w:rsidRPr="0088556C">
        <w:rPr>
          <w:rFonts w:ascii="ＭＳ 明朝" w:eastAsia="ＭＳ 明朝" w:hAnsi="ＭＳ 明朝"/>
        </w:rPr>
        <w:t>。政府は、さまざまな部門が人権保護に責任を負っているが、「国家人権機関の設立をさらに検討する」と回答した。</w:t>
      </w:r>
    </w:p>
    <w:p w14:paraId="3EC1DACA" w14:textId="1EA7B6E4" w:rsidR="006915A6" w:rsidRPr="0088556C" w:rsidRDefault="006915A6" w:rsidP="00366F82">
      <w:pPr>
        <w:widowControl/>
        <w:jc w:val="left"/>
        <w:rPr>
          <w:rFonts w:ascii="ＭＳ 明朝" w:eastAsia="ＭＳ 明朝" w:hAnsi="ＭＳ 明朝"/>
        </w:rPr>
      </w:pPr>
      <w:r w:rsidRPr="0088556C">
        <w:rPr>
          <w:rFonts w:ascii="ＭＳ 明朝" w:eastAsia="ＭＳ 明朝" w:hAnsi="ＭＳ 明朝" w:hint="eastAsia"/>
        </w:rPr>
        <w:t>・　人種差別撤廃委員会は、</w:t>
      </w:r>
      <w:r w:rsidRPr="0088556C">
        <w:rPr>
          <w:rFonts w:ascii="ＭＳ 明朝" w:eastAsia="ＭＳ 明朝" w:hAnsi="ＭＳ 明朝"/>
        </w:rPr>
        <w:t>2018年の審査でNHRIの設立を求め</w:t>
      </w:r>
      <w:r w:rsidR="00366F82" w:rsidRPr="0088556C">
        <w:rPr>
          <w:rStyle w:val="a9"/>
          <w:rFonts w:ascii="ＭＳ 明朝" w:eastAsia="ＭＳ 明朝" w:hAnsi="ＭＳ 明朝"/>
          <w:kern w:val="0"/>
        </w:rPr>
        <w:footnoteReference w:id="12"/>
      </w:r>
      <w:r w:rsidRPr="0088556C">
        <w:rPr>
          <w:rFonts w:ascii="ＭＳ 明朝" w:eastAsia="ＭＳ 明朝" w:hAnsi="ＭＳ 明朝"/>
        </w:rPr>
        <w:t>、また、香港の機会均等委員会が「国内人権機関世界連合」からC評価を受け、「完全に独立しておらず、被害者がアクセスできない」という懸念を指摘した。これに対し、中国代表団は「必要性がない」として、勧告を拒否した。</w:t>
      </w:r>
    </w:p>
    <w:p w14:paraId="2DF35438" w14:textId="77777777" w:rsidR="006915A6" w:rsidRPr="0088556C" w:rsidRDefault="006915A6" w:rsidP="005D79FD">
      <w:pPr>
        <w:ind w:left="424" w:hangingChars="202" w:hanging="424"/>
        <w:rPr>
          <w:rFonts w:ascii="ＭＳ 明朝" w:eastAsia="ＭＳ 明朝" w:hAnsi="ＭＳ 明朝"/>
        </w:rPr>
      </w:pPr>
      <w:r w:rsidRPr="0088556C">
        <w:rPr>
          <w:rFonts w:ascii="ＭＳ 明朝" w:eastAsia="ＭＳ 明朝" w:hAnsi="ＭＳ 明朝" w:hint="eastAsia"/>
        </w:rPr>
        <w:t xml:space="preserve">・　</w:t>
      </w:r>
      <w:r w:rsidRPr="0088556C">
        <w:rPr>
          <w:rFonts w:ascii="ＭＳ 明朝" w:eastAsia="ＭＳ 明朝" w:hAnsi="ＭＳ 明朝"/>
        </w:rPr>
        <w:t>2018年の第3回UPRサイクルでは、中国はパリ原則に則ってNHRIの設立を検討するという5つの勧告を受け入れたものの、NHRIを明確に設立するという7つの勧告は拒否した。さらに、「NHRIを設立していない」としながらも、「中国の多くの政府機関が同様の責任を負っている」と述べている。</w:t>
      </w:r>
    </w:p>
    <w:p w14:paraId="6AF2C434" w14:textId="77777777" w:rsidR="006915A6" w:rsidRPr="0088556C" w:rsidRDefault="006915A6" w:rsidP="006915A6">
      <w:pPr>
        <w:rPr>
          <w:rFonts w:ascii="ＭＳ 明朝" w:eastAsia="ＭＳ 明朝" w:hAnsi="ＭＳ 明朝"/>
        </w:rPr>
      </w:pPr>
    </w:p>
    <w:p w14:paraId="7E5DF340" w14:textId="77777777" w:rsidR="006915A6" w:rsidRPr="0088556C" w:rsidRDefault="006915A6" w:rsidP="005D79FD">
      <w:pPr>
        <w:ind w:firstLineChars="100" w:firstLine="211"/>
        <w:rPr>
          <w:rFonts w:ascii="ＭＳ 明朝" w:eastAsia="ＭＳ 明朝" w:hAnsi="ＭＳ 明朝"/>
          <w:b/>
          <w:bCs/>
        </w:rPr>
      </w:pPr>
      <w:r w:rsidRPr="0088556C">
        <w:rPr>
          <w:rFonts w:ascii="ＭＳ 明朝" w:eastAsia="ＭＳ 明朝" w:hAnsi="ＭＳ 明朝" w:hint="eastAsia"/>
          <w:b/>
          <w:bCs/>
        </w:rPr>
        <w:t>われわれは委員会が、中国に対し、本条約およびその他の国際人権条約の下での義務を果たすための努力を含め、人権を監視・促進するための既存の第三者・独立機関の仕組みの概要を提供するよう要請し、また、国家人権行動計画とそのような義務との間のギャップの分析を提供するよう要請することを求める。委員会は政府に対し、正式な審査のために、</w:t>
      </w:r>
      <w:r w:rsidRPr="0088556C">
        <w:rPr>
          <w:rFonts w:ascii="ＭＳ 明朝" w:eastAsia="ＭＳ 明朝" w:hAnsi="ＭＳ 明朝"/>
          <w:b/>
          <w:bCs/>
        </w:rPr>
        <w:t>NHRIを設立するための期限付きの行動計画を作成し、それはパリ原則に準拠したものとするよう促すべきである。</w:t>
      </w:r>
    </w:p>
    <w:p w14:paraId="26BD6981" w14:textId="7549E1E5" w:rsidR="00A02E8A" w:rsidRPr="0088556C" w:rsidRDefault="006915A6" w:rsidP="006915A6">
      <w:pPr>
        <w:jc w:val="right"/>
        <w:rPr>
          <w:rFonts w:ascii="ＭＳ 明朝" w:eastAsia="ＭＳ 明朝" w:hAnsi="ＭＳ 明朝"/>
        </w:rPr>
      </w:pPr>
      <w:r w:rsidRPr="0088556C">
        <w:rPr>
          <w:rFonts w:ascii="ＭＳ 明朝" w:eastAsia="ＭＳ 明朝" w:hAnsi="ＭＳ 明朝" w:hint="eastAsia"/>
        </w:rPr>
        <w:t>（翻訳：佐藤久夫、宮澤明音）</w:t>
      </w:r>
    </w:p>
    <w:sectPr w:rsidR="00A02E8A" w:rsidRPr="0088556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9B31" w14:textId="77777777" w:rsidR="005D79FD" w:rsidRDefault="005D79FD" w:rsidP="005D79FD">
      <w:r>
        <w:separator/>
      </w:r>
    </w:p>
  </w:endnote>
  <w:endnote w:type="continuationSeparator" w:id="0">
    <w:p w14:paraId="787D38FA" w14:textId="77777777" w:rsidR="005D79FD" w:rsidRDefault="005D79FD" w:rsidP="005D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2670"/>
      <w:docPartObj>
        <w:docPartGallery w:val="Page Numbers (Bottom of Page)"/>
        <w:docPartUnique/>
      </w:docPartObj>
    </w:sdtPr>
    <w:sdtEndPr/>
    <w:sdtContent>
      <w:p w14:paraId="145092F9" w14:textId="467E3420" w:rsidR="005D79FD" w:rsidRDefault="005D79FD">
        <w:pPr>
          <w:pStyle w:val="a5"/>
        </w:pPr>
        <w:r>
          <w:fldChar w:fldCharType="begin"/>
        </w:r>
        <w:r>
          <w:instrText>PAGE   \* MERGEFORMAT</w:instrText>
        </w:r>
        <w:r>
          <w:fldChar w:fldCharType="separate"/>
        </w:r>
        <w:r>
          <w:rPr>
            <w:lang w:val="ja-JP"/>
          </w:rPr>
          <w:t>2</w:t>
        </w:r>
        <w:r>
          <w:fldChar w:fldCharType="end"/>
        </w:r>
      </w:p>
    </w:sdtContent>
  </w:sdt>
  <w:p w14:paraId="5BDC2962" w14:textId="77777777" w:rsidR="005D79FD" w:rsidRDefault="005D79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3C43" w14:textId="77777777" w:rsidR="005D79FD" w:rsidRDefault="005D79FD" w:rsidP="005D79FD">
      <w:r>
        <w:separator/>
      </w:r>
    </w:p>
  </w:footnote>
  <w:footnote w:type="continuationSeparator" w:id="0">
    <w:p w14:paraId="2C0E037D" w14:textId="77777777" w:rsidR="005D79FD" w:rsidRDefault="005D79FD" w:rsidP="005D79FD">
      <w:r>
        <w:continuationSeparator/>
      </w:r>
    </w:p>
  </w:footnote>
  <w:footnote w:id="1">
    <w:p w14:paraId="59E8BBE7" w14:textId="24F4A7BB" w:rsidR="005D79FD" w:rsidRDefault="005D79FD" w:rsidP="005D79FD">
      <w:pPr>
        <w:pStyle w:val="a7"/>
        <w:ind w:left="0" w:firstLine="0"/>
      </w:pPr>
      <w:r>
        <w:rPr>
          <w:rStyle w:val="a9"/>
        </w:rPr>
        <w:footnoteRef/>
      </w:r>
      <w:r>
        <w:t xml:space="preserve">  </w:t>
      </w:r>
      <w:r w:rsidRPr="005D79FD">
        <w:rPr>
          <w:rFonts w:ascii="ＭＳ 明朝" w:eastAsia="ＭＳ 明朝" w:hAnsi="ＭＳ 明朝" w:cs="ＭＳ 明朝" w:hint="eastAsia"/>
        </w:rPr>
        <w:t>この投稿は、中国の人権擁護団体からの情報に基づいて作成されたものであるが、安全上の理由から匿名となっている。</w:t>
      </w:r>
    </w:p>
  </w:footnote>
  <w:footnote w:id="2">
    <w:p w14:paraId="62B3CE6E" w14:textId="77777777" w:rsidR="005D79FD" w:rsidRDefault="005D79FD" w:rsidP="005D79FD">
      <w:pPr>
        <w:pStyle w:val="a7"/>
      </w:pPr>
      <w:r>
        <w:rPr>
          <w:rStyle w:val="aa"/>
        </w:rPr>
        <w:footnoteRef/>
      </w:r>
      <w:r>
        <w:t xml:space="preserve">. </w:t>
      </w:r>
      <w:r>
        <w:rPr>
          <w:rFonts w:ascii="ＭＳ 明朝" w:eastAsia="ＭＳ 明朝" w:hAnsi="ＭＳ 明朝" w:cs="ＭＳ 明朝" w:hint="eastAsia"/>
        </w:rPr>
        <w:t>中国政府网：《残疾人教育条例》第三条</w:t>
      </w:r>
      <w:r>
        <w:t>,</w:t>
      </w:r>
      <w:hyperlink r:id="rId1" w:history="1">
        <w:r>
          <w:rPr>
            <w:rStyle w:val="Internet"/>
          </w:rPr>
          <w:t>http://www.gov.cn/zhengce/content/2017-02/23/content_5170264.htm</w:t>
        </w:r>
      </w:hyperlink>
      <w:hyperlink>
        <w:r>
          <w:t xml:space="preserve"> .</w:t>
        </w:r>
      </w:hyperlink>
    </w:p>
  </w:footnote>
  <w:footnote w:id="3">
    <w:p w14:paraId="1782C3E0" w14:textId="77777777" w:rsidR="005D79FD" w:rsidRDefault="005D79FD" w:rsidP="005D79FD">
      <w:pPr>
        <w:pStyle w:val="a7"/>
        <w:ind w:left="0" w:firstLine="0"/>
      </w:pPr>
      <w:r>
        <w:rPr>
          <w:rStyle w:val="aa"/>
        </w:rPr>
        <w:footnoteRef/>
      </w:r>
      <w:r>
        <w:t>.</w:t>
      </w:r>
      <w:r>
        <w:rPr>
          <w:rFonts w:ascii="ＭＳ 明朝" w:eastAsia="ＭＳ 明朝" w:hAnsi="ＭＳ 明朝" w:cs="ＭＳ 明朝" w:hint="eastAsia"/>
        </w:rPr>
        <w:t>教育部</w:t>
      </w:r>
      <w:r>
        <w:t>:</w:t>
      </w:r>
      <w:r>
        <w:rPr>
          <w:rFonts w:ascii="ＭＳ 明朝" w:eastAsia="ＭＳ 明朝" w:hAnsi="ＭＳ 明朝" w:cs="ＭＳ 明朝" w:hint="eastAsia"/>
        </w:rPr>
        <w:t>教育部等七部</w:t>
      </w:r>
      <w:r>
        <w:rPr>
          <w:rFonts w:ascii="Microsoft JhengHei" w:eastAsia="Microsoft JhengHei" w:hAnsi="Microsoft JhengHei" w:cs="Microsoft JhengHei" w:hint="eastAsia"/>
        </w:rPr>
        <w:t>门关于印发《第二期特殊教育提升计划（</w:t>
      </w:r>
      <w:r>
        <w:t>2017-2020</w:t>
      </w:r>
      <w:r>
        <w:rPr>
          <w:rFonts w:ascii="ＭＳ 明朝" w:eastAsia="ＭＳ 明朝" w:hAnsi="ＭＳ 明朝" w:cs="ＭＳ 明朝" w:hint="eastAsia"/>
        </w:rPr>
        <w:t>年）》的通知</w:t>
      </w:r>
      <w:r>
        <w:t>,</w:t>
      </w:r>
      <w:hyperlink r:id="rId2" w:history="1">
        <w:r>
          <w:rPr>
            <w:rStyle w:val="Internet"/>
          </w:rPr>
          <w:t>http://www.moe.gov.cn/srcsite/A06/s3331/201707/t20170720_309687.html</w:t>
        </w:r>
      </w:hyperlink>
      <w:hyperlink>
        <w:r>
          <w:t xml:space="preserve">. </w:t>
        </w:r>
      </w:hyperlink>
    </w:p>
  </w:footnote>
  <w:footnote w:id="4">
    <w:p w14:paraId="3541453A" w14:textId="77777777" w:rsidR="005D79FD" w:rsidRDefault="005D79FD" w:rsidP="005D79FD">
      <w:pPr>
        <w:pStyle w:val="a7"/>
      </w:pPr>
      <w:r>
        <w:rPr>
          <w:rStyle w:val="a9"/>
        </w:rPr>
        <w:footnoteRef/>
      </w:r>
      <w:r>
        <w:t xml:space="preserve"> CRPD/C/CHN/2-3, para. </w:t>
      </w:r>
      <w:r>
        <w:rPr>
          <w:lang w:val="en-GB"/>
        </w:rPr>
        <w:t>120</w:t>
      </w:r>
      <w:r>
        <w:t>.</w:t>
      </w:r>
    </w:p>
  </w:footnote>
  <w:footnote w:id="5">
    <w:p w14:paraId="2CBE7628" w14:textId="77777777" w:rsidR="003F1C38" w:rsidRDefault="003F1C38" w:rsidP="003F1C38">
      <w:pPr>
        <w:pStyle w:val="a7"/>
        <w:ind w:left="0" w:firstLine="0"/>
      </w:pPr>
      <w:r>
        <w:rPr>
          <w:rStyle w:val="a9"/>
        </w:rPr>
        <w:footnoteRef/>
      </w:r>
      <w:r>
        <w:t xml:space="preserve"> It can be inferred that some </w:t>
      </w:r>
      <w:proofErr w:type="spellStart"/>
      <w:r>
        <w:t>organisations</w:t>
      </w:r>
      <w:proofErr w:type="spellEnd"/>
      <w:r>
        <w:t xml:space="preserve"> provide multiple services, thus accounting for a sum significantly larger than</w:t>
      </w:r>
      <w:r>
        <w:rPr>
          <w:lang w:val="en-GB"/>
        </w:rPr>
        <w:t xml:space="preserve"> </w:t>
      </w:r>
      <w:r>
        <w:t xml:space="preserve">the overall total provided earlier in the paragraph. </w:t>
      </w:r>
    </w:p>
  </w:footnote>
  <w:footnote w:id="6">
    <w:p w14:paraId="224FFC86" w14:textId="77777777" w:rsidR="003F1C38" w:rsidRDefault="003F1C38" w:rsidP="003F1C38">
      <w:pPr>
        <w:pStyle w:val="a7"/>
      </w:pPr>
      <w:r>
        <w:rPr>
          <w:rStyle w:val="a9"/>
        </w:rPr>
        <w:footnoteRef/>
      </w:r>
      <w:r>
        <w:t xml:space="preserve"> CRPD/C/CHN/2-3, para. 5.</w:t>
      </w:r>
    </w:p>
  </w:footnote>
  <w:footnote w:id="7">
    <w:p w14:paraId="65213F6C" w14:textId="77777777" w:rsidR="003F1C38" w:rsidRDefault="003F1C38" w:rsidP="003F1C38">
      <w:pPr>
        <w:pStyle w:val="a7"/>
        <w:ind w:left="0" w:firstLine="0"/>
      </w:pPr>
      <w:r>
        <w:rPr>
          <w:rStyle w:val="aa"/>
        </w:rPr>
        <w:footnoteRef/>
      </w:r>
      <w:r>
        <w:t>.</w:t>
      </w:r>
      <w:r>
        <w:rPr>
          <w:rFonts w:ascii="ＭＳ 明朝" w:eastAsia="ＭＳ 明朝" w:hAnsi="ＭＳ 明朝" w:cs="ＭＳ 明朝" w:hint="eastAsia"/>
        </w:rPr>
        <w:t>人民政</w:t>
      </w:r>
      <w:r>
        <w:rPr>
          <w:rFonts w:ascii="Microsoft JhengHei" w:eastAsia="Microsoft JhengHei" w:hAnsi="Microsoft JhengHei" w:cs="Microsoft JhengHei" w:hint="eastAsia"/>
        </w:rPr>
        <w:t>协网</w:t>
      </w:r>
      <w:r>
        <w:t>:</w:t>
      </w:r>
      <w:r>
        <w:rPr>
          <w:rFonts w:ascii="ＭＳ 明朝" w:eastAsia="ＭＳ 明朝" w:hAnsi="ＭＳ 明朝" w:cs="ＭＳ 明朝" w:hint="eastAsia"/>
        </w:rPr>
        <w:t>《</w:t>
      </w:r>
      <w:r>
        <w:t>2018</w:t>
      </w:r>
      <w:r>
        <w:rPr>
          <w:rFonts w:ascii="ＭＳ 明朝" w:eastAsia="ＭＳ 明朝" w:hAnsi="ＭＳ 明朝" w:cs="ＭＳ 明朝" w:hint="eastAsia"/>
        </w:rPr>
        <w:t>年残疾人事</w:t>
      </w:r>
      <w:r>
        <w:rPr>
          <w:rFonts w:ascii="Microsoft JhengHei" w:eastAsia="Microsoft JhengHei" w:hAnsi="Microsoft JhengHei" w:cs="Microsoft JhengHei" w:hint="eastAsia"/>
        </w:rPr>
        <w:t>业发展统计公报》发布</w:t>
      </w:r>
      <w:r>
        <w:t>,</w:t>
      </w:r>
      <w:hyperlink r:id="rId3" w:history="1">
        <w:r>
          <w:rPr>
            <w:rStyle w:val="Internet"/>
          </w:rPr>
          <w:t>http://csgy.rmzxb.com.cn/c/2019-04-02/2322811.shtml</w:t>
        </w:r>
      </w:hyperlink>
      <w:hyperlink>
        <w:r>
          <w:t xml:space="preserve">. </w:t>
        </w:r>
      </w:hyperlink>
    </w:p>
  </w:footnote>
  <w:footnote w:id="8">
    <w:p w14:paraId="3EF5F4BE" w14:textId="77777777" w:rsidR="003F1C38" w:rsidRDefault="003F1C38" w:rsidP="003F1C38">
      <w:pPr>
        <w:pStyle w:val="a7"/>
        <w:ind w:left="0" w:firstLine="0"/>
      </w:pPr>
      <w:r>
        <w:rPr>
          <w:rStyle w:val="aa"/>
        </w:rPr>
        <w:footnoteRef/>
      </w:r>
      <w:r>
        <w:t>.</w:t>
      </w:r>
      <w:r>
        <w:rPr>
          <w:rFonts w:ascii="ＭＳ 明朝" w:eastAsia="ＭＳ 明朝" w:hAnsi="ＭＳ 明朝" w:cs="ＭＳ 明朝" w:hint="eastAsia"/>
        </w:rPr>
        <w:t>国</w:t>
      </w:r>
      <w:r>
        <w:rPr>
          <w:rFonts w:ascii="Microsoft JhengHei" w:eastAsia="Microsoft JhengHei" w:hAnsi="Microsoft JhengHei" w:cs="Microsoft JhengHei" w:hint="eastAsia"/>
        </w:rPr>
        <w:t>务院新闻办</w:t>
      </w:r>
      <w:r>
        <w:t>:</w:t>
      </w:r>
      <w:r>
        <w:rPr>
          <w:rFonts w:ascii="ＭＳ 明朝" w:eastAsia="ＭＳ 明朝" w:hAnsi="ＭＳ 明朝" w:cs="ＭＳ 明朝" w:hint="eastAsia"/>
        </w:rPr>
        <w:t>《平等、参与、共享：新中国残疾人</w:t>
      </w:r>
      <w:r>
        <w:rPr>
          <w:rFonts w:ascii="Microsoft JhengHei" w:eastAsia="Microsoft JhengHei" w:hAnsi="Microsoft JhengHei" w:cs="Microsoft JhengHei" w:hint="eastAsia"/>
        </w:rPr>
        <w:t>权益保障</w:t>
      </w:r>
      <w:r>
        <w:t>70</w:t>
      </w:r>
      <w:r>
        <w:rPr>
          <w:rFonts w:ascii="ＭＳ 明朝" w:eastAsia="ＭＳ 明朝" w:hAnsi="ＭＳ 明朝" w:cs="ＭＳ 明朝" w:hint="eastAsia"/>
        </w:rPr>
        <w:t>年》白皮</w:t>
      </w:r>
      <w:r>
        <w:rPr>
          <w:rFonts w:ascii="Microsoft JhengHei" w:eastAsia="Microsoft JhengHei" w:hAnsi="Microsoft JhengHei" w:cs="Microsoft JhengHei" w:hint="eastAsia"/>
        </w:rPr>
        <w:t>书</w:t>
      </w:r>
      <w:r>
        <w:t>,</w:t>
      </w:r>
      <w:r>
        <w:rPr>
          <w:lang w:val="en-GB"/>
        </w:rPr>
        <w:t xml:space="preserve"> </w:t>
      </w:r>
      <w:hyperlink r:id="rId4" w:history="1">
        <w:r>
          <w:rPr>
            <w:rStyle w:val="ac"/>
          </w:rPr>
          <w:t>http://www.scio.gov.cn/zfbps/ndhf/39911/Document/1660531/1660531.htm</w:t>
        </w:r>
      </w:hyperlink>
      <w:hyperlink>
        <w:r>
          <w:t xml:space="preserve">. </w:t>
        </w:r>
      </w:hyperlink>
    </w:p>
  </w:footnote>
  <w:footnote w:id="9">
    <w:p w14:paraId="632AC75A" w14:textId="77777777" w:rsidR="00366F82" w:rsidRDefault="00366F82" w:rsidP="00366F82">
      <w:pPr>
        <w:pStyle w:val="a7"/>
      </w:pPr>
      <w:r>
        <w:rPr>
          <w:rStyle w:val="a9"/>
        </w:rPr>
        <w:footnoteRef/>
      </w:r>
      <w:r>
        <w:t xml:space="preserve"> https://wqw2010.blogspot.com/2017/08/blog-post_73.html</w:t>
      </w:r>
    </w:p>
  </w:footnote>
  <w:footnote w:id="10">
    <w:p w14:paraId="18B202C1" w14:textId="77777777" w:rsidR="00366F82" w:rsidRDefault="00366F82" w:rsidP="00366F82">
      <w:pPr>
        <w:pStyle w:val="a7"/>
      </w:pPr>
      <w:r>
        <w:rPr>
          <w:rStyle w:val="a9"/>
        </w:rPr>
        <w:footnoteRef/>
      </w:r>
      <w:r>
        <w:t xml:space="preserve"> </w:t>
      </w:r>
      <w:hyperlink r:id="rId5" w:history="1">
        <w:r>
          <w:rPr>
            <w:rStyle w:val="ac"/>
          </w:rPr>
          <w:t>https://spcommreports.ohchr.org/TMResultsBase/DownLoadPublicCommunicationFile?gId=24845</w:t>
        </w:r>
      </w:hyperlink>
      <w:r>
        <w:t xml:space="preserve"> </w:t>
      </w:r>
    </w:p>
  </w:footnote>
  <w:footnote w:id="11">
    <w:p w14:paraId="26D5D2B5" w14:textId="77777777" w:rsidR="00366F82" w:rsidRDefault="00366F82" w:rsidP="00366F82">
      <w:pPr>
        <w:pStyle w:val="a7"/>
        <w:rPr>
          <w:rFonts w:ascii="Times New Roman" w:hAnsi="Times New Roman" w:cs="Times New Roman"/>
          <w:sz w:val="18"/>
          <w:szCs w:val="18"/>
        </w:rPr>
      </w:pPr>
      <w:r>
        <w:rPr>
          <w:rStyle w:val="a9"/>
          <w:rFonts w:ascii="Times New Roman" w:hAnsi="Times New Roman" w:cs="Times New Roman"/>
          <w:sz w:val="18"/>
          <w:szCs w:val="18"/>
        </w:rPr>
        <w:footnoteRef/>
      </w:r>
      <w:r>
        <w:rPr>
          <w:rFonts w:ascii="Times New Roman" w:hAnsi="Times New Roman" w:cs="Times New Roman"/>
          <w:sz w:val="18"/>
          <w:szCs w:val="18"/>
        </w:rPr>
        <w:t xml:space="preserve"> CAT/C/SR.1371 ,para 44. Accessed at https://documents-dds-ny.un.org/doc/UNDOC/GEN/G15/264/87/PDF/G1526487.pdf?OpenElement</w:t>
      </w:r>
    </w:p>
  </w:footnote>
  <w:footnote w:id="12">
    <w:p w14:paraId="3753995E" w14:textId="77777777" w:rsidR="00366F82" w:rsidRDefault="00366F82" w:rsidP="00366F82">
      <w:pPr>
        <w:pStyle w:val="a7"/>
      </w:pPr>
      <w:r>
        <w:rPr>
          <w:rStyle w:val="a9"/>
        </w:rPr>
        <w:footnoteRef/>
      </w:r>
      <w:r>
        <w:t xml:space="preserve"> </w:t>
      </w:r>
      <w:r>
        <w:rPr>
          <w:bCs/>
          <w:sz w:val="18"/>
          <w:szCs w:val="18"/>
        </w:rPr>
        <w:t>CERD/C/CHN/CO/14-17, para. 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A6"/>
    <w:rsid w:val="002077AC"/>
    <w:rsid w:val="00366F82"/>
    <w:rsid w:val="003A144E"/>
    <w:rsid w:val="003F1C38"/>
    <w:rsid w:val="005D79FD"/>
    <w:rsid w:val="006915A6"/>
    <w:rsid w:val="00725027"/>
    <w:rsid w:val="0088556C"/>
    <w:rsid w:val="008C5632"/>
    <w:rsid w:val="00917FBB"/>
    <w:rsid w:val="00976372"/>
    <w:rsid w:val="00A02E8A"/>
    <w:rsid w:val="00AB0137"/>
    <w:rsid w:val="00D61716"/>
    <w:rsid w:val="00E0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62862E"/>
  <w15:chartTrackingRefBased/>
  <w15:docId w15:val="{F6843807-1B86-42A4-ADA9-BC2043E0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9FD"/>
    <w:pPr>
      <w:tabs>
        <w:tab w:val="center" w:pos="4252"/>
        <w:tab w:val="right" w:pos="8504"/>
      </w:tabs>
      <w:snapToGrid w:val="0"/>
    </w:pPr>
  </w:style>
  <w:style w:type="character" w:customStyle="1" w:styleId="a4">
    <w:name w:val="ヘッダー (文字)"/>
    <w:basedOn w:val="a0"/>
    <w:link w:val="a3"/>
    <w:uiPriority w:val="99"/>
    <w:rsid w:val="005D79FD"/>
  </w:style>
  <w:style w:type="paragraph" w:styleId="a5">
    <w:name w:val="footer"/>
    <w:basedOn w:val="a"/>
    <w:link w:val="a6"/>
    <w:uiPriority w:val="99"/>
    <w:unhideWhenUsed/>
    <w:rsid w:val="005D79FD"/>
    <w:pPr>
      <w:tabs>
        <w:tab w:val="center" w:pos="4252"/>
        <w:tab w:val="right" w:pos="8504"/>
      </w:tabs>
      <w:snapToGrid w:val="0"/>
    </w:pPr>
  </w:style>
  <w:style w:type="character" w:customStyle="1" w:styleId="a6">
    <w:name w:val="フッター (文字)"/>
    <w:basedOn w:val="a0"/>
    <w:link w:val="a5"/>
    <w:uiPriority w:val="99"/>
    <w:rsid w:val="005D79FD"/>
  </w:style>
  <w:style w:type="paragraph" w:styleId="a7">
    <w:name w:val="footnote text"/>
    <w:basedOn w:val="a"/>
    <w:link w:val="a8"/>
    <w:semiHidden/>
    <w:unhideWhenUsed/>
    <w:rsid w:val="005D79FD"/>
    <w:pPr>
      <w:widowControl/>
      <w:suppressLineNumbers/>
      <w:ind w:left="339" w:hanging="339"/>
      <w:jc w:val="left"/>
    </w:pPr>
    <w:rPr>
      <w:rFonts w:ascii="Liberation Serif" w:eastAsia="Noto Serif CJK SC" w:hAnsi="Liberation Serif" w:cs="Lohit Devanagari"/>
      <w:sz w:val="20"/>
      <w:szCs w:val="20"/>
      <w:lang w:eastAsia="zh-CN" w:bidi="hi-IN"/>
    </w:rPr>
  </w:style>
  <w:style w:type="character" w:customStyle="1" w:styleId="a8">
    <w:name w:val="脚注文字列 (文字)"/>
    <w:basedOn w:val="a0"/>
    <w:link w:val="a7"/>
    <w:semiHidden/>
    <w:rsid w:val="005D79FD"/>
    <w:rPr>
      <w:rFonts w:ascii="Liberation Serif" w:eastAsia="Noto Serif CJK SC" w:hAnsi="Liberation Serif" w:cs="Lohit Devanagari"/>
      <w:sz w:val="20"/>
      <w:szCs w:val="20"/>
      <w:lang w:eastAsia="zh-CN" w:bidi="hi-IN"/>
    </w:rPr>
  </w:style>
  <w:style w:type="character" w:styleId="a9">
    <w:name w:val="footnote reference"/>
    <w:basedOn w:val="a0"/>
    <w:uiPriority w:val="99"/>
    <w:semiHidden/>
    <w:unhideWhenUsed/>
    <w:rsid w:val="005D79FD"/>
    <w:rPr>
      <w:vertAlign w:val="superscript"/>
    </w:rPr>
  </w:style>
  <w:style w:type="character" w:customStyle="1" w:styleId="Internet">
    <w:name w:val="Internet 链接"/>
    <w:rsid w:val="005D79FD"/>
    <w:rPr>
      <w:color w:val="000080"/>
      <w:u w:val="single"/>
    </w:rPr>
  </w:style>
  <w:style w:type="character" w:customStyle="1" w:styleId="aa">
    <w:name w:val="脚注符"/>
    <w:qFormat/>
    <w:rsid w:val="005D79FD"/>
  </w:style>
  <w:style w:type="character" w:customStyle="1" w:styleId="ab">
    <w:name w:val="脚注锚点"/>
    <w:rsid w:val="005D79FD"/>
    <w:rPr>
      <w:vertAlign w:val="superscript"/>
    </w:rPr>
  </w:style>
  <w:style w:type="character" w:styleId="ac">
    <w:name w:val="Hyperlink"/>
    <w:basedOn w:val="a0"/>
    <w:uiPriority w:val="99"/>
    <w:semiHidden/>
    <w:unhideWhenUsed/>
    <w:rsid w:val="003F1C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0704">
      <w:bodyDiv w:val="1"/>
      <w:marLeft w:val="0"/>
      <w:marRight w:val="0"/>
      <w:marTop w:val="0"/>
      <w:marBottom w:val="0"/>
      <w:divBdr>
        <w:top w:val="none" w:sz="0" w:space="0" w:color="auto"/>
        <w:left w:val="none" w:sz="0" w:space="0" w:color="auto"/>
        <w:bottom w:val="none" w:sz="0" w:space="0" w:color="auto"/>
        <w:right w:val="none" w:sz="0" w:space="0" w:color="auto"/>
      </w:divBdr>
    </w:div>
    <w:div w:id="358287628">
      <w:bodyDiv w:val="1"/>
      <w:marLeft w:val="0"/>
      <w:marRight w:val="0"/>
      <w:marTop w:val="0"/>
      <w:marBottom w:val="0"/>
      <w:divBdr>
        <w:top w:val="none" w:sz="0" w:space="0" w:color="auto"/>
        <w:left w:val="none" w:sz="0" w:space="0" w:color="auto"/>
        <w:bottom w:val="none" w:sz="0" w:space="0" w:color="auto"/>
        <w:right w:val="none" w:sz="0" w:space="0" w:color="auto"/>
      </w:divBdr>
    </w:div>
    <w:div w:id="674653540">
      <w:bodyDiv w:val="1"/>
      <w:marLeft w:val="0"/>
      <w:marRight w:val="0"/>
      <w:marTop w:val="0"/>
      <w:marBottom w:val="0"/>
      <w:divBdr>
        <w:top w:val="none" w:sz="0" w:space="0" w:color="auto"/>
        <w:left w:val="none" w:sz="0" w:space="0" w:color="auto"/>
        <w:bottom w:val="none" w:sz="0" w:space="0" w:color="auto"/>
        <w:right w:val="none" w:sz="0" w:space="0" w:color="auto"/>
      </w:divBdr>
    </w:div>
    <w:div w:id="696734193">
      <w:bodyDiv w:val="1"/>
      <w:marLeft w:val="0"/>
      <w:marRight w:val="0"/>
      <w:marTop w:val="0"/>
      <w:marBottom w:val="0"/>
      <w:divBdr>
        <w:top w:val="none" w:sz="0" w:space="0" w:color="auto"/>
        <w:left w:val="none" w:sz="0" w:space="0" w:color="auto"/>
        <w:bottom w:val="none" w:sz="0" w:space="0" w:color="auto"/>
        <w:right w:val="none" w:sz="0" w:space="0" w:color="auto"/>
      </w:divBdr>
    </w:div>
    <w:div w:id="710300145">
      <w:bodyDiv w:val="1"/>
      <w:marLeft w:val="0"/>
      <w:marRight w:val="0"/>
      <w:marTop w:val="0"/>
      <w:marBottom w:val="0"/>
      <w:divBdr>
        <w:top w:val="none" w:sz="0" w:space="0" w:color="auto"/>
        <w:left w:val="none" w:sz="0" w:space="0" w:color="auto"/>
        <w:bottom w:val="none" w:sz="0" w:space="0" w:color="auto"/>
        <w:right w:val="none" w:sz="0" w:space="0" w:color="auto"/>
      </w:divBdr>
    </w:div>
    <w:div w:id="1347905366">
      <w:bodyDiv w:val="1"/>
      <w:marLeft w:val="0"/>
      <w:marRight w:val="0"/>
      <w:marTop w:val="0"/>
      <w:marBottom w:val="0"/>
      <w:divBdr>
        <w:top w:val="none" w:sz="0" w:space="0" w:color="auto"/>
        <w:left w:val="none" w:sz="0" w:space="0" w:color="auto"/>
        <w:bottom w:val="none" w:sz="0" w:space="0" w:color="auto"/>
        <w:right w:val="none" w:sz="0" w:space="0" w:color="auto"/>
      </w:divBdr>
    </w:div>
    <w:div w:id="1384258073">
      <w:bodyDiv w:val="1"/>
      <w:marLeft w:val="0"/>
      <w:marRight w:val="0"/>
      <w:marTop w:val="0"/>
      <w:marBottom w:val="0"/>
      <w:divBdr>
        <w:top w:val="none" w:sz="0" w:space="0" w:color="auto"/>
        <w:left w:val="none" w:sz="0" w:space="0" w:color="auto"/>
        <w:bottom w:val="none" w:sz="0" w:space="0" w:color="auto"/>
        <w:right w:val="none" w:sz="0" w:space="0" w:color="auto"/>
      </w:divBdr>
    </w:div>
    <w:div w:id="1385831445">
      <w:bodyDiv w:val="1"/>
      <w:marLeft w:val="0"/>
      <w:marRight w:val="0"/>
      <w:marTop w:val="0"/>
      <w:marBottom w:val="0"/>
      <w:divBdr>
        <w:top w:val="none" w:sz="0" w:space="0" w:color="auto"/>
        <w:left w:val="none" w:sz="0" w:space="0" w:color="auto"/>
        <w:bottom w:val="none" w:sz="0" w:space="0" w:color="auto"/>
        <w:right w:val="none" w:sz="0" w:space="0" w:color="auto"/>
      </w:divBdr>
    </w:div>
    <w:div w:id="1759330362">
      <w:bodyDiv w:val="1"/>
      <w:marLeft w:val="0"/>
      <w:marRight w:val="0"/>
      <w:marTop w:val="0"/>
      <w:marBottom w:val="0"/>
      <w:divBdr>
        <w:top w:val="none" w:sz="0" w:space="0" w:color="auto"/>
        <w:left w:val="none" w:sz="0" w:space="0" w:color="auto"/>
        <w:bottom w:val="none" w:sz="0" w:space="0" w:color="auto"/>
        <w:right w:val="none" w:sz="0" w:space="0" w:color="auto"/>
      </w:divBdr>
    </w:div>
    <w:div w:id="1888105921">
      <w:bodyDiv w:val="1"/>
      <w:marLeft w:val="0"/>
      <w:marRight w:val="0"/>
      <w:marTop w:val="0"/>
      <w:marBottom w:val="0"/>
      <w:divBdr>
        <w:top w:val="none" w:sz="0" w:space="0" w:color="auto"/>
        <w:left w:val="none" w:sz="0" w:space="0" w:color="auto"/>
        <w:bottom w:val="none" w:sz="0" w:space="0" w:color="auto"/>
        <w:right w:val="none" w:sz="0" w:space="0" w:color="auto"/>
      </w:divBdr>
    </w:div>
    <w:div w:id="2015953318">
      <w:bodyDiv w:val="1"/>
      <w:marLeft w:val="0"/>
      <w:marRight w:val="0"/>
      <w:marTop w:val="0"/>
      <w:marBottom w:val="0"/>
      <w:divBdr>
        <w:top w:val="none" w:sz="0" w:space="0" w:color="auto"/>
        <w:left w:val="none" w:sz="0" w:space="0" w:color="auto"/>
        <w:bottom w:val="none" w:sz="0" w:space="0" w:color="auto"/>
        <w:right w:val="none" w:sz="0" w:space="0" w:color="auto"/>
      </w:divBdr>
    </w:div>
    <w:div w:id="21201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csgy.rmzxb.com.cn/c/2019-04-02/2322811.shtml" TargetMode="External"/><Relationship Id="rId2" Type="http://schemas.openxmlformats.org/officeDocument/2006/relationships/hyperlink" Target="http://www.moe.gov.cn/srcsite/A06/s3331/201707/t20170720_309687.html" TargetMode="External"/><Relationship Id="rId1" Type="http://schemas.openxmlformats.org/officeDocument/2006/relationships/hyperlink" Target="http://www.gov.cn/zhengce/content/2017-02/23/content_5170264.htm" TargetMode="External"/><Relationship Id="rId5" Type="http://schemas.openxmlformats.org/officeDocument/2006/relationships/hyperlink" Target="https://spcommreports.ohchr.org/TMResultsBase/DownLoadPublicCommunicationFile?gId=24845" TargetMode="External"/><Relationship Id="rId4" Type="http://schemas.openxmlformats.org/officeDocument/2006/relationships/hyperlink" Target="http://www.scio.gov.cn/zfbps/ndhf/39911/Document/1660531/166053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800</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3</cp:revision>
  <dcterms:created xsi:type="dcterms:W3CDTF">2021-12-25T10:41:00Z</dcterms:created>
  <dcterms:modified xsi:type="dcterms:W3CDTF">2021-12-27T00:30:00Z</dcterms:modified>
</cp:coreProperties>
</file>