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4FAE7" w14:textId="77777777" w:rsidR="003A6921" w:rsidRPr="00857805" w:rsidRDefault="003A6921" w:rsidP="003A6921">
      <w:pPr>
        <w:rPr>
          <w:rFonts w:ascii="BIZ UDPゴシック" w:eastAsia="BIZ UDPゴシック" w:hAnsi="BIZ UDPゴシック"/>
          <w:lang w:eastAsia="ja-JP"/>
        </w:rPr>
      </w:pPr>
      <w:r w:rsidRPr="009D5A49">
        <w:rPr>
          <w:rFonts w:ascii="BIZ UDPゴシック" w:eastAsia="BIZ UDPゴシック" w:hAnsi="BIZ UDPゴシック" w:hint="eastAsia"/>
          <w:lang w:eastAsia="ja-JP"/>
        </w:rPr>
        <w:t>IGWG</w:t>
      </w:r>
      <w:r w:rsidRPr="00857805">
        <w:rPr>
          <w:rFonts w:ascii="BIZ UDPゴシック" w:eastAsia="BIZ UDPゴシック" w:hAnsi="BIZ UDPゴシック"/>
        </w:rPr>
        <w:t>組織会合</w:t>
      </w:r>
      <w:r w:rsidRPr="00857805">
        <w:rPr>
          <w:rFonts w:ascii="BIZ UDPゴシック" w:eastAsia="BIZ UDPゴシック" w:hAnsi="BIZ UDPゴシック" w:hint="eastAsia"/>
          <w:lang w:eastAsia="ja-JP"/>
        </w:rPr>
        <w:t>パネル２</w:t>
      </w:r>
      <w:r>
        <w:rPr>
          <w:rFonts w:ascii="BIZ UDPゴシック" w:eastAsia="BIZ UDPゴシック" w:hAnsi="BIZ UDPゴシック" w:hint="eastAsia"/>
          <w:lang w:eastAsia="ja-JP"/>
        </w:rPr>
        <w:t xml:space="preserve">　（</w:t>
      </w:r>
      <w:r w:rsidRPr="00857805">
        <w:rPr>
          <w:rFonts w:ascii="BIZ UDPゴシック" w:eastAsia="BIZ UDPゴシック" w:hAnsi="BIZ UDPゴシック" w:hint="eastAsia"/>
          <w:lang w:eastAsia="ja-JP"/>
        </w:rPr>
        <w:t>高齢者の権利に関する法的拘束力のある国際的文書の構成要素</w:t>
      </w:r>
      <w:r>
        <w:rPr>
          <w:rFonts w:ascii="BIZ UDPゴシック" w:eastAsia="BIZ UDPゴシック" w:hAnsi="BIZ UDPゴシック" w:hint="eastAsia"/>
          <w:lang w:eastAsia="ja-JP"/>
        </w:rPr>
        <w:t>）</w:t>
      </w:r>
    </w:p>
    <w:p w14:paraId="588A3261" w14:textId="77777777" w:rsidR="003A6921" w:rsidRDefault="003A6921" w:rsidP="003A6921">
      <w:pPr>
        <w:rPr>
          <w:lang w:eastAsia="ja-JP"/>
        </w:rPr>
      </w:pPr>
      <w:r w:rsidRPr="00AA5365">
        <w:rPr>
          <w:lang w:eastAsia="ja-JP"/>
        </w:rPr>
        <w:t>2026年2月1</w:t>
      </w:r>
      <w:r>
        <w:rPr>
          <w:rFonts w:hint="eastAsia"/>
          <w:lang w:eastAsia="ja-JP"/>
        </w:rPr>
        <w:t>9</w:t>
      </w:r>
      <w:r w:rsidRPr="00AA5365">
        <w:rPr>
          <w:lang w:eastAsia="ja-JP"/>
        </w:rPr>
        <w:t>日</w:t>
      </w:r>
    </w:p>
    <w:p w14:paraId="03724AF8" w14:textId="77777777" w:rsidR="003A6921" w:rsidRDefault="003A6921" w:rsidP="003A6921">
      <w:pPr>
        <w:rPr>
          <w:rFonts w:ascii="BIZ UDPゴシック" w:eastAsia="BIZ UDPゴシック" w:hAnsi="BIZ UDPゴシック"/>
          <w:color w:val="000000" w:themeColor="text1"/>
          <w:lang w:eastAsia="ja-JP"/>
        </w:rPr>
      </w:pPr>
    </w:p>
    <w:p w14:paraId="2C19E4AE" w14:textId="44C1C302" w:rsidR="003A6921" w:rsidRPr="003A6921" w:rsidRDefault="003A6921" w:rsidP="003A6921">
      <w:pPr>
        <w:rPr>
          <w:rFonts w:ascii="BIZ UDゴシック" w:eastAsia="BIZ UDゴシック" w:hAnsi="BIZ UDゴシック"/>
          <w:color w:val="000000" w:themeColor="text1"/>
          <w:sz w:val="24"/>
          <w:szCs w:val="24"/>
          <w:lang w:eastAsia="ja-JP"/>
        </w:rPr>
      </w:pPr>
      <w:r w:rsidRPr="003A6921">
        <w:rPr>
          <w:rFonts w:ascii="BIZ UDゴシック" w:eastAsia="BIZ UDゴシック" w:hAnsi="BIZ UDゴシック" w:hint="eastAsia"/>
          <w:color w:val="000000" w:themeColor="text1"/>
          <w:sz w:val="24"/>
          <w:szCs w:val="24"/>
          <w:lang w:eastAsia="ja-JP"/>
        </w:rPr>
        <w:t xml:space="preserve">⑥　</w:t>
      </w:r>
      <w:r w:rsidRPr="003A6921">
        <w:rPr>
          <w:rFonts w:ascii="BIZ UDゴシック" w:eastAsia="BIZ UDゴシック" w:hAnsi="BIZ UDゴシック"/>
          <w:color w:val="000000" w:themeColor="text1"/>
          <w:sz w:val="24"/>
          <w:szCs w:val="24"/>
          <w:lang w:eastAsia="ja-JP"/>
        </w:rPr>
        <w:t>ベダ</w:t>
      </w:r>
      <w:r w:rsidRPr="003A6921">
        <w:rPr>
          <w:rFonts w:ascii="BIZ UDゴシック" w:eastAsia="BIZ UDゴシック" w:hAnsi="BIZ UDゴシック" w:hint="eastAsia"/>
          <w:color w:val="000000" w:themeColor="text1"/>
          <w:sz w:val="24"/>
          <w:szCs w:val="24"/>
          <w:lang w:eastAsia="ja-JP"/>
        </w:rPr>
        <w:t>・アンゲレス・</w:t>
      </w:r>
      <w:r w:rsidRPr="003A6921">
        <w:rPr>
          <w:rFonts w:ascii="BIZ UDゴシック" w:eastAsia="BIZ UDゴシック" w:hAnsi="BIZ UDゴシック"/>
          <w:color w:val="000000" w:themeColor="text1"/>
          <w:sz w:val="24"/>
          <w:szCs w:val="24"/>
          <w:lang w:eastAsia="ja-JP"/>
        </w:rPr>
        <w:t xml:space="preserve"> エプレス委員</w:t>
      </w:r>
      <w:r w:rsidRPr="003A6921">
        <w:rPr>
          <w:rFonts w:ascii="BIZ UDゴシック" w:eastAsia="BIZ UDゴシック" w:hAnsi="BIZ UDゴシック" w:hint="eastAsia"/>
          <w:color w:val="000000" w:themeColor="text1"/>
          <w:sz w:val="24"/>
          <w:szCs w:val="24"/>
          <w:lang w:eastAsia="ja-JP"/>
        </w:rPr>
        <w:t xml:space="preserve">　</w:t>
      </w:r>
      <w:r w:rsidRPr="003A6921">
        <w:rPr>
          <w:rFonts w:ascii="BIZ UDゴシック" w:eastAsia="BIZ UDゴシック" w:hAnsi="BIZ UDゴシック"/>
          <w:color w:val="000000" w:themeColor="text1"/>
          <w:sz w:val="24"/>
          <w:szCs w:val="24"/>
          <w:lang w:eastAsia="ja-JP"/>
        </w:rPr>
        <w:t>フィリピン</w:t>
      </w:r>
      <w:r w:rsidR="001E003B">
        <w:rPr>
          <w:rFonts w:ascii="BIZ UDゴシック" w:eastAsia="BIZ UDゴシック" w:hAnsi="BIZ UDゴシック" w:hint="eastAsia"/>
          <w:color w:val="000000" w:themeColor="text1"/>
          <w:sz w:val="24"/>
          <w:szCs w:val="24"/>
          <w:lang w:eastAsia="ja-JP"/>
        </w:rPr>
        <w:t>国内</w:t>
      </w:r>
      <w:r w:rsidRPr="003A6921">
        <w:rPr>
          <w:rFonts w:ascii="BIZ UDゴシック" w:eastAsia="BIZ UDゴシック" w:hAnsi="BIZ UDゴシック"/>
          <w:color w:val="000000" w:themeColor="text1"/>
          <w:sz w:val="24"/>
          <w:szCs w:val="24"/>
          <w:lang w:eastAsia="ja-JP"/>
        </w:rPr>
        <w:t>人権委員会</w:t>
      </w:r>
    </w:p>
    <w:p w14:paraId="7866B97B" w14:textId="77777777" w:rsidR="003A6921" w:rsidRPr="006D37D5" w:rsidRDefault="003A6921" w:rsidP="003A6921">
      <w:pPr>
        <w:ind w:firstLineChars="100" w:firstLine="210"/>
        <w:rPr>
          <w:color w:val="000000" w:themeColor="text1"/>
          <w:lang w:eastAsia="ja-JP"/>
        </w:rPr>
      </w:pPr>
    </w:p>
    <w:p w14:paraId="17E68E76" w14:textId="77777777" w:rsidR="003A6921" w:rsidRPr="006D37D5" w:rsidRDefault="003A6921" w:rsidP="003A6921">
      <w:pPr>
        <w:ind w:firstLineChars="100" w:firstLine="210"/>
        <w:rPr>
          <w:color w:val="000000" w:themeColor="text1"/>
          <w:lang w:eastAsia="ja-JP"/>
        </w:rPr>
      </w:pPr>
      <w:r w:rsidRPr="006D37D5">
        <w:rPr>
          <w:color w:val="000000" w:themeColor="text1"/>
          <w:lang w:eastAsia="ja-JP"/>
        </w:rPr>
        <w:t>皆様、</w:t>
      </w:r>
    </w:p>
    <w:p w14:paraId="02F3F234" w14:textId="77777777" w:rsidR="003A6921" w:rsidRPr="006D37D5" w:rsidRDefault="003A6921" w:rsidP="003A6921">
      <w:pPr>
        <w:ind w:firstLineChars="100" w:firstLine="210"/>
        <w:rPr>
          <w:color w:val="000000" w:themeColor="text1"/>
          <w:lang w:eastAsia="ja-JP"/>
        </w:rPr>
      </w:pPr>
      <w:r w:rsidRPr="006D37D5">
        <w:rPr>
          <w:rFonts w:hint="eastAsia"/>
          <w:color w:val="000000" w:themeColor="text1"/>
          <w:lang w:eastAsia="ja-JP"/>
        </w:rPr>
        <w:t>これまでの</w:t>
      </w:r>
      <w:r w:rsidRPr="006D37D5">
        <w:rPr>
          <w:color w:val="000000" w:themeColor="text1"/>
          <w:lang w:eastAsia="ja-JP"/>
        </w:rPr>
        <w:t>尊敬す</w:t>
      </w:r>
      <w:r w:rsidRPr="006D37D5">
        <w:rPr>
          <w:rFonts w:hint="eastAsia"/>
          <w:color w:val="000000" w:themeColor="text1"/>
          <w:lang w:eastAsia="ja-JP"/>
        </w:rPr>
        <w:t>る</w:t>
      </w:r>
      <w:r w:rsidRPr="006D37D5">
        <w:rPr>
          <w:color w:val="000000" w:themeColor="text1"/>
          <w:lang w:eastAsia="ja-JP"/>
        </w:rPr>
        <w:t>パネリストの皆様、そして昨日の一般発言は、高齢者権利条約の要素がどのようなものであ</w:t>
      </w:r>
      <w:r w:rsidRPr="006D37D5">
        <w:rPr>
          <w:rFonts w:hint="eastAsia"/>
          <w:color w:val="000000" w:themeColor="text1"/>
          <w:lang w:eastAsia="ja-JP"/>
        </w:rPr>
        <w:t>りえる</w:t>
      </w:r>
      <w:r w:rsidRPr="006D37D5">
        <w:rPr>
          <w:color w:val="000000" w:themeColor="text1"/>
          <w:lang w:eastAsia="ja-JP"/>
        </w:rPr>
        <w:t>か、あるべきかについて、すでに思慮深い洞察と提言を提供してくれました。私は、アジア太平洋地域のA</w:t>
      </w:r>
      <w:r w:rsidRPr="006D37D5">
        <w:rPr>
          <w:rFonts w:hint="eastAsia"/>
          <w:color w:val="000000" w:themeColor="text1"/>
          <w:lang w:eastAsia="ja-JP"/>
        </w:rPr>
        <w:t>ランクの国内人権機関</w:t>
      </w:r>
      <w:r w:rsidRPr="006D37D5">
        <w:rPr>
          <w:color w:val="000000" w:themeColor="text1"/>
          <w:lang w:eastAsia="ja-JP"/>
        </w:rPr>
        <w:t xml:space="preserve">の視点に基づき、この議論に加わりたいと思います。 </w:t>
      </w:r>
    </w:p>
    <w:p w14:paraId="639F643E" w14:textId="77777777" w:rsidR="003A6921" w:rsidRPr="006D37D5" w:rsidRDefault="003A6921" w:rsidP="003A6921">
      <w:pPr>
        <w:ind w:firstLineChars="200" w:firstLine="420"/>
        <w:rPr>
          <w:color w:val="000000" w:themeColor="text1"/>
          <w:lang w:eastAsia="ja-JP"/>
        </w:rPr>
      </w:pPr>
      <w:r w:rsidRPr="006D37D5">
        <w:rPr>
          <w:color w:val="000000" w:themeColor="text1"/>
          <w:lang w:eastAsia="ja-JP"/>
        </w:rPr>
        <w:t>私はGAROP（</w:t>
      </w:r>
      <w:r w:rsidRPr="006D37D5">
        <w:rPr>
          <w:rFonts w:hint="eastAsia"/>
          <w:color w:val="000000" w:themeColor="text1"/>
          <w:lang w:eastAsia="ja-JP"/>
        </w:rPr>
        <w:t>高齢者の権利のためのグローバル連合</w:t>
      </w:r>
      <w:r w:rsidRPr="006D37D5">
        <w:rPr>
          <w:color w:val="000000" w:themeColor="text1"/>
          <w:lang w:eastAsia="ja-JP"/>
        </w:rPr>
        <w:t>）とその討議文書を高く評価し、これを参照いたします。</w:t>
      </w:r>
      <w:r w:rsidRPr="006D37D5">
        <w:rPr>
          <w:rFonts w:hint="eastAsia"/>
          <w:color w:val="000000" w:themeColor="text1"/>
          <w:lang w:eastAsia="ja-JP"/>
        </w:rPr>
        <w:t>この</w:t>
      </w:r>
      <w:r w:rsidRPr="006D37D5">
        <w:rPr>
          <w:color w:val="000000" w:themeColor="text1"/>
          <w:lang w:eastAsia="ja-JP"/>
        </w:rPr>
        <w:t>文書は、条約草案の</w:t>
      </w:r>
      <w:r w:rsidRPr="006D37D5">
        <w:rPr>
          <w:rFonts w:hint="eastAsia"/>
          <w:color w:val="000000" w:themeColor="text1"/>
          <w:lang w:eastAsia="ja-JP"/>
        </w:rPr>
        <w:t>構成</w:t>
      </w:r>
      <w:r w:rsidRPr="006D37D5">
        <w:rPr>
          <w:color w:val="000000" w:themeColor="text1"/>
          <w:lang w:eastAsia="ja-JP"/>
        </w:rPr>
        <w:t>要素を特定する前に基本原則を議論する上で、現時点で最も</w:t>
      </w:r>
      <w:r w:rsidRPr="006D37D5">
        <w:rPr>
          <w:rFonts w:hint="eastAsia"/>
          <w:color w:val="000000" w:themeColor="text1"/>
          <w:lang w:eastAsia="ja-JP"/>
        </w:rPr>
        <w:t>地に足がついた（</w:t>
      </w:r>
      <w:r w:rsidRPr="006D37D5">
        <w:rPr>
          <w:color w:val="000000" w:themeColor="text1"/>
          <w:lang w:eastAsia="ja-JP"/>
        </w:rPr>
        <w:t>grounded</w:t>
      </w:r>
      <w:r w:rsidRPr="006D37D5">
        <w:rPr>
          <w:rFonts w:hint="eastAsia"/>
          <w:color w:val="000000" w:themeColor="text1"/>
          <w:lang w:eastAsia="ja-JP"/>
        </w:rPr>
        <w:t>）</w:t>
      </w:r>
      <w:r w:rsidRPr="006D37D5">
        <w:rPr>
          <w:color w:val="000000" w:themeColor="text1"/>
          <w:lang w:eastAsia="ja-JP"/>
        </w:rPr>
        <w:t>指針の一つであり、さらに重要なことに、通常は技術的・学術的になりがちな条約の議論の中に、高齢者自身の声が盛り込まれ、反映されてい</w:t>
      </w:r>
      <w:r w:rsidRPr="006D37D5">
        <w:rPr>
          <w:rFonts w:hint="eastAsia"/>
          <w:color w:val="000000" w:themeColor="text1"/>
          <w:lang w:eastAsia="ja-JP"/>
        </w:rPr>
        <w:t>ま</w:t>
      </w:r>
      <w:r w:rsidRPr="006D37D5">
        <w:rPr>
          <w:color w:val="000000" w:themeColor="text1"/>
          <w:lang w:eastAsia="ja-JP"/>
        </w:rPr>
        <w:t>す。もし高齢者ご自身やGAROPの</w:t>
      </w:r>
      <w:r w:rsidRPr="006D37D5">
        <w:rPr>
          <w:rFonts w:hint="eastAsia"/>
          <w:color w:val="000000" w:themeColor="text1"/>
          <w:lang w:eastAsia="ja-JP"/>
        </w:rPr>
        <w:t>「条約内容準備</w:t>
      </w:r>
      <w:r w:rsidRPr="006D37D5">
        <w:rPr>
          <w:color w:val="000000" w:themeColor="text1"/>
          <w:lang w:eastAsia="ja-JP"/>
        </w:rPr>
        <w:t>部会</w:t>
      </w:r>
      <w:r w:rsidRPr="006D37D5">
        <w:rPr>
          <w:rFonts w:hint="eastAsia"/>
          <w:color w:val="000000" w:themeColor="text1"/>
          <w:lang w:eastAsia="ja-JP"/>
        </w:rPr>
        <w:t>（</w:t>
      </w:r>
      <w:r w:rsidRPr="006D37D5">
        <w:rPr>
          <w:color w:val="000000" w:themeColor="text1"/>
          <w:lang w:eastAsia="ja-JP"/>
        </w:rPr>
        <w:t>the Content Working Group</w:t>
      </w:r>
      <w:r w:rsidRPr="006D37D5">
        <w:rPr>
          <w:rFonts w:hint="eastAsia"/>
          <w:color w:val="000000" w:themeColor="text1"/>
          <w:lang w:eastAsia="ja-JP"/>
        </w:rPr>
        <w:t>）」</w:t>
      </w:r>
      <w:r w:rsidRPr="006D37D5">
        <w:rPr>
          <w:color w:val="000000" w:themeColor="text1"/>
          <w:lang w:eastAsia="ja-JP"/>
        </w:rPr>
        <w:t xml:space="preserve"> のメンバーも、このパネルセッションに参加できていれば、さらに素晴らしいことだったでしょう。</w:t>
      </w:r>
    </w:p>
    <w:p w14:paraId="74D596EF" w14:textId="77777777" w:rsidR="003A6921" w:rsidRPr="006D37D5" w:rsidRDefault="003A6921" w:rsidP="003A6921">
      <w:pPr>
        <w:ind w:firstLineChars="100" w:firstLine="210"/>
        <w:rPr>
          <w:color w:val="000000" w:themeColor="text1"/>
          <w:lang w:eastAsia="ja-JP"/>
        </w:rPr>
      </w:pPr>
      <w:r w:rsidRPr="006D37D5">
        <w:rPr>
          <w:color w:val="000000" w:themeColor="text1"/>
          <w:lang w:eastAsia="ja-JP"/>
        </w:rPr>
        <w:t>高齢者の皆様、市民社会、そして独立専門家が事前に提起した少なくとも6つの基本原則を、ここで提案させていただき</w:t>
      </w:r>
      <w:r w:rsidRPr="006D37D5">
        <w:rPr>
          <w:rFonts w:hint="eastAsia"/>
          <w:color w:val="000000" w:themeColor="text1"/>
          <w:lang w:eastAsia="ja-JP"/>
        </w:rPr>
        <w:t>ます</w:t>
      </w:r>
      <w:r w:rsidRPr="006D37D5">
        <w:rPr>
          <w:color w:val="000000" w:themeColor="text1"/>
          <w:lang w:eastAsia="ja-JP"/>
        </w:rPr>
        <w:t>。これらの原則は、この場において、そして我々がそれぞれの国に戻った後も繰り返し言及する価値があります。条約の実際の起草に取り掛かる前に、その背景や現状を深く理解すべきだという重要な点を</w:t>
      </w:r>
      <w:r w:rsidRPr="006D37D5">
        <w:rPr>
          <w:rFonts w:hint="eastAsia"/>
          <w:color w:val="000000" w:themeColor="text1"/>
          <w:lang w:eastAsia="ja-JP"/>
        </w:rPr>
        <w:t>意識</w:t>
      </w:r>
      <w:r w:rsidRPr="006D37D5">
        <w:rPr>
          <w:color w:val="000000" w:themeColor="text1"/>
          <w:lang w:eastAsia="ja-JP"/>
        </w:rPr>
        <w:t>するためです。これら</w:t>
      </w:r>
      <w:r w:rsidRPr="006D37D5">
        <w:rPr>
          <w:rFonts w:hint="eastAsia"/>
          <w:color w:val="000000" w:themeColor="text1"/>
          <w:lang w:eastAsia="ja-JP"/>
        </w:rPr>
        <w:t>の原則</w:t>
      </w:r>
      <w:r w:rsidRPr="006D37D5">
        <w:rPr>
          <w:color w:val="000000" w:themeColor="text1"/>
          <w:lang w:eastAsia="ja-JP"/>
        </w:rPr>
        <w:t>は網羅的</w:t>
      </w:r>
      <w:r w:rsidRPr="006D37D5">
        <w:rPr>
          <w:rFonts w:hint="eastAsia"/>
          <w:color w:val="000000" w:themeColor="text1"/>
          <w:lang w:eastAsia="ja-JP"/>
        </w:rPr>
        <w:t>な</w:t>
      </w:r>
      <w:r w:rsidRPr="006D37D5">
        <w:rPr>
          <w:color w:val="000000" w:themeColor="text1"/>
          <w:lang w:eastAsia="ja-JP"/>
        </w:rPr>
        <w:t>リストでは</w:t>
      </w:r>
      <w:r w:rsidRPr="006D37D5">
        <w:rPr>
          <w:rFonts w:hint="eastAsia"/>
          <w:color w:val="000000" w:themeColor="text1"/>
          <w:lang w:eastAsia="ja-JP"/>
        </w:rPr>
        <w:t>ありません</w:t>
      </w:r>
      <w:r w:rsidRPr="006D37D5">
        <w:rPr>
          <w:color w:val="000000" w:themeColor="text1"/>
          <w:lang w:eastAsia="ja-JP"/>
        </w:rPr>
        <w:t>が、審議に貢献し、</w:t>
      </w:r>
      <w:r w:rsidRPr="006D37D5">
        <w:rPr>
          <w:rFonts w:hint="eastAsia"/>
          <w:color w:val="000000" w:themeColor="text1"/>
          <w:lang w:eastAsia="ja-JP"/>
        </w:rPr>
        <w:t>国内人権機関</w:t>
      </w:r>
      <w:r w:rsidRPr="006D37D5">
        <w:rPr>
          <w:color w:val="000000" w:themeColor="text1"/>
          <w:lang w:eastAsia="ja-JP"/>
        </w:rPr>
        <w:t>、加盟国、市民社会、その他の</w:t>
      </w:r>
      <w:r w:rsidRPr="006D37D5">
        <w:rPr>
          <w:rFonts w:hint="eastAsia"/>
          <w:color w:val="000000" w:themeColor="text1"/>
          <w:lang w:eastAsia="ja-JP"/>
        </w:rPr>
        <w:t>利害関係者</w:t>
      </w:r>
      <w:r w:rsidRPr="006D37D5">
        <w:rPr>
          <w:color w:val="000000" w:themeColor="text1"/>
          <w:lang w:eastAsia="ja-JP"/>
        </w:rPr>
        <w:t>としての我々の活動を導くことができ</w:t>
      </w:r>
      <w:r w:rsidRPr="006D37D5">
        <w:rPr>
          <w:rFonts w:hint="eastAsia"/>
          <w:color w:val="000000" w:themeColor="text1"/>
          <w:lang w:eastAsia="ja-JP"/>
        </w:rPr>
        <w:t>ます</w:t>
      </w:r>
      <w:r w:rsidRPr="006D37D5">
        <w:rPr>
          <w:color w:val="000000" w:themeColor="text1"/>
          <w:lang w:eastAsia="ja-JP"/>
        </w:rPr>
        <w:t>。</w:t>
      </w:r>
    </w:p>
    <w:p w14:paraId="410C3BB2" w14:textId="77777777" w:rsidR="003A6921" w:rsidRPr="006D37D5" w:rsidRDefault="003A6921" w:rsidP="003A6921">
      <w:pPr>
        <w:ind w:firstLineChars="100" w:firstLine="210"/>
        <w:rPr>
          <w:color w:val="000000" w:themeColor="text1"/>
          <w:lang w:eastAsia="ja-JP"/>
        </w:rPr>
      </w:pPr>
      <w:r w:rsidRPr="006D37D5">
        <w:rPr>
          <w:color w:val="000000" w:themeColor="text1"/>
          <w:lang w:eastAsia="ja-JP"/>
        </w:rPr>
        <w:t>第一に、</w:t>
      </w:r>
      <w:r w:rsidRPr="006D37D5">
        <w:rPr>
          <w:rFonts w:hint="eastAsia"/>
          <w:color w:val="000000" w:themeColor="text1"/>
          <w:lang w:eastAsia="ja-JP"/>
        </w:rPr>
        <w:t>エイジズム(</w:t>
      </w:r>
      <w:r w:rsidRPr="006D37D5">
        <w:rPr>
          <w:color w:val="000000" w:themeColor="text1"/>
          <w:lang w:eastAsia="ja-JP"/>
        </w:rPr>
        <w:t>年齢差別</w:t>
      </w:r>
      <w:r w:rsidRPr="006D37D5">
        <w:rPr>
          <w:rFonts w:hint="eastAsia"/>
          <w:color w:val="000000" w:themeColor="text1"/>
          <w:lang w:eastAsia="ja-JP"/>
        </w:rPr>
        <w:t>)</w:t>
      </w:r>
      <w:r w:rsidRPr="006D37D5">
        <w:rPr>
          <w:color w:val="000000" w:themeColor="text1"/>
          <w:lang w:eastAsia="ja-JP"/>
        </w:rPr>
        <w:t>と年齢に基づく差別</w:t>
      </w:r>
      <w:r w:rsidRPr="006D37D5">
        <w:rPr>
          <w:rFonts w:hint="eastAsia"/>
          <w:color w:val="000000" w:themeColor="text1"/>
          <w:lang w:eastAsia="ja-JP"/>
        </w:rPr>
        <w:t>（</w:t>
      </w:r>
      <w:r w:rsidRPr="006D37D5">
        <w:rPr>
          <w:color w:val="000000" w:themeColor="text1"/>
          <w:lang w:eastAsia="ja-JP"/>
        </w:rPr>
        <w:t>age discrimination</w:t>
      </w:r>
      <w:r w:rsidRPr="006D37D5">
        <w:rPr>
          <w:rFonts w:hint="eastAsia"/>
          <w:color w:val="000000" w:themeColor="text1"/>
          <w:lang w:eastAsia="ja-JP"/>
        </w:rPr>
        <w:t>）</w:t>
      </w:r>
      <w:r w:rsidRPr="006D37D5">
        <w:rPr>
          <w:color w:val="000000" w:themeColor="text1"/>
          <w:lang w:eastAsia="ja-JP"/>
        </w:rPr>
        <w:t>は、草案において横断的かつ構造的な問題として認識されなければなりません。</w:t>
      </w:r>
      <w:r w:rsidRPr="006D37D5">
        <w:rPr>
          <w:rFonts w:hint="eastAsia"/>
          <w:color w:val="000000" w:themeColor="text1"/>
          <w:lang w:eastAsia="ja-JP"/>
        </w:rPr>
        <w:t>エイジズム</w:t>
      </w:r>
      <w:r w:rsidRPr="006D37D5">
        <w:rPr>
          <w:color w:val="000000" w:themeColor="text1"/>
          <w:lang w:eastAsia="ja-JP"/>
        </w:rPr>
        <w:t>は単なる個人の偏見の問題ではなく、私たちの法律、制度、そして日常の実践や経験に根ざしています。高齢者虐待やネグレクトの</w:t>
      </w:r>
      <w:r w:rsidRPr="006D37D5">
        <w:rPr>
          <w:rFonts w:hint="eastAsia"/>
          <w:color w:val="000000" w:themeColor="text1"/>
          <w:lang w:eastAsia="ja-JP"/>
        </w:rPr>
        <w:t>蔓延を</w:t>
      </w:r>
      <w:r w:rsidRPr="006D37D5">
        <w:rPr>
          <w:color w:val="000000" w:themeColor="text1"/>
          <w:lang w:eastAsia="ja-JP"/>
        </w:rPr>
        <w:t>監視</w:t>
      </w:r>
      <w:r w:rsidRPr="006D37D5">
        <w:rPr>
          <w:rFonts w:hint="eastAsia"/>
          <w:color w:val="000000" w:themeColor="text1"/>
          <w:lang w:eastAsia="ja-JP"/>
        </w:rPr>
        <w:t>する中で、それらが見過ごされたり一部しか通報なされないことを見てきました。このようにエイジズムは</w:t>
      </w:r>
      <w:r w:rsidRPr="006D37D5">
        <w:rPr>
          <w:color w:val="000000" w:themeColor="text1"/>
          <w:lang w:eastAsia="ja-JP"/>
        </w:rPr>
        <w:t>司法へのアクセスに影響します。高齢者が公的生活から疎外され、協議や意思決定に有意義に参加するには「年を取りすぎている」という固定観念で扱われる場合、市民的・政治的権利の文脈</w:t>
      </w:r>
      <w:r w:rsidRPr="006D37D5">
        <w:rPr>
          <w:rFonts w:hint="eastAsia"/>
          <w:color w:val="000000" w:themeColor="text1"/>
          <w:lang w:eastAsia="ja-JP"/>
        </w:rPr>
        <w:t>でエイジズム</w:t>
      </w:r>
      <w:r w:rsidRPr="006D37D5">
        <w:rPr>
          <w:color w:val="000000" w:themeColor="text1"/>
          <w:lang w:eastAsia="ja-JP"/>
        </w:rPr>
        <w:t>が表れます。また、単に年齢を理由に雇用、訓練、医療、あるいは社会的保護</w:t>
      </w:r>
      <w:r w:rsidRPr="006D37D5">
        <w:rPr>
          <w:rFonts w:hint="eastAsia"/>
          <w:color w:val="000000" w:themeColor="text1"/>
          <w:lang w:eastAsia="ja-JP"/>
        </w:rPr>
        <w:t>が断られる</w:t>
      </w:r>
      <w:r w:rsidRPr="006D37D5">
        <w:rPr>
          <w:color w:val="000000" w:themeColor="text1"/>
          <w:lang w:eastAsia="ja-JP"/>
        </w:rPr>
        <w:t>場合、それは経済的、社会的、文化的権利に影響を及ぼします。強力な条約は、</w:t>
      </w:r>
      <w:r w:rsidRPr="006D37D5">
        <w:rPr>
          <w:rFonts w:hint="eastAsia"/>
          <w:color w:val="000000" w:themeColor="text1"/>
          <w:lang w:eastAsia="ja-JP"/>
        </w:rPr>
        <w:t>エイジズム</w:t>
      </w:r>
      <w:r w:rsidRPr="006D37D5">
        <w:rPr>
          <w:color w:val="000000" w:themeColor="text1"/>
          <w:lang w:eastAsia="ja-JP"/>
        </w:rPr>
        <w:t>を明確に特定し、あらゆる生活領域における年齢に基づく</w:t>
      </w:r>
      <w:r w:rsidRPr="006D37D5">
        <w:rPr>
          <w:rFonts w:hint="eastAsia"/>
          <w:color w:val="000000" w:themeColor="text1"/>
          <w:lang w:eastAsia="ja-JP"/>
        </w:rPr>
        <w:t>バリアへの</w:t>
      </w:r>
      <w:r w:rsidRPr="006D37D5">
        <w:rPr>
          <w:color w:val="000000" w:themeColor="text1"/>
          <w:lang w:eastAsia="ja-JP"/>
        </w:rPr>
        <w:t>対処</w:t>
      </w:r>
      <w:r w:rsidRPr="006D37D5">
        <w:rPr>
          <w:rFonts w:hint="eastAsia"/>
          <w:color w:val="000000" w:themeColor="text1"/>
          <w:lang w:eastAsia="ja-JP"/>
        </w:rPr>
        <w:t>を</w:t>
      </w:r>
      <w:r w:rsidRPr="006D37D5">
        <w:rPr>
          <w:color w:val="000000" w:themeColor="text1"/>
          <w:lang w:eastAsia="ja-JP"/>
        </w:rPr>
        <w:t xml:space="preserve">各国に義務付けるものでなければなりません。 </w:t>
      </w:r>
    </w:p>
    <w:p w14:paraId="0D5AF2A9" w14:textId="77777777" w:rsidR="003A6921" w:rsidRPr="006D37D5" w:rsidRDefault="003A6921" w:rsidP="003A6921">
      <w:pPr>
        <w:ind w:firstLineChars="100" w:firstLine="210"/>
        <w:rPr>
          <w:color w:val="000000" w:themeColor="text1"/>
          <w:lang w:eastAsia="ja-JP"/>
        </w:rPr>
      </w:pPr>
      <w:r w:rsidRPr="006D37D5">
        <w:rPr>
          <w:color w:val="000000" w:themeColor="text1"/>
          <w:lang w:eastAsia="ja-JP"/>
        </w:rPr>
        <w:t>第二に、法的拘束力のあるこの文書は、交差性と可視性に重点を置くべきです。高齢者は均質な集団では</w:t>
      </w:r>
      <w:r w:rsidRPr="006D37D5">
        <w:rPr>
          <w:rFonts w:hint="eastAsia"/>
          <w:color w:val="000000" w:themeColor="text1"/>
          <w:lang w:eastAsia="ja-JP"/>
        </w:rPr>
        <w:t>ありません</w:t>
      </w:r>
      <w:r w:rsidRPr="006D37D5">
        <w:rPr>
          <w:color w:val="000000" w:themeColor="text1"/>
          <w:lang w:eastAsia="ja-JP"/>
        </w:rPr>
        <w:t>。高齢の女性、障害のある高齢者、高齢の移民、LGBTIQの高齢者、先住民族コミュニティの高齢者、あるいは貧困</w:t>
      </w:r>
      <w:r w:rsidRPr="006D37D5">
        <w:rPr>
          <w:rFonts w:hint="eastAsia"/>
          <w:color w:val="000000" w:themeColor="text1"/>
          <w:lang w:eastAsia="ja-JP"/>
        </w:rPr>
        <w:t>な</w:t>
      </w:r>
      <w:r w:rsidRPr="006D37D5">
        <w:rPr>
          <w:color w:val="000000" w:themeColor="text1"/>
          <w:lang w:eastAsia="ja-JP"/>
        </w:rPr>
        <w:t>高齢者は、しばしば</w:t>
      </w:r>
      <w:r w:rsidRPr="006D37D5">
        <w:rPr>
          <w:rFonts w:hint="eastAsia"/>
          <w:color w:val="000000" w:themeColor="text1"/>
          <w:lang w:eastAsia="ja-JP"/>
        </w:rPr>
        <w:t>複合的に</w:t>
      </w:r>
      <w:r w:rsidRPr="006D37D5">
        <w:rPr>
          <w:color w:val="000000" w:themeColor="text1"/>
          <w:lang w:eastAsia="ja-JP"/>
        </w:rPr>
        <w:t>交差する形態の差別を経験しています。条約は、これらの集団を可視化し、その</w:t>
      </w:r>
      <w:r w:rsidRPr="006D37D5">
        <w:rPr>
          <w:rFonts w:hint="eastAsia"/>
          <w:color w:val="000000" w:themeColor="text1"/>
          <w:lang w:eastAsia="ja-JP"/>
        </w:rPr>
        <w:t>固有の</w:t>
      </w:r>
      <w:r w:rsidRPr="006D37D5">
        <w:rPr>
          <w:color w:val="000000" w:themeColor="text1"/>
          <w:lang w:eastAsia="ja-JP"/>
        </w:rPr>
        <w:t>現実</w:t>
      </w:r>
      <w:r w:rsidRPr="006D37D5">
        <w:rPr>
          <w:color w:val="000000" w:themeColor="text1"/>
          <w:lang w:eastAsia="ja-JP"/>
        </w:rPr>
        <w:lastRenderedPageBreak/>
        <w:t>に応えるためのデータ、政策、救済措置を義務付けるべきです。</w:t>
      </w:r>
    </w:p>
    <w:p w14:paraId="751BEC72" w14:textId="77777777" w:rsidR="003A6921" w:rsidRPr="006D37D5" w:rsidRDefault="003A6921" w:rsidP="003A6921">
      <w:pPr>
        <w:ind w:firstLineChars="100" w:firstLine="210"/>
        <w:rPr>
          <w:color w:val="000000" w:themeColor="text1"/>
          <w:lang w:eastAsia="ja-JP"/>
        </w:rPr>
      </w:pPr>
      <w:r w:rsidRPr="006D37D5">
        <w:rPr>
          <w:color w:val="000000" w:themeColor="text1"/>
          <w:lang w:eastAsia="ja-JP"/>
        </w:rPr>
        <w:t>第三に、緊急</w:t>
      </w:r>
      <w:r w:rsidRPr="006D37D5">
        <w:rPr>
          <w:rFonts w:hint="eastAsia"/>
          <w:color w:val="000000" w:themeColor="text1"/>
          <w:lang w:eastAsia="ja-JP"/>
        </w:rPr>
        <w:t>時</w:t>
      </w:r>
      <w:r w:rsidRPr="006D37D5">
        <w:rPr>
          <w:color w:val="000000" w:themeColor="text1"/>
          <w:lang w:eastAsia="ja-JP"/>
        </w:rPr>
        <w:t>や災害時の</w:t>
      </w:r>
      <w:r w:rsidRPr="006D37D5">
        <w:rPr>
          <w:rFonts w:hint="eastAsia"/>
          <w:color w:val="000000" w:themeColor="text1"/>
          <w:lang w:eastAsia="ja-JP"/>
        </w:rPr>
        <w:t>高齢者の</w:t>
      </w:r>
      <w:r w:rsidRPr="006D37D5">
        <w:rPr>
          <w:color w:val="000000" w:themeColor="text1"/>
          <w:lang w:eastAsia="ja-JP"/>
        </w:rPr>
        <w:t>権利を</w:t>
      </w:r>
      <w:r w:rsidRPr="006D37D5">
        <w:rPr>
          <w:rFonts w:hint="eastAsia"/>
          <w:color w:val="000000" w:themeColor="text1"/>
          <w:lang w:eastAsia="ja-JP"/>
        </w:rPr>
        <w:t>明確</w:t>
      </w:r>
      <w:r w:rsidRPr="006D37D5">
        <w:rPr>
          <w:color w:val="000000" w:themeColor="text1"/>
          <w:lang w:eastAsia="ja-JP"/>
        </w:rPr>
        <w:t>に保護すべきです。パンデミック、武力紛争、気候変動関連</w:t>
      </w:r>
      <w:r w:rsidRPr="006D37D5">
        <w:rPr>
          <w:rFonts w:hint="eastAsia"/>
          <w:color w:val="000000" w:themeColor="text1"/>
          <w:lang w:eastAsia="ja-JP"/>
        </w:rPr>
        <w:t>の</w:t>
      </w:r>
      <w:r w:rsidRPr="006D37D5">
        <w:rPr>
          <w:color w:val="000000" w:themeColor="text1"/>
          <w:lang w:eastAsia="ja-JP"/>
        </w:rPr>
        <w:t>災害、あるいは経済危機といった危機的状況におけるエイジズムは、救命治療において高齢者を</w:t>
      </w:r>
      <w:r w:rsidRPr="006D37D5">
        <w:rPr>
          <w:rFonts w:hint="eastAsia"/>
          <w:color w:val="000000" w:themeColor="text1"/>
          <w:lang w:eastAsia="ja-JP"/>
        </w:rPr>
        <w:t>最後にする</w:t>
      </w:r>
      <w:r w:rsidRPr="006D37D5">
        <w:rPr>
          <w:color w:val="000000" w:themeColor="text1"/>
          <w:lang w:eastAsia="ja-JP"/>
        </w:rPr>
        <w:t>トリアージの決定、高齢者</w:t>
      </w:r>
      <w:r w:rsidRPr="006D37D5">
        <w:rPr>
          <w:rFonts w:hint="eastAsia"/>
          <w:color w:val="000000" w:themeColor="text1"/>
          <w:lang w:eastAsia="ja-JP"/>
        </w:rPr>
        <w:t>には伝わらない</w:t>
      </w:r>
      <w:r w:rsidRPr="006D37D5">
        <w:rPr>
          <w:color w:val="000000" w:themeColor="text1"/>
          <w:lang w:eastAsia="ja-JP"/>
        </w:rPr>
        <w:t>アクセス困難な情報、あるいは誰もが迅速かつ自立して移動できると想定した避難計画といった形で現れる可能性があります。</w:t>
      </w:r>
      <w:r w:rsidRPr="006D37D5">
        <w:rPr>
          <w:rFonts w:hint="eastAsia"/>
          <w:color w:val="000000" w:themeColor="text1"/>
          <w:lang w:eastAsia="ja-JP"/>
        </w:rPr>
        <w:t>この</w:t>
      </w:r>
      <w:r w:rsidRPr="006D37D5">
        <w:rPr>
          <w:color w:val="000000" w:themeColor="text1"/>
          <w:lang w:eastAsia="ja-JP"/>
        </w:rPr>
        <w:t>条約は、</w:t>
      </w:r>
      <w:r w:rsidRPr="006D37D5">
        <w:rPr>
          <w:rFonts w:hint="eastAsia"/>
          <w:color w:val="000000" w:themeColor="text1"/>
          <w:lang w:eastAsia="ja-JP"/>
        </w:rPr>
        <w:t>インクルーシブ</w:t>
      </w:r>
      <w:r w:rsidRPr="006D37D5">
        <w:rPr>
          <w:color w:val="000000" w:themeColor="text1"/>
          <w:lang w:eastAsia="ja-JP"/>
        </w:rPr>
        <w:t>な防災体制、アクセシブルな早期警報システム、高齢者</w:t>
      </w:r>
      <w:r w:rsidRPr="006D37D5">
        <w:rPr>
          <w:rFonts w:hint="eastAsia"/>
          <w:color w:val="000000" w:themeColor="text1"/>
          <w:lang w:eastAsia="ja-JP"/>
        </w:rPr>
        <w:t>に配慮した</w:t>
      </w:r>
      <w:r w:rsidRPr="006D37D5">
        <w:rPr>
          <w:color w:val="000000" w:themeColor="text1"/>
          <w:lang w:eastAsia="ja-JP"/>
        </w:rPr>
        <w:t>避難</w:t>
      </w:r>
      <w:r w:rsidRPr="006D37D5">
        <w:rPr>
          <w:rFonts w:hint="eastAsia"/>
          <w:color w:val="000000" w:themeColor="text1"/>
          <w:lang w:eastAsia="ja-JP"/>
        </w:rPr>
        <w:t>と</w:t>
      </w:r>
      <w:r w:rsidRPr="006D37D5">
        <w:rPr>
          <w:color w:val="000000" w:themeColor="text1"/>
          <w:lang w:eastAsia="ja-JP"/>
        </w:rPr>
        <w:t>避難所、ケアの継続、および緊急事態における放置や遺棄からの保護について、明確な義務を定めるべきです。</w:t>
      </w:r>
    </w:p>
    <w:p w14:paraId="4B4AD450" w14:textId="77777777" w:rsidR="003A6921" w:rsidRPr="006D37D5" w:rsidRDefault="003A6921" w:rsidP="003A6921">
      <w:pPr>
        <w:ind w:firstLineChars="100" w:firstLine="210"/>
        <w:rPr>
          <w:color w:val="000000" w:themeColor="text1"/>
          <w:lang w:eastAsia="ja-JP"/>
        </w:rPr>
      </w:pPr>
      <w:r w:rsidRPr="006D37D5">
        <w:rPr>
          <w:color w:val="000000" w:themeColor="text1"/>
          <w:lang w:eastAsia="ja-JP"/>
        </w:rPr>
        <w:t>第四に、我々は、高齢者自身が一貫して提起している具体的な優先事項に</w:t>
      </w:r>
      <w:r w:rsidRPr="006D37D5">
        <w:rPr>
          <w:rFonts w:hint="eastAsia"/>
          <w:color w:val="000000" w:themeColor="text1"/>
          <w:lang w:eastAsia="ja-JP"/>
        </w:rPr>
        <w:t>、この条約が</w:t>
      </w:r>
      <w:r w:rsidRPr="006D37D5">
        <w:rPr>
          <w:color w:val="000000" w:themeColor="text1"/>
          <w:lang w:eastAsia="ja-JP"/>
        </w:rPr>
        <w:t>対応するよう</w:t>
      </w:r>
      <w:r w:rsidRPr="006D37D5">
        <w:rPr>
          <w:rFonts w:hint="eastAsia"/>
          <w:color w:val="000000" w:themeColor="text1"/>
          <w:lang w:eastAsia="ja-JP"/>
        </w:rPr>
        <w:t>提言します。</w:t>
      </w:r>
      <w:r w:rsidRPr="006D37D5">
        <w:rPr>
          <w:color w:val="000000" w:themeColor="text1"/>
          <w:lang w:eastAsia="ja-JP"/>
        </w:rPr>
        <w:t>すなわち、社会的保護、自律と</w:t>
      </w:r>
      <w:r w:rsidRPr="006D37D5">
        <w:rPr>
          <w:rFonts w:hint="eastAsia"/>
          <w:color w:val="000000" w:themeColor="text1"/>
          <w:lang w:eastAsia="ja-JP"/>
        </w:rPr>
        <w:t>独立</w:t>
      </w:r>
      <w:r w:rsidRPr="006D37D5">
        <w:rPr>
          <w:color w:val="000000" w:themeColor="text1"/>
          <w:lang w:eastAsia="ja-JP"/>
        </w:rPr>
        <w:t>、生涯学習、そして</w:t>
      </w:r>
      <w:r w:rsidRPr="006D37D5">
        <w:rPr>
          <w:rFonts w:hint="eastAsia"/>
          <w:color w:val="000000" w:themeColor="text1"/>
          <w:lang w:eastAsia="ja-JP"/>
        </w:rPr>
        <w:t>健康権です。</w:t>
      </w:r>
      <w:r w:rsidRPr="006D37D5">
        <w:rPr>
          <w:color w:val="000000" w:themeColor="text1"/>
          <w:lang w:eastAsia="ja-JP"/>
        </w:rPr>
        <w:t>高齢者は、貧困を防ぎ、尊厳</w:t>
      </w:r>
      <w:r w:rsidRPr="006D37D5">
        <w:rPr>
          <w:rFonts w:hint="eastAsia"/>
          <w:color w:val="000000" w:themeColor="text1"/>
          <w:lang w:eastAsia="ja-JP"/>
        </w:rPr>
        <w:t>のある</w:t>
      </w:r>
      <w:r w:rsidRPr="006D37D5">
        <w:rPr>
          <w:color w:val="000000" w:themeColor="text1"/>
          <w:lang w:eastAsia="ja-JP"/>
        </w:rPr>
        <w:t>生活を可能にする、十分な所得、年金、および社会的保護制度を必要とします。高齢者は、地域社会での生活</w:t>
      </w:r>
      <w:r w:rsidRPr="006D37D5">
        <w:rPr>
          <w:rFonts w:hint="eastAsia"/>
          <w:color w:val="000000" w:themeColor="text1"/>
          <w:lang w:eastAsia="ja-JP"/>
        </w:rPr>
        <w:t>支援</w:t>
      </w:r>
      <w:r w:rsidRPr="006D37D5">
        <w:rPr>
          <w:color w:val="000000" w:themeColor="text1"/>
          <w:lang w:eastAsia="ja-JP"/>
        </w:rPr>
        <w:t>、アクセシブルな住宅、交通手段、支援</w:t>
      </w:r>
      <w:r w:rsidRPr="006D37D5">
        <w:rPr>
          <w:rFonts w:hint="eastAsia"/>
          <w:color w:val="000000" w:themeColor="text1"/>
          <w:lang w:eastAsia="ja-JP"/>
        </w:rPr>
        <w:t>機器を利用し</w:t>
      </w:r>
      <w:r w:rsidRPr="006D37D5">
        <w:rPr>
          <w:color w:val="000000" w:themeColor="text1"/>
          <w:lang w:eastAsia="ja-JP"/>
        </w:rPr>
        <w:t>ながら、可能な限り</w:t>
      </w:r>
      <w:r w:rsidRPr="006D37D5">
        <w:rPr>
          <w:rFonts w:hint="eastAsia"/>
          <w:color w:val="000000" w:themeColor="text1"/>
          <w:lang w:eastAsia="ja-JP"/>
        </w:rPr>
        <w:t>独立した生活</w:t>
      </w:r>
      <w:r w:rsidRPr="006D37D5">
        <w:rPr>
          <w:color w:val="000000" w:themeColor="text1"/>
          <w:lang w:eastAsia="ja-JP"/>
        </w:rPr>
        <w:t>を維持したいと望んでいます。生涯教育や年齢を問わない雇用政策を通じて、希望すれば学び、働き、社会に貢献し続ける権利を</w:t>
      </w:r>
      <w:r w:rsidRPr="006D37D5">
        <w:rPr>
          <w:rFonts w:hint="eastAsia"/>
          <w:color w:val="000000" w:themeColor="text1"/>
          <w:lang w:eastAsia="ja-JP"/>
        </w:rPr>
        <w:t>もって</w:t>
      </w:r>
      <w:r w:rsidRPr="006D37D5">
        <w:rPr>
          <w:color w:val="000000" w:themeColor="text1"/>
          <w:lang w:eastAsia="ja-JP"/>
        </w:rPr>
        <w:t>います。また、</w:t>
      </w:r>
      <w:r w:rsidRPr="006D37D5">
        <w:rPr>
          <w:rFonts w:hint="eastAsia"/>
          <w:color w:val="000000" w:themeColor="text1"/>
          <w:lang w:eastAsia="ja-JP"/>
        </w:rPr>
        <w:t>高齢期</w:t>
      </w:r>
      <w:r w:rsidRPr="006D37D5">
        <w:rPr>
          <w:color w:val="000000" w:themeColor="text1"/>
          <w:lang w:eastAsia="ja-JP"/>
        </w:rPr>
        <w:t>を通じて、老年医療サービスや長期ケアへのアクセスを含め、</w:t>
      </w:r>
      <w:r w:rsidRPr="006D37D5">
        <w:rPr>
          <w:rFonts w:hint="eastAsia"/>
          <w:color w:val="000000" w:themeColor="text1"/>
          <w:lang w:eastAsia="ja-JP"/>
        </w:rPr>
        <w:t>到達</w:t>
      </w:r>
      <w:r w:rsidRPr="006D37D5">
        <w:rPr>
          <w:color w:val="000000" w:themeColor="text1"/>
          <w:lang w:eastAsia="ja-JP"/>
        </w:rPr>
        <w:t xml:space="preserve">可能な最高水準の心身の健康を享受しなければなりません。 </w:t>
      </w:r>
    </w:p>
    <w:p w14:paraId="10BFE77E" w14:textId="77777777" w:rsidR="003A6921" w:rsidRPr="006D37D5" w:rsidRDefault="003A6921" w:rsidP="003A6921">
      <w:pPr>
        <w:ind w:firstLineChars="100" w:firstLine="210"/>
        <w:rPr>
          <w:color w:val="000000" w:themeColor="text1"/>
          <w:lang w:eastAsia="ja-JP"/>
        </w:rPr>
      </w:pPr>
      <w:r w:rsidRPr="006D37D5">
        <w:rPr>
          <w:color w:val="000000" w:themeColor="text1"/>
          <w:lang w:eastAsia="ja-JP"/>
        </w:rPr>
        <w:t>第五に、高齢者の権利に影響</w:t>
      </w:r>
      <w:r w:rsidRPr="006D37D5">
        <w:rPr>
          <w:rFonts w:hint="eastAsia"/>
          <w:color w:val="000000" w:themeColor="text1"/>
          <w:lang w:eastAsia="ja-JP"/>
        </w:rPr>
        <w:t>する</w:t>
      </w:r>
      <w:r w:rsidRPr="006D37D5">
        <w:rPr>
          <w:color w:val="000000" w:themeColor="text1"/>
          <w:lang w:eastAsia="ja-JP"/>
        </w:rPr>
        <w:t>新たな、あるいは現代的な人権問題が、この条約</w:t>
      </w:r>
      <w:r w:rsidRPr="006D37D5">
        <w:rPr>
          <w:rFonts w:hint="eastAsia"/>
          <w:color w:val="000000" w:themeColor="text1"/>
          <w:lang w:eastAsia="ja-JP"/>
        </w:rPr>
        <w:t>で</w:t>
      </w:r>
      <w:r w:rsidRPr="006D37D5">
        <w:rPr>
          <w:color w:val="000000" w:themeColor="text1"/>
          <w:lang w:eastAsia="ja-JP"/>
        </w:rPr>
        <w:t>取り上げられるべきです。</w:t>
      </w:r>
      <w:r w:rsidRPr="006D37D5">
        <w:rPr>
          <w:rFonts w:hint="eastAsia"/>
          <w:color w:val="000000" w:themeColor="text1"/>
          <w:lang w:eastAsia="ja-JP"/>
        </w:rPr>
        <w:t>それは</w:t>
      </w:r>
      <w:r w:rsidRPr="006D37D5">
        <w:rPr>
          <w:color w:val="000000" w:themeColor="text1"/>
          <w:lang w:eastAsia="ja-JP"/>
        </w:rPr>
        <w:t>気候正義、企業の説明責任、</w:t>
      </w:r>
      <w:r w:rsidRPr="006D37D5">
        <w:rPr>
          <w:rFonts w:hint="eastAsia"/>
          <w:color w:val="000000" w:themeColor="text1"/>
          <w:lang w:eastAsia="ja-JP"/>
        </w:rPr>
        <w:t>技術</w:t>
      </w:r>
      <w:r w:rsidRPr="006D37D5">
        <w:rPr>
          <w:color w:val="000000" w:themeColor="text1"/>
          <w:lang w:eastAsia="ja-JP"/>
        </w:rPr>
        <w:t>、人工知能、デジタル権</w:t>
      </w:r>
      <w:r w:rsidRPr="006D37D5">
        <w:rPr>
          <w:strike/>
          <w:color w:val="000000" w:themeColor="text1"/>
          <w:lang w:eastAsia="ja-JP"/>
        </w:rPr>
        <w:t>利</w:t>
      </w:r>
      <w:r w:rsidRPr="006D37D5">
        <w:rPr>
          <w:color w:val="000000" w:themeColor="text1"/>
          <w:lang w:eastAsia="ja-JP"/>
        </w:rPr>
        <w:t>など</w:t>
      </w:r>
      <w:r w:rsidRPr="006D37D5">
        <w:rPr>
          <w:rFonts w:hint="eastAsia"/>
          <w:color w:val="000000" w:themeColor="text1"/>
          <w:lang w:eastAsia="ja-JP"/>
        </w:rPr>
        <w:t>ですが、そ</w:t>
      </w:r>
      <w:r w:rsidRPr="006D37D5">
        <w:rPr>
          <w:color w:val="000000" w:themeColor="text1"/>
          <w:lang w:eastAsia="ja-JP"/>
        </w:rPr>
        <w:t>れらに限定され</w:t>
      </w:r>
      <w:r w:rsidRPr="006D37D5">
        <w:rPr>
          <w:rFonts w:hint="eastAsia"/>
          <w:color w:val="000000" w:themeColor="text1"/>
          <w:lang w:eastAsia="ja-JP"/>
        </w:rPr>
        <w:t>ません。</w:t>
      </w:r>
      <w:r w:rsidRPr="006D37D5">
        <w:rPr>
          <w:color w:val="000000" w:themeColor="text1"/>
          <w:lang w:eastAsia="ja-JP"/>
        </w:rPr>
        <w:t>変革的な条約</w:t>
      </w:r>
      <w:r w:rsidRPr="006D37D5">
        <w:rPr>
          <w:rFonts w:hint="eastAsia"/>
          <w:color w:val="000000" w:themeColor="text1"/>
          <w:lang w:eastAsia="ja-JP"/>
        </w:rPr>
        <w:t>を</w:t>
      </w:r>
      <w:r w:rsidRPr="006D37D5">
        <w:rPr>
          <w:color w:val="000000" w:themeColor="text1"/>
          <w:lang w:eastAsia="ja-JP"/>
        </w:rPr>
        <w:t>目指す</w:t>
      </w:r>
      <w:r w:rsidRPr="006D37D5">
        <w:rPr>
          <w:rFonts w:hint="eastAsia"/>
          <w:color w:val="000000" w:themeColor="text1"/>
          <w:lang w:eastAsia="ja-JP"/>
        </w:rPr>
        <w:t>なら</w:t>
      </w:r>
      <w:r w:rsidRPr="006D37D5">
        <w:rPr>
          <w:color w:val="000000" w:themeColor="text1"/>
          <w:lang w:eastAsia="ja-JP"/>
        </w:rPr>
        <w:t>、我々はこれらの現代的な課題に特に注意を払い、高齢者の権利</w:t>
      </w:r>
      <w:r w:rsidRPr="006D37D5">
        <w:rPr>
          <w:rFonts w:hint="eastAsia"/>
          <w:color w:val="000000" w:themeColor="text1"/>
          <w:lang w:eastAsia="ja-JP"/>
        </w:rPr>
        <w:t>を現在そして未来の子ども達のためにも守るための</w:t>
      </w:r>
      <w:r w:rsidRPr="006D37D5">
        <w:rPr>
          <w:color w:val="000000" w:themeColor="text1"/>
          <w:lang w:eastAsia="ja-JP"/>
        </w:rPr>
        <w:t xml:space="preserve">持続可能な保障措置を講じるべきです。 </w:t>
      </w:r>
    </w:p>
    <w:p w14:paraId="2D208BDD" w14:textId="77777777" w:rsidR="003A6921" w:rsidRPr="006D37D5" w:rsidRDefault="003A6921" w:rsidP="003A6921">
      <w:pPr>
        <w:ind w:firstLineChars="100" w:firstLine="210"/>
        <w:rPr>
          <w:color w:val="000000" w:themeColor="text1"/>
          <w:lang w:eastAsia="ja-JP"/>
        </w:rPr>
      </w:pPr>
      <w:r w:rsidRPr="006D37D5">
        <w:rPr>
          <w:color w:val="000000" w:themeColor="text1"/>
          <w:lang w:eastAsia="ja-JP"/>
        </w:rPr>
        <w:t>最後に、この国際的な法的拘束力のある文書を効果的なものとするためには、</w:t>
      </w:r>
      <w:r w:rsidRPr="006D37D5">
        <w:rPr>
          <w:rFonts w:hint="eastAsia"/>
          <w:color w:val="000000" w:themeColor="text1"/>
          <w:lang w:eastAsia="ja-JP"/>
        </w:rPr>
        <w:t>国内人権機関（</w:t>
      </w:r>
      <w:r w:rsidRPr="006D37D5">
        <w:rPr>
          <w:color w:val="000000" w:themeColor="text1"/>
          <w:lang w:eastAsia="ja-JP"/>
        </w:rPr>
        <w:t>NHRI</w:t>
      </w:r>
      <w:r w:rsidRPr="006D37D5">
        <w:rPr>
          <w:rFonts w:hint="eastAsia"/>
          <w:color w:val="000000" w:themeColor="text1"/>
          <w:lang w:eastAsia="ja-JP"/>
        </w:rPr>
        <w:t>）</w:t>
      </w:r>
      <w:r w:rsidRPr="006D37D5">
        <w:rPr>
          <w:color w:val="000000" w:themeColor="text1"/>
          <w:lang w:eastAsia="ja-JP"/>
        </w:rPr>
        <w:t>および関連する国内機関の役割を明確に定めた、強力</w:t>
      </w:r>
      <w:r w:rsidRPr="006D37D5">
        <w:rPr>
          <w:rFonts w:hint="eastAsia"/>
          <w:color w:val="000000" w:themeColor="text1"/>
          <w:lang w:eastAsia="ja-JP"/>
        </w:rPr>
        <w:t>で</w:t>
      </w:r>
      <w:r w:rsidRPr="006D37D5">
        <w:rPr>
          <w:color w:val="000000" w:themeColor="text1"/>
          <w:lang w:eastAsia="ja-JP"/>
        </w:rPr>
        <w:t>独立した監視</w:t>
      </w:r>
      <w:r w:rsidRPr="006D37D5">
        <w:rPr>
          <w:rFonts w:hint="eastAsia"/>
          <w:color w:val="000000" w:themeColor="text1"/>
          <w:lang w:eastAsia="ja-JP"/>
        </w:rPr>
        <w:t>の仕組み</w:t>
      </w:r>
      <w:r w:rsidRPr="006D37D5">
        <w:rPr>
          <w:color w:val="000000" w:themeColor="text1"/>
          <w:lang w:eastAsia="ja-JP"/>
        </w:rPr>
        <w:t>を確立すべきです。この監視</w:t>
      </w:r>
      <w:r w:rsidRPr="006D37D5">
        <w:rPr>
          <w:rFonts w:hint="eastAsia"/>
          <w:color w:val="000000" w:themeColor="text1"/>
          <w:lang w:eastAsia="ja-JP"/>
        </w:rPr>
        <w:t>の仕組みでは</w:t>
      </w:r>
      <w:r w:rsidRPr="006D37D5">
        <w:rPr>
          <w:color w:val="000000" w:themeColor="text1"/>
          <w:lang w:eastAsia="ja-JP"/>
        </w:rPr>
        <w:t>、主にパリ原則に準拠する国内人権機関は、NGOや高齢者自身と共に主要な主体の一つとして認識されるべきです。これらは、独立した情報やデータを提供し、高齢者の声や経験を</w:t>
      </w:r>
      <w:r w:rsidRPr="006D37D5">
        <w:rPr>
          <w:rFonts w:hint="eastAsia"/>
          <w:color w:val="000000" w:themeColor="text1"/>
          <w:lang w:eastAsia="ja-JP"/>
        </w:rPr>
        <w:t>提出</w:t>
      </w:r>
      <w:r w:rsidRPr="006D37D5">
        <w:rPr>
          <w:color w:val="000000" w:themeColor="text1"/>
          <w:lang w:eastAsia="ja-JP"/>
        </w:rPr>
        <w:t>し、国内レベルでの勧告に関する監視、報告、フォローアップに貢献し、他の</w:t>
      </w:r>
      <w:r w:rsidRPr="006D37D5">
        <w:rPr>
          <w:rFonts w:hint="eastAsia"/>
          <w:color w:val="000000" w:themeColor="text1"/>
          <w:lang w:eastAsia="ja-JP"/>
        </w:rPr>
        <w:t>利害関係者</w:t>
      </w:r>
      <w:r w:rsidRPr="006D37D5">
        <w:rPr>
          <w:color w:val="000000" w:themeColor="text1"/>
          <w:lang w:eastAsia="ja-JP"/>
        </w:rPr>
        <w:t>と連携して実施状況を監視</w:t>
      </w:r>
      <w:r w:rsidRPr="006D37D5">
        <w:rPr>
          <w:rFonts w:hint="eastAsia"/>
          <w:color w:val="000000" w:themeColor="text1"/>
          <w:lang w:eastAsia="ja-JP"/>
        </w:rPr>
        <w:t>します</w:t>
      </w:r>
      <w:r w:rsidRPr="006D37D5">
        <w:rPr>
          <w:color w:val="000000" w:themeColor="text1"/>
          <w:lang w:eastAsia="ja-JP"/>
        </w:rPr>
        <w:t>。高齢者の司法へのアクセスを強化</w:t>
      </w:r>
      <w:r w:rsidRPr="006D37D5">
        <w:rPr>
          <w:rFonts w:hint="eastAsia"/>
          <w:color w:val="000000" w:themeColor="text1"/>
          <w:lang w:eastAsia="ja-JP"/>
        </w:rPr>
        <w:t>するとともに</w:t>
      </w:r>
      <w:r w:rsidRPr="006D37D5">
        <w:rPr>
          <w:color w:val="000000" w:themeColor="text1"/>
          <w:lang w:eastAsia="ja-JP"/>
        </w:rPr>
        <w:t>、国内救済措置をすべて尽くした場合</w:t>
      </w:r>
      <w:r w:rsidRPr="006D37D5">
        <w:rPr>
          <w:rFonts w:hint="eastAsia"/>
          <w:color w:val="000000" w:themeColor="text1"/>
          <w:lang w:eastAsia="ja-JP"/>
        </w:rPr>
        <w:t>にも</w:t>
      </w:r>
      <w:r w:rsidRPr="006D37D5">
        <w:rPr>
          <w:color w:val="000000" w:themeColor="text1"/>
          <w:lang w:eastAsia="ja-JP"/>
        </w:rPr>
        <w:t>高齢者を人権侵害から保護するため、個別の苦情申立または通報手続きの規定は、別途の議定書ではなく、条約に組み込むことを検討すべきです。</w:t>
      </w:r>
      <w:r w:rsidRPr="006D37D5">
        <w:rPr>
          <w:rFonts w:hint="eastAsia"/>
          <w:color w:val="000000" w:themeColor="text1"/>
          <w:lang w:eastAsia="ja-JP"/>
        </w:rPr>
        <w:t xml:space="preserve">　</w:t>
      </w:r>
    </w:p>
    <w:p w14:paraId="54A274E0" w14:textId="77777777" w:rsidR="003A6921" w:rsidRPr="006D37D5" w:rsidRDefault="003A6921" w:rsidP="003A6921">
      <w:pPr>
        <w:ind w:firstLineChars="100" w:firstLine="210"/>
        <w:rPr>
          <w:color w:val="000000" w:themeColor="text1"/>
          <w:lang w:eastAsia="ja-JP"/>
        </w:rPr>
      </w:pPr>
      <w:r w:rsidRPr="006D37D5">
        <w:rPr>
          <w:color w:val="000000" w:themeColor="text1"/>
          <w:lang w:eastAsia="ja-JP"/>
        </w:rPr>
        <w:t>ここで議論しているのは、福祉</w:t>
      </w:r>
      <w:r w:rsidRPr="006D37D5">
        <w:rPr>
          <w:rFonts w:hint="eastAsia"/>
          <w:color w:val="000000" w:themeColor="text1"/>
          <w:lang w:eastAsia="ja-JP"/>
        </w:rPr>
        <w:t>制度</w:t>
      </w:r>
      <w:r w:rsidRPr="006D37D5">
        <w:rPr>
          <w:color w:val="000000" w:themeColor="text1"/>
          <w:lang w:eastAsia="ja-JP"/>
        </w:rPr>
        <w:t>ではなく、</w:t>
      </w:r>
      <w:r w:rsidRPr="006D37D5">
        <w:rPr>
          <w:rFonts w:hint="eastAsia"/>
          <w:color w:val="000000" w:themeColor="text1"/>
          <w:lang w:eastAsia="ja-JP"/>
        </w:rPr>
        <w:t>包括的な</w:t>
      </w:r>
      <w:r w:rsidRPr="006D37D5">
        <w:rPr>
          <w:color w:val="000000" w:themeColor="text1"/>
          <w:lang w:eastAsia="ja-JP"/>
        </w:rPr>
        <w:t>人権条約です。市民的・政治的権利を保障し、かつ</w:t>
      </w:r>
      <w:r w:rsidRPr="006D37D5">
        <w:rPr>
          <w:rFonts w:hint="eastAsia"/>
          <w:color w:val="000000" w:themeColor="text1"/>
          <w:lang w:eastAsia="ja-JP"/>
        </w:rPr>
        <w:t>（</w:t>
      </w:r>
      <w:r w:rsidRPr="006D37D5">
        <w:rPr>
          <w:color w:val="000000" w:themeColor="text1"/>
          <w:lang w:eastAsia="ja-JP"/>
        </w:rPr>
        <w:t>年齢に基づく差別の禁止を指針として、直ちに履行すべき義務と漸進的実現の両面を通じて</w:t>
      </w:r>
      <w:r w:rsidRPr="006D37D5">
        <w:rPr>
          <w:rFonts w:hint="eastAsia"/>
          <w:color w:val="000000" w:themeColor="text1"/>
          <w:lang w:eastAsia="ja-JP"/>
        </w:rPr>
        <w:t>）</w:t>
      </w:r>
      <w:r w:rsidRPr="006D37D5">
        <w:rPr>
          <w:color w:val="000000" w:themeColor="text1"/>
          <w:lang w:eastAsia="ja-JP"/>
        </w:rPr>
        <w:t>経済的・社会的・文化的権利を平等に</w:t>
      </w:r>
      <w:r w:rsidRPr="006D37D5">
        <w:rPr>
          <w:rFonts w:hint="eastAsia"/>
          <w:color w:val="000000" w:themeColor="text1"/>
          <w:lang w:eastAsia="ja-JP"/>
        </w:rPr>
        <w:t>保障</w:t>
      </w:r>
      <w:r w:rsidRPr="006D37D5">
        <w:rPr>
          <w:color w:val="000000" w:themeColor="text1"/>
          <w:lang w:eastAsia="ja-JP"/>
        </w:rPr>
        <w:t>する条約は、世界中の高齢者の権利保護に有意義な影響をもたらすでしょう。</w:t>
      </w:r>
    </w:p>
    <w:p w14:paraId="4FF64C47" w14:textId="62A9C273" w:rsidR="003A6921" w:rsidRPr="006D37D5" w:rsidRDefault="003A6921" w:rsidP="003A6921">
      <w:pPr>
        <w:ind w:firstLineChars="100" w:firstLine="210"/>
        <w:rPr>
          <w:color w:val="000000" w:themeColor="text1"/>
          <w:lang w:eastAsia="ja-JP"/>
        </w:rPr>
      </w:pPr>
      <w:r w:rsidRPr="006D37D5">
        <w:rPr>
          <w:color w:val="000000" w:themeColor="text1"/>
          <w:lang w:eastAsia="ja-JP"/>
        </w:rPr>
        <w:t>ありがとうございました</w:t>
      </w:r>
      <w:r w:rsidRPr="006D37D5">
        <w:rPr>
          <w:rFonts w:hint="eastAsia"/>
          <w:color w:val="000000" w:themeColor="text1"/>
          <w:lang w:eastAsia="ja-JP"/>
        </w:rPr>
        <w:t>。</w:t>
      </w:r>
      <w:r w:rsidRPr="006D37D5">
        <w:rPr>
          <w:color w:val="000000" w:themeColor="text1"/>
          <w:lang w:eastAsia="ja-JP"/>
        </w:rPr>
        <w:t>マランギン・サラマット・ポ</w:t>
      </w:r>
      <w:r w:rsidRPr="006D37D5">
        <w:rPr>
          <w:rFonts w:hint="eastAsia"/>
          <w:color w:val="000000" w:themeColor="text1"/>
          <w:lang w:eastAsia="ja-JP"/>
        </w:rPr>
        <w:t>（「本当にありがとうございます」という意味のフィリピンのタガログ語）</w:t>
      </w:r>
      <w:r w:rsidRPr="006D37D5">
        <w:rPr>
          <w:color w:val="000000" w:themeColor="text1"/>
          <w:lang w:eastAsia="ja-JP"/>
        </w:rPr>
        <w:t>。</w:t>
      </w:r>
    </w:p>
    <w:p w14:paraId="6BC1F778" w14:textId="2595A965" w:rsidR="000B2AFD" w:rsidRDefault="003A6921" w:rsidP="003A6921">
      <w:pPr>
        <w:ind w:firstLineChars="100" w:firstLine="210"/>
        <w:jc w:val="right"/>
      </w:pPr>
      <w:r w:rsidRPr="006D37D5">
        <w:rPr>
          <w:rFonts w:hint="eastAsia"/>
          <w:color w:val="000000" w:themeColor="text1"/>
          <w:lang w:eastAsia="ja-JP"/>
        </w:rPr>
        <w:t>（翻訳：佐藤久夫、高田清恵）</w:t>
      </w:r>
    </w:p>
    <w:sectPr w:rsidR="000B2AFD" w:rsidSect="006A05DC">
      <w:footerReference w:type="even" r:id="rId6"/>
      <w:footerReference w:type="default" r:id="rId7"/>
      <w:footerReference w:type="first" r:id="rId8"/>
      <w:pgSz w:w="11907" w:h="16840" w:code="9"/>
      <w:pgMar w:top="1985" w:right="1701" w:bottom="1701" w:left="1701" w:header="851" w:footer="567" w:gutter="0"/>
      <w:cols w:space="425"/>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0B554" w14:textId="77777777" w:rsidR="00717DF7" w:rsidRDefault="00717DF7" w:rsidP="003A6921">
      <w:r>
        <w:separator/>
      </w:r>
    </w:p>
  </w:endnote>
  <w:endnote w:type="continuationSeparator" w:id="0">
    <w:p w14:paraId="50ADF5FB" w14:textId="77777777" w:rsidR="00717DF7" w:rsidRDefault="00717DF7" w:rsidP="003A6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38264"/>
      <w:docPartObj>
        <w:docPartGallery w:val="Page Numbers (Bottom of Page)"/>
        <w:docPartUnique/>
      </w:docPartObj>
    </w:sdtPr>
    <w:sdtContent>
      <w:p w14:paraId="00F3DC4E" w14:textId="00277E86" w:rsidR="003A6921" w:rsidRDefault="003A6921">
        <w:pPr>
          <w:pStyle w:val="ac"/>
        </w:pPr>
        <w:r>
          <w:fldChar w:fldCharType="begin"/>
        </w:r>
        <w:r>
          <w:instrText>PAGE   \* MERGEFORMAT</w:instrText>
        </w:r>
        <w:r>
          <w:fldChar w:fldCharType="separate"/>
        </w:r>
        <w:r>
          <w:rPr>
            <w:lang w:val="ja-JP" w:eastAsia="ja-JP"/>
          </w:rPr>
          <w:t>2</w:t>
        </w:r>
        <w:r>
          <w:fldChar w:fldCharType="end"/>
        </w:r>
      </w:p>
    </w:sdtContent>
  </w:sdt>
  <w:p w14:paraId="32530A8F" w14:textId="77777777" w:rsidR="003A6921" w:rsidRDefault="003A6921">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2611727"/>
      <w:docPartObj>
        <w:docPartGallery w:val="Page Numbers (Bottom of Page)"/>
        <w:docPartUnique/>
      </w:docPartObj>
    </w:sdtPr>
    <w:sdtContent>
      <w:p w14:paraId="2DF939DB" w14:textId="60A15D2F" w:rsidR="003A6921" w:rsidRDefault="003A6921">
        <w:pPr>
          <w:pStyle w:val="ac"/>
        </w:pPr>
        <w:r>
          <w:fldChar w:fldCharType="begin"/>
        </w:r>
        <w:r>
          <w:instrText>PAGE   \* MERGEFORMAT</w:instrText>
        </w:r>
        <w:r>
          <w:fldChar w:fldCharType="separate"/>
        </w:r>
        <w:r>
          <w:rPr>
            <w:lang w:val="ja-JP" w:eastAsia="ja-JP"/>
          </w:rPr>
          <w:t>2</w:t>
        </w:r>
        <w:r>
          <w:fldChar w:fldCharType="end"/>
        </w:r>
      </w:p>
    </w:sdtContent>
  </w:sdt>
  <w:p w14:paraId="09B91383" w14:textId="77777777" w:rsidR="003A6921" w:rsidRDefault="003A6921">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370720"/>
      <w:docPartObj>
        <w:docPartGallery w:val="Page Numbers (Bottom of Page)"/>
        <w:docPartUnique/>
      </w:docPartObj>
    </w:sdtPr>
    <w:sdtContent>
      <w:p w14:paraId="0B8847AD" w14:textId="580F9807" w:rsidR="003A6921" w:rsidRDefault="003A6921">
        <w:pPr>
          <w:pStyle w:val="ac"/>
        </w:pPr>
        <w:r>
          <w:fldChar w:fldCharType="begin"/>
        </w:r>
        <w:r>
          <w:instrText>PAGE   \* MERGEFORMAT</w:instrText>
        </w:r>
        <w:r>
          <w:fldChar w:fldCharType="separate"/>
        </w:r>
        <w:r>
          <w:rPr>
            <w:lang w:val="ja-JP" w:eastAsia="ja-JP"/>
          </w:rPr>
          <w:t>2</w:t>
        </w:r>
        <w:r>
          <w:fldChar w:fldCharType="end"/>
        </w:r>
      </w:p>
    </w:sdtContent>
  </w:sdt>
  <w:p w14:paraId="77FBA224" w14:textId="77777777" w:rsidR="003A6921" w:rsidRDefault="003A692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CAA96" w14:textId="77777777" w:rsidR="00717DF7" w:rsidRDefault="00717DF7" w:rsidP="003A6921">
      <w:r>
        <w:separator/>
      </w:r>
    </w:p>
  </w:footnote>
  <w:footnote w:type="continuationSeparator" w:id="0">
    <w:p w14:paraId="302D76D3" w14:textId="77777777" w:rsidR="00717DF7" w:rsidRDefault="00717DF7" w:rsidP="003A69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921"/>
    <w:rsid w:val="000B2AFD"/>
    <w:rsid w:val="00152B39"/>
    <w:rsid w:val="001E003B"/>
    <w:rsid w:val="003126F0"/>
    <w:rsid w:val="003A6921"/>
    <w:rsid w:val="003A6E34"/>
    <w:rsid w:val="00692D7C"/>
    <w:rsid w:val="006A05DC"/>
    <w:rsid w:val="00717DF7"/>
    <w:rsid w:val="00AF582A"/>
    <w:rsid w:val="00B37471"/>
    <w:rsid w:val="00B53D50"/>
    <w:rsid w:val="00DB6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A8B62F"/>
  <w15:chartTrackingRefBased/>
  <w15:docId w15:val="{E50AB2D8-B5BF-4116-9859-42B467E32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921"/>
    <w:pPr>
      <w:widowControl w:val="0"/>
      <w:jc w:val="both"/>
    </w:pPr>
  </w:style>
  <w:style w:type="paragraph" w:styleId="1">
    <w:name w:val="heading 1"/>
    <w:basedOn w:val="a"/>
    <w:next w:val="a"/>
    <w:link w:val="10"/>
    <w:uiPriority w:val="9"/>
    <w:qFormat/>
    <w:rsid w:val="003A692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A692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A692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A692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A692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A692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A692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A692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A692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A692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A692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A692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A692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A692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A692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A692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A692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A692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A692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A69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692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A69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6921"/>
    <w:pPr>
      <w:spacing w:before="160" w:after="160"/>
      <w:jc w:val="center"/>
    </w:pPr>
    <w:rPr>
      <w:i/>
      <w:iCs/>
      <w:color w:val="404040" w:themeColor="text1" w:themeTint="BF"/>
    </w:rPr>
  </w:style>
  <w:style w:type="character" w:customStyle="1" w:styleId="a8">
    <w:name w:val="引用文 (文字)"/>
    <w:basedOn w:val="a0"/>
    <w:link w:val="a7"/>
    <w:uiPriority w:val="29"/>
    <w:rsid w:val="003A6921"/>
    <w:rPr>
      <w:i/>
      <w:iCs/>
      <w:color w:val="404040" w:themeColor="text1" w:themeTint="BF"/>
    </w:rPr>
  </w:style>
  <w:style w:type="paragraph" w:styleId="a9">
    <w:name w:val="List Paragraph"/>
    <w:basedOn w:val="a"/>
    <w:uiPriority w:val="34"/>
    <w:qFormat/>
    <w:rsid w:val="003A6921"/>
    <w:pPr>
      <w:ind w:left="720"/>
      <w:contextualSpacing/>
    </w:pPr>
  </w:style>
  <w:style w:type="character" w:styleId="21">
    <w:name w:val="Intense Emphasis"/>
    <w:basedOn w:val="a0"/>
    <w:uiPriority w:val="21"/>
    <w:qFormat/>
    <w:rsid w:val="003A6921"/>
    <w:rPr>
      <w:i/>
      <w:iCs/>
      <w:color w:val="2F5496" w:themeColor="accent1" w:themeShade="BF"/>
    </w:rPr>
  </w:style>
  <w:style w:type="paragraph" w:styleId="22">
    <w:name w:val="Intense Quote"/>
    <w:basedOn w:val="a"/>
    <w:next w:val="a"/>
    <w:link w:val="23"/>
    <w:uiPriority w:val="30"/>
    <w:qFormat/>
    <w:rsid w:val="003A69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A6921"/>
    <w:rPr>
      <w:i/>
      <w:iCs/>
      <w:color w:val="2F5496" w:themeColor="accent1" w:themeShade="BF"/>
    </w:rPr>
  </w:style>
  <w:style w:type="character" w:styleId="24">
    <w:name w:val="Intense Reference"/>
    <w:basedOn w:val="a0"/>
    <w:uiPriority w:val="32"/>
    <w:qFormat/>
    <w:rsid w:val="003A6921"/>
    <w:rPr>
      <w:b/>
      <w:bCs/>
      <w:smallCaps/>
      <w:color w:val="2F5496" w:themeColor="accent1" w:themeShade="BF"/>
      <w:spacing w:val="5"/>
    </w:rPr>
  </w:style>
  <w:style w:type="paragraph" w:styleId="aa">
    <w:name w:val="header"/>
    <w:basedOn w:val="a"/>
    <w:link w:val="ab"/>
    <w:uiPriority w:val="99"/>
    <w:unhideWhenUsed/>
    <w:rsid w:val="003A6921"/>
    <w:pPr>
      <w:tabs>
        <w:tab w:val="center" w:pos="4252"/>
        <w:tab w:val="right" w:pos="8504"/>
      </w:tabs>
      <w:snapToGrid w:val="0"/>
    </w:pPr>
  </w:style>
  <w:style w:type="character" w:customStyle="1" w:styleId="ab">
    <w:name w:val="ヘッダー (文字)"/>
    <w:basedOn w:val="a0"/>
    <w:link w:val="aa"/>
    <w:uiPriority w:val="99"/>
    <w:rsid w:val="003A6921"/>
  </w:style>
  <w:style w:type="paragraph" w:styleId="ac">
    <w:name w:val="footer"/>
    <w:basedOn w:val="a"/>
    <w:link w:val="ad"/>
    <w:uiPriority w:val="99"/>
    <w:unhideWhenUsed/>
    <w:rsid w:val="003A6921"/>
    <w:pPr>
      <w:tabs>
        <w:tab w:val="center" w:pos="4252"/>
        <w:tab w:val="right" w:pos="8504"/>
      </w:tabs>
      <w:snapToGrid w:val="0"/>
    </w:pPr>
  </w:style>
  <w:style w:type="character" w:customStyle="1" w:styleId="ad">
    <w:name w:val="フッター (文字)"/>
    <w:basedOn w:val="a0"/>
    <w:link w:val="ac"/>
    <w:uiPriority w:val="99"/>
    <w:rsid w:val="003A6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402</Words>
  <Characters>2294</Characters>
  <Application>Microsoft Office Word</Application>
  <DocSecurity>0</DocSecurity>
  <Lines>19</Lines>
  <Paragraphs>5</Paragraphs>
  <ScaleCrop>false</ScaleCrop>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久夫 佐藤</dc:creator>
  <cp:keywords/>
  <dc:description/>
  <cp:lastModifiedBy>JD 日本障害者協議会</cp:lastModifiedBy>
  <cp:revision>2</cp:revision>
  <dcterms:created xsi:type="dcterms:W3CDTF">2026-05-22T13:03:00Z</dcterms:created>
  <dcterms:modified xsi:type="dcterms:W3CDTF">2026-05-25T08:30:00Z</dcterms:modified>
</cp:coreProperties>
</file>