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4DB3" w14:textId="25CE8631" w:rsidR="008B4DCC" w:rsidRPr="003017A5" w:rsidRDefault="008B4DCC" w:rsidP="008B4DCC">
      <w:pPr>
        <w:rPr>
          <w:rFonts w:ascii="BIZ UDPゴシック" w:eastAsia="BIZ UDPゴシック" w:hAnsi="BIZ UDPゴシック"/>
          <w:color w:val="000000" w:themeColor="text1"/>
          <w:lang w:eastAsia="ja-JP"/>
        </w:rPr>
      </w:pPr>
      <w:r w:rsidRPr="00857805">
        <w:rPr>
          <w:rFonts w:ascii="BIZ UDPゴシック" w:eastAsia="BIZ UDPゴシック" w:hAnsi="BIZ UDPゴシック"/>
        </w:rPr>
        <w:t>高齢者</w:t>
      </w:r>
      <w:r w:rsidRPr="00857805">
        <w:rPr>
          <w:rFonts w:ascii="BIZ UDPゴシック" w:eastAsia="BIZ UDPゴシック" w:hAnsi="BIZ UDPゴシック" w:hint="eastAsia"/>
          <w:lang w:eastAsia="ja-JP"/>
        </w:rPr>
        <w:t>の人権</w:t>
      </w:r>
      <w:r w:rsidRPr="00857805">
        <w:rPr>
          <w:rFonts w:ascii="BIZ UDPゴシック" w:eastAsia="BIZ UDPゴシック" w:hAnsi="BIZ UDPゴシック"/>
        </w:rPr>
        <w:t>に関する政府間作業部会</w:t>
      </w:r>
      <w:r>
        <w:rPr>
          <w:rFonts w:ascii="BIZ UDPゴシック" w:eastAsia="BIZ UDPゴシック" w:hAnsi="BIZ UDPゴシック" w:hint="eastAsia"/>
          <w:lang w:eastAsia="ja-JP"/>
        </w:rPr>
        <w:t xml:space="preserve">　</w:t>
      </w: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Pr>
          <w:rFonts w:ascii="BIZ UDPゴシック" w:eastAsia="BIZ UDPゴシック" w:hAnsi="BIZ UDPゴシック" w:hint="eastAsia"/>
          <w:color w:val="000000" w:themeColor="text1"/>
          <w:lang w:eastAsia="ja-JP"/>
        </w:rPr>
        <w:t xml:space="preserve">　</w:t>
      </w:r>
      <w:r w:rsidRPr="003017A5">
        <w:rPr>
          <w:rFonts w:ascii="BIZ UDPゴシック" w:eastAsia="BIZ UDPゴシック" w:hAnsi="BIZ UDPゴシック" w:hint="eastAsia"/>
          <w:color w:val="000000" w:themeColor="text1"/>
          <w:lang w:eastAsia="ja-JP"/>
        </w:rPr>
        <w:t>パネル</w:t>
      </w:r>
      <w:r>
        <w:rPr>
          <w:rFonts w:ascii="BIZ UDPゴシック" w:eastAsia="BIZ UDPゴシック" w:hAnsi="BIZ UDPゴシック" w:hint="eastAsia"/>
          <w:color w:val="000000" w:themeColor="text1"/>
          <w:lang w:eastAsia="ja-JP"/>
        </w:rPr>
        <w:t>１</w:t>
      </w:r>
      <w:r w:rsidRPr="003017A5">
        <w:rPr>
          <w:rFonts w:ascii="BIZ UDPゴシック" w:eastAsia="BIZ UDPゴシック" w:hAnsi="BIZ UDPゴシック" w:hint="eastAsia"/>
          <w:color w:val="000000" w:themeColor="text1"/>
          <w:lang w:eastAsia="ja-JP"/>
        </w:rPr>
        <w:t xml:space="preserve">　（</w:t>
      </w:r>
      <w:r w:rsidRPr="00561C04">
        <w:rPr>
          <w:rFonts w:ascii="BIZ UDPゴシック" w:eastAsia="BIZ UDPゴシック" w:hAnsi="BIZ UDPゴシック" w:hint="eastAsia"/>
          <w:lang w:eastAsia="ja-JP"/>
        </w:rPr>
        <w:t>背景の確認</w:t>
      </w:r>
      <w:r w:rsidRPr="003017A5">
        <w:rPr>
          <w:rFonts w:ascii="BIZ UDPゴシック" w:eastAsia="BIZ UDPゴシック" w:hAnsi="BIZ UDPゴシック" w:hint="eastAsia"/>
          <w:color w:val="000000" w:themeColor="text1"/>
          <w:lang w:eastAsia="ja-JP"/>
        </w:rPr>
        <w:t>）</w:t>
      </w:r>
    </w:p>
    <w:p w14:paraId="47B8A4E4" w14:textId="551F7FD3" w:rsidR="008B4DCC" w:rsidRPr="003017A5" w:rsidRDefault="008B4DCC" w:rsidP="008B4DCC">
      <w:pPr>
        <w:rPr>
          <w:color w:val="000000" w:themeColor="text1"/>
          <w:lang w:eastAsia="ja-JP"/>
        </w:rPr>
      </w:pPr>
      <w:r w:rsidRPr="003017A5">
        <w:rPr>
          <w:color w:val="000000" w:themeColor="text1"/>
          <w:lang w:eastAsia="ja-JP"/>
        </w:rPr>
        <w:t>2026年2月1</w:t>
      </w:r>
      <w:r>
        <w:rPr>
          <w:rFonts w:hint="eastAsia"/>
          <w:color w:val="000000" w:themeColor="text1"/>
          <w:lang w:eastAsia="ja-JP"/>
        </w:rPr>
        <w:t>8</w:t>
      </w:r>
      <w:r w:rsidRPr="003017A5">
        <w:rPr>
          <w:color w:val="000000" w:themeColor="text1"/>
          <w:lang w:eastAsia="ja-JP"/>
        </w:rPr>
        <w:t>日</w:t>
      </w:r>
    </w:p>
    <w:p w14:paraId="3B352B38" w14:textId="77777777" w:rsidR="00555842" w:rsidRDefault="00555842">
      <w:pPr>
        <w:rPr>
          <w:lang w:eastAsia="ja-JP"/>
        </w:rPr>
      </w:pPr>
    </w:p>
    <w:p w14:paraId="5B66428F" w14:textId="77777777" w:rsidR="00353C50" w:rsidRPr="00472F60" w:rsidRDefault="00353C50" w:rsidP="00353C50">
      <w:pPr>
        <w:ind w:leftChars="1" w:left="424" w:hangingChars="201" w:hanging="422"/>
        <w:rPr>
          <w:rFonts w:ascii="BIZ UDPゴシック" w:eastAsia="BIZ UDPゴシック" w:hAnsi="BIZ UDPゴシック"/>
          <w:lang w:eastAsia="ja-JP"/>
        </w:rPr>
      </w:pPr>
      <w:r w:rsidRPr="00472F60">
        <w:rPr>
          <w:rFonts w:ascii="BIZ UDPゴシック" w:eastAsia="BIZ UDPゴシック" w:hAnsi="BIZ UDPゴシック" w:hint="eastAsia"/>
          <w:lang w:eastAsia="ja-JP"/>
        </w:rPr>
        <w:t xml:space="preserve">① 　</w:t>
      </w:r>
      <w:r w:rsidRPr="00472F60">
        <w:rPr>
          <w:rFonts w:ascii="BIZ UDPゴシック" w:eastAsia="BIZ UDPゴシック" w:hAnsi="BIZ UDPゴシック"/>
          <w:lang w:eastAsia="ja-JP"/>
        </w:rPr>
        <w:t>クラウディア・マーラー氏</w:t>
      </w:r>
      <w:r w:rsidRPr="00472F60">
        <w:rPr>
          <w:rFonts w:ascii="BIZ UDPゴシック" w:eastAsia="BIZ UDPゴシック" w:hAnsi="BIZ UDPゴシック" w:hint="eastAsia"/>
          <w:lang w:eastAsia="ja-JP"/>
        </w:rPr>
        <w:t>、</w:t>
      </w:r>
      <w:r w:rsidRPr="00472F60">
        <w:rPr>
          <w:rFonts w:ascii="BIZ UDPゴシック" w:eastAsia="BIZ UDPゴシック" w:hAnsi="BIZ UDPゴシック"/>
          <w:lang w:eastAsia="ja-JP"/>
        </w:rPr>
        <w:t>高齢者によるすべての人権の享受に関する国連独立専門家</w:t>
      </w:r>
    </w:p>
    <w:p w14:paraId="26C90ABD" w14:textId="77777777" w:rsidR="003B6AD0" w:rsidRDefault="003B6AD0" w:rsidP="003B6AD0"/>
    <w:p w14:paraId="09ADC476" w14:textId="762B12E8" w:rsidR="003B6AD0" w:rsidRDefault="003B6AD0" w:rsidP="003D4FEE">
      <w:pPr>
        <w:ind w:firstLineChars="100" w:firstLine="210"/>
      </w:pPr>
      <w:r w:rsidRPr="003C49A5">
        <w:t>長年にわたるご協力と、</w:t>
      </w:r>
      <w:r w:rsidR="003C49A5">
        <w:rPr>
          <w:rFonts w:hint="eastAsia"/>
          <w:lang w:eastAsia="ja-JP"/>
        </w:rPr>
        <w:t>独立専門家の私をこの会議に招いていただいたこと</w:t>
      </w:r>
      <w:r w:rsidRPr="003C49A5">
        <w:t>に深く感謝いたします。10年を経て、</w:t>
      </w:r>
      <w:r w:rsidR="003C49A5">
        <w:rPr>
          <w:rFonts w:hint="eastAsia"/>
          <w:lang w:eastAsia="ja-JP"/>
        </w:rPr>
        <w:t>私</w:t>
      </w:r>
      <w:r>
        <w:t>が</w:t>
      </w:r>
      <w:r w:rsidR="003C49A5">
        <w:rPr>
          <w:rFonts w:hint="eastAsia"/>
          <w:lang w:eastAsia="ja-JP"/>
        </w:rPr>
        <w:t>高齢者の人権の保護についての</w:t>
      </w:r>
      <w:r>
        <w:t>ニューヨーク</w:t>
      </w:r>
      <w:r w:rsidR="003C49A5">
        <w:rPr>
          <w:rFonts w:hint="eastAsia"/>
          <w:lang w:eastAsia="ja-JP"/>
        </w:rPr>
        <w:t>で</w:t>
      </w:r>
      <w:r>
        <w:t>の議論</w:t>
      </w:r>
      <w:r w:rsidR="003C49A5">
        <w:rPr>
          <w:rFonts w:hint="eastAsia"/>
          <w:lang w:eastAsia="ja-JP"/>
        </w:rPr>
        <w:t>を広げた</w:t>
      </w:r>
      <w:r>
        <w:t>だけでなく、高齢者の人権</w:t>
      </w:r>
      <w:r w:rsidR="003C49A5">
        <w:rPr>
          <w:rFonts w:hint="eastAsia"/>
          <w:lang w:eastAsia="ja-JP"/>
        </w:rPr>
        <w:t>のよりよい</w:t>
      </w:r>
      <w:r>
        <w:t xml:space="preserve">保護も大きく貢献したことを誇りに思います。 </w:t>
      </w:r>
    </w:p>
    <w:p w14:paraId="6A56A780" w14:textId="6D8152AD" w:rsidR="003B6AD0" w:rsidRDefault="003B6AD0" w:rsidP="003D4FEE">
      <w:pPr>
        <w:ind w:firstLineChars="100" w:firstLine="210"/>
      </w:pPr>
      <w:r>
        <w:t xml:space="preserve">ご想像の通り、限られた時間の中で私が言いたいことをすべて盛り込むことは困難です。 </w:t>
      </w:r>
    </w:p>
    <w:p w14:paraId="1964C207" w14:textId="17249982" w:rsidR="003B6AD0" w:rsidRDefault="003B6AD0" w:rsidP="003D4FEE">
      <w:pPr>
        <w:ind w:firstLineChars="100" w:firstLine="210"/>
      </w:pPr>
      <w:r>
        <w:t>私の前任者であるローザ・コーンフェルド＝マッテ氏と私は、高齢者の権利に関する条約</w:t>
      </w:r>
      <w:r w:rsidR="003C49A5">
        <w:rPr>
          <w:rFonts w:hint="eastAsia"/>
          <w:lang w:eastAsia="ja-JP"/>
        </w:rPr>
        <w:t>は</w:t>
      </w:r>
      <w:r>
        <w:t>状況を一変させるもの</w:t>
      </w:r>
      <w:r w:rsidR="003C49A5">
        <w:rPr>
          <w:rFonts w:hint="eastAsia"/>
          <w:lang w:eastAsia="ja-JP"/>
        </w:rPr>
        <w:t>（</w:t>
      </w:r>
      <w:r w:rsidR="003C49A5" w:rsidRPr="003C49A5">
        <w:rPr>
          <w:lang w:eastAsia="ja-JP"/>
        </w:rPr>
        <w:t>game changer</w:t>
      </w:r>
      <w:r w:rsidR="003C49A5">
        <w:rPr>
          <w:rFonts w:hint="eastAsia"/>
          <w:lang w:eastAsia="ja-JP"/>
        </w:rPr>
        <w:t>）</w:t>
      </w:r>
      <w:r>
        <w:t>であることを明らかにし</w:t>
      </w:r>
      <w:r w:rsidR="003C49A5">
        <w:rPr>
          <w:rFonts w:hint="eastAsia"/>
          <w:lang w:eastAsia="ja-JP"/>
        </w:rPr>
        <w:t>てき</w:t>
      </w:r>
      <w:r>
        <w:t>ました。</w:t>
      </w:r>
      <w:r w:rsidR="003C49A5">
        <w:t>現在の人権の枠組みでは、高齢者の現実の生活やその多様性を十分に保護することはできないため</w:t>
      </w:r>
      <w:r w:rsidR="003C49A5">
        <w:rPr>
          <w:rFonts w:hint="eastAsia"/>
          <w:lang w:eastAsia="ja-JP"/>
        </w:rPr>
        <w:t>です。</w:t>
      </w:r>
    </w:p>
    <w:p w14:paraId="497448EE" w14:textId="30DD550F" w:rsidR="003B6AD0" w:rsidRDefault="003B6AD0" w:rsidP="003D4FEE">
      <w:pPr>
        <w:ind w:firstLineChars="100" w:firstLine="210"/>
      </w:pPr>
      <w:r>
        <w:t>したがって、多様な環境下で生活する高齢者の実情に即した有意義な草案となるよう、起草プロセスに高齢者</w:t>
      </w:r>
      <w:r w:rsidR="003C49A5">
        <w:rPr>
          <w:rFonts w:hint="eastAsia"/>
          <w:lang w:eastAsia="ja-JP"/>
        </w:rPr>
        <w:t>が</w:t>
      </w:r>
      <w:r>
        <w:t>参画</w:t>
      </w:r>
      <w:r w:rsidR="003C49A5">
        <w:rPr>
          <w:rFonts w:hint="eastAsia"/>
          <w:lang w:eastAsia="ja-JP"/>
        </w:rPr>
        <w:t>す</w:t>
      </w:r>
      <w:r>
        <w:t>ることが極めて重要です。</w:t>
      </w:r>
      <w:r w:rsidR="002465D2" w:rsidRPr="002465D2">
        <w:rPr>
          <w:rFonts w:hint="eastAsia"/>
        </w:rPr>
        <w:t>パラダイムシフトは、開始時点から明確に位置付ける必要があります</w:t>
      </w:r>
      <w:r>
        <w:t>。</w:t>
      </w:r>
    </w:p>
    <w:p w14:paraId="0D1EA9C1" w14:textId="3B642C36" w:rsidR="003B6AD0" w:rsidRPr="00B27E99" w:rsidRDefault="003B6AD0" w:rsidP="003D4FEE">
      <w:pPr>
        <w:ind w:firstLineChars="100" w:firstLine="210"/>
      </w:pPr>
      <w:r w:rsidRPr="00B27E99">
        <w:t>私は、国別訪問</w:t>
      </w:r>
      <w:r>
        <w:t>や</w:t>
      </w:r>
      <w:r w:rsidRPr="00B27E99">
        <w:t>テーマ別報告</w:t>
      </w:r>
      <w:r w:rsidR="00FE0FEA">
        <w:rPr>
          <w:rFonts w:hint="eastAsia"/>
          <w:lang w:eastAsia="ja-JP"/>
        </w:rPr>
        <w:t>で</w:t>
      </w:r>
      <w:r w:rsidRPr="00B27E99">
        <w:t>、</w:t>
      </w:r>
      <w:r>
        <w:t>体系的なアプローチの転換について</w:t>
      </w:r>
      <w:r w:rsidRPr="00B27E99">
        <w:t>繰り返し議論し</w:t>
      </w:r>
      <w:r>
        <w:t>、現行の人権システムの欠陥と、国や地域レベルでの優れた実践例を</w:t>
      </w:r>
      <w:r w:rsidR="003C49A5">
        <w:rPr>
          <w:rFonts w:hint="eastAsia"/>
          <w:lang w:eastAsia="ja-JP"/>
        </w:rPr>
        <w:t>とりあげ</w:t>
      </w:r>
      <w:r>
        <w:t>てきました。</w:t>
      </w:r>
    </w:p>
    <w:p w14:paraId="6C631C0A" w14:textId="38E1361D" w:rsidR="003B6AD0" w:rsidRDefault="003B6AD0" w:rsidP="003D4FEE">
      <w:pPr>
        <w:ind w:firstLineChars="100" w:firstLine="210"/>
      </w:pPr>
      <w:r>
        <w:t>独立専門家としての任務</w:t>
      </w:r>
      <w:r w:rsidRPr="00B27E99">
        <w:t>期間中</w:t>
      </w:r>
      <w:r>
        <w:t>、</w:t>
      </w:r>
      <w:r w:rsidRPr="00B27E99">
        <w:t>私は</w:t>
      </w:r>
      <w:r>
        <w:t>テーマ別</w:t>
      </w:r>
      <w:r w:rsidRPr="00B27E99">
        <w:t>報告</w:t>
      </w:r>
      <w:r>
        <w:t>を通じて、現行の人権枠組みの欠陥について</w:t>
      </w:r>
      <w:r w:rsidR="00FE0FEA">
        <w:rPr>
          <w:rFonts w:hint="eastAsia"/>
          <w:lang w:eastAsia="ja-JP"/>
        </w:rPr>
        <w:t>人々の理解を</w:t>
      </w:r>
      <w:r>
        <w:t>高める機会を得ました。これらの報告は、</w:t>
      </w:r>
      <w:r w:rsidRPr="00B27E99">
        <w:t>エイジズム</w:t>
      </w:r>
      <w:r w:rsidR="00FE0FEA">
        <w:rPr>
          <w:rFonts w:hint="eastAsia"/>
          <w:lang w:eastAsia="ja-JP"/>
        </w:rPr>
        <w:t>（</w:t>
      </w:r>
      <w:r w:rsidR="00FE0FEA" w:rsidRPr="00FE0FEA">
        <w:rPr>
          <w:rFonts w:hint="eastAsia"/>
          <w:lang w:eastAsia="ja-JP"/>
        </w:rPr>
        <w:t>年齢差別</w:t>
      </w:r>
      <w:r w:rsidR="00FE0FEA">
        <w:rPr>
          <w:rFonts w:hint="eastAsia"/>
          <w:lang w:eastAsia="ja-JP"/>
        </w:rPr>
        <w:t>）</w:t>
      </w:r>
      <w:r w:rsidRPr="00B27E99">
        <w:lastRenderedPageBreak/>
        <w:t>や</w:t>
      </w:r>
      <w:bookmarkStart w:id="0" w:name="_Hlk227167873"/>
      <w:r w:rsidRPr="00B27E99">
        <w:t>年齢</w:t>
      </w:r>
      <w:r w:rsidR="00FE0FEA">
        <w:rPr>
          <w:rFonts w:hint="eastAsia"/>
          <w:lang w:eastAsia="ja-JP"/>
        </w:rPr>
        <w:t>に基づく</w:t>
      </w:r>
      <w:r w:rsidRPr="00B27E99">
        <w:t>差別</w:t>
      </w:r>
      <w:bookmarkEnd w:id="0"/>
      <w:r w:rsidRPr="00B27E99">
        <w:t>、高齢者に対する暴力といったテーマを</w:t>
      </w:r>
      <w:r>
        <w:t>扱い、</w:t>
      </w:r>
      <w:r w:rsidR="00FE0FEA" w:rsidRPr="00B27E99">
        <w:t>実質的な</w:t>
      </w:r>
      <w:r w:rsidR="00FE0FEA">
        <w:rPr>
          <w:rFonts w:hint="eastAsia"/>
          <w:lang w:eastAsia="ja-JP"/>
        </w:rPr>
        <w:t>諸</w:t>
      </w:r>
      <w:r w:rsidR="00FE0FEA" w:rsidRPr="00B27E99">
        <w:t>決議に反映されて</w:t>
      </w:r>
      <w:r w:rsidR="00FE0FEA">
        <w:rPr>
          <w:rFonts w:hint="eastAsia"/>
          <w:lang w:eastAsia="ja-JP"/>
        </w:rPr>
        <w:t>きました</w:t>
      </w:r>
      <w:r w:rsidR="00FE0FEA">
        <w:t>。</w:t>
      </w:r>
      <w:r w:rsidR="00FE0FEA">
        <w:rPr>
          <w:rFonts w:hint="eastAsia"/>
          <w:lang w:eastAsia="ja-JP"/>
        </w:rPr>
        <w:t>これらは</w:t>
      </w:r>
      <w:r w:rsidR="004E6DC9">
        <w:rPr>
          <w:rFonts w:hint="eastAsia"/>
          <w:lang w:eastAsia="ja-JP"/>
        </w:rPr>
        <w:t>（訳注　この作業部会が今後）</w:t>
      </w:r>
      <w:r w:rsidRPr="00B27E99">
        <w:t>合意</w:t>
      </w:r>
      <w:r w:rsidR="004E6DC9">
        <w:rPr>
          <w:rFonts w:hint="eastAsia"/>
          <w:lang w:eastAsia="ja-JP"/>
        </w:rPr>
        <w:t>する</w:t>
      </w:r>
      <w:r w:rsidRPr="00B27E99">
        <w:t>文言の基礎</w:t>
      </w:r>
      <w:r>
        <w:t>となり得</w:t>
      </w:r>
      <w:r w:rsidR="004E6DC9">
        <w:rPr>
          <w:rFonts w:hint="eastAsia"/>
          <w:lang w:eastAsia="ja-JP"/>
        </w:rPr>
        <w:t>ます</w:t>
      </w:r>
      <w:r w:rsidR="00FE0FEA">
        <w:rPr>
          <w:rFonts w:hint="eastAsia"/>
          <w:lang w:eastAsia="ja-JP"/>
        </w:rPr>
        <w:t>。</w:t>
      </w:r>
      <w:r>
        <w:t>これは一例に過ぎ</w:t>
      </w:r>
      <w:r w:rsidR="004E6DC9">
        <w:rPr>
          <w:rFonts w:hint="eastAsia"/>
          <w:lang w:eastAsia="ja-JP"/>
        </w:rPr>
        <w:t>ず</w:t>
      </w:r>
      <w:r>
        <w:t>、我々は土台と</w:t>
      </w:r>
      <w:r w:rsidR="004E6DC9">
        <w:rPr>
          <w:rFonts w:hint="eastAsia"/>
          <w:lang w:eastAsia="ja-JP"/>
        </w:rPr>
        <w:t>な</w:t>
      </w:r>
      <w:r>
        <w:t>る多くの資料を</w:t>
      </w:r>
      <w:r w:rsidR="004E6DC9">
        <w:rPr>
          <w:rFonts w:hint="eastAsia"/>
          <w:lang w:eastAsia="ja-JP"/>
        </w:rPr>
        <w:t>もって</w:t>
      </w:r>
      <w:r>
        <w:t>います。</w:t>
      </w:r>
    </w:p>
    <w:p w14:paraId="31379E0D" w14:textId="77480F05" w:rsidR="003B6AD0" w:rsidRDefault="004E6DC9" w:rsidP="003D4FEE">
      <w:pPr>
        <w:ind w:firstLineChars="100" w:firstLine="210"/>
      </w:pPr>
      <w:r>
        <w:rPr>
          <w:rFonts w:hint="eastAsia"/>
          <w:lang w:eastAsia="ja-JP"/>
        </w:rPr>
        <w:t>独立専門家としての私の</w:t>
      </w:r>
      <w:r w:rsidR="003B6AD0">
        <w:t>役割は、高齢者の声を意思決定者に届けることです。</w:t>
      </w:r>
      <w:r w:rsidR="003B6AD0" w:rsidRPr="00B27E99">
        <w:t>私は多くの国や様々な状況下で高齢者と話す機会を得て、彼らの声を各国の首都や国連に伝えました</w:t>
      </w:r>
      <w:r w:rsidR="003B6AD0" w:rsidRPr="00B27E99">
        <w:rPr>
          <w:rFonts w:hint="cs"/>
        </w:rPr>
        <w:t>。</w:t>
      </w:r>
      <w:r w:rsidR="003B6AD0" w:rsidRPr="00B27E99">
        <w:t>これらは、この法的拘束力のある文書が、あらゆる現場で機能し、かつ多様な状況や時代の変化に応じて柔軟に実施できる、最も強力な保護を提供するために、私たちが考慮しなければならない最も重要な課題です。</w:t>
      </w:r>
    </w:p>
    <w:p w14:paraId="3DB71A49" w14:textId="360D190B" w:rsidR="003B6AD0" w:rsidRDefault="003B6AD0" w:rsidP="003D4FEE">
      <w:pPr>
        <w:ind w:firstLineChars="100" w:firstLine="210"/>
      </w:pPr>
      <w:r>
        <w:t>このプロセスは、現行の人権保護システムの成果に焦点を当て、確立された保護措置を再確認するとともに、「害を及ぼさない」という原則が反映</w:t>
      </w:r>
      <w:r w:rsidR="004E6DC9">
        <w:rPr>
          <w:rFonts w:hint="eastAsia"/>
          <w:lang w:eastAsia="ja-JP"/>
        </w:rPr>
        <w:t>されねば</w:t>
      </w:r>
      <w:r>
        <w:t>なりません。同時に、AIやデジタル化、気候変動が高齢者の生活に与える影響、変化する家族構造、そして人口動態の変化</w:t>
      </w:r>
      <w:r w:rsidR="004E6DC9">
        <w:rPr>
          <w:rFonts w:hint="eastAsia"/>
          <w:lang w:eastAsia="ja-JP"/>
        </w:rPr>
        <w:t>など</w:t>
      </w:r>
      <w:r>
        <w:t xml:space="preserve">も取り入れる必要があります。 </w:t>
      </w:r>
    </w:p>
    <w:p w14:paraId="347839E3" w14:textId="1BE0F56B" w:rsidR="003B6AD0" w:rsidRDefault="003B6AD0" w:rsidP="003D4FEE">
      <w:pPr>
        <w:ind w:firstLineChars="100" w:firstLine="210"/>
      </w:pPr>
      <w:r>
        <w:t>このプロセスの枠組みには、すでに</w:t>
      </w:r>
      <w:r w:rsidR="004E6DC9">
        <w:rPr>
          <w:rFonts w:hint="eastAsia"/>
          <w:lang w:eastAsia="ja-JP"/>
        </w:rPr>
        <w:t>節目</w:t>
      </w:r>
      <w:r>
        <w:t>となる決議58/13で</w:t>
      </w:r>
      <w:r w:rsidR="007E7D02">
        <w:rPr>
          <w:rFonts w:hint="eastAsia"/>
          <w:lang w:eastAsia="ja-JP"/>
        </w:rPr>
        <w:t>示され</w:t>
      </w:r>
      <w:r>
        <w:t>ている</w:t>
      </w:r>
      <w:r w:rsidR="007E7D02">
        <w:rPr>
          <w:rFonts w:hint="eastAsia"/>
          <w:lang w:eastAsia="ja-JP"/>
        </w:rPr>
        <w:t>ように</w:t>
      </w:r>
      <w:r>
        <w:t>、加盟国、国内人権機関（NHRIs）、NGO、特別手続</w:t>
      </w:r>
      <w:r w:rsidR="007E7D02">
        <w:rPr>
          <w:rFonts w:hint="eastAsia"/>
          <w:lang w:eastAsia="ja-JP"/>
        </w:rPr>
        <w:t>（訳注　人権理事会が設けている特別報告者や独立専門家などの専門家のこと）</w:t>
      </w:r>
      <w:r>
        <w:t>、国連機関といった主要な</w:t>
      </w:r>
      <w:r w:rsidR="007E7D02">
        <w:rPr>
          <w:rFonts w:hint="eastAsia"/>
          <w:lang w:eastAsia="ja-JP"/>
        </w:rPr>
        <w:t>関係者</w:t>
      </w:r>
      <w:r>
        <w:t>の全面的な参加が</w:t>
      </w:r>
      <w:r w:rsidR="007E7D02">
        <w:rPr>
          <w:rFonts w:hint="eastAsia"/>
          <w:lang w:eastAsia="ja-JP"/>
        </w:rPr>
        <w:t>必要です</w:t>
      </w:r>
      <w:r>
        <w:t>。特に、高齢者の全面的な参加に重点を置くこと</w:t>
      </w:r>
      <w:r w:rsidR="007E7D02">
        <w:rPr>
          <w:rFonts w:hint="eastAsia"/>
          <w:lang w:eastAsia="ja-JP"/>
        </w:rPr>
        <w:t>です</w:t>
      </w:r>
      <w:r>
        <w:t>！</w:t>
      </w:r>
    </w:p>
    <w:p w14:paraId="03518B5E" w14:textId="0306D8F9" w:rsidR="003B6AD0" w:rsidRDefault="003B6AD0" w:rsidP="003D4FEE">
      <w:pPr>
        <w:ind w:firstLineChars="100" w:firstLine="210"/>
      </w:pPr>
      <w:r>
        <w:t>オープンエンド作業部会、</w:t>
      </w:r>
      <w:r w:rsidR="007E7D02">
        <w:rPr>
          <w:rFonts w:hint="eastAsia"/>
          <w:lang w:eastAsia="ja-JP"/>
        </w:rPr>
        <w:t>独立専門家</w:t>
      </w:r>
      <w:r>
        <w:t>、人権理事会、および学界によるこれまでの成果を基盤と</w:t>
      </w:r>
      <w:r w:rsidR="00D82667">
        <w:rPr>
          <w:rFonts w:hint="eastAsia"/>
          <w:lang w:eastAsia="ja-JP"/>
        </w:rPr>
        <w:t>して</w:t>
      </w:r>
      <w:r>
        <w:t>概念的枠組みを構築し</w:t>
      </w:r>
      <w:r w:rsidR="00D82667">
        <w:rPr>
          <w:rFonts w:hint="eastAsia"/>
          <w:lang w:eastAsia="ja-JP"/>
        </w:rPr>
        <w:t>ます。そして</w:t>
      </w:r>
      <w:r>
        <w:t>これを法的拘束力のある文書の基礎として活用する</w:t>
      </w:r>
      <w:r w:rsidR="007E7D02">
        <w:rPr>
          <w:rFonts w:hint="eastAsia"/>
          <w:lang w:eastAsia="ja-JP"/>
        </w:rPr>
        <w:t>ために</w:t>
      </w:r>
      <w:r>
        <w:t>分析</w:t>
      </w:r>
      <w:r w:rsidR="007E7D02">
        <w:rPr>
          <w:rFonts w:hint="eastAsia"/>
          <w:lang w:eastAsia="ja-JP"/>
        </w:rPr>
        <w:t>し</w:t>
      </w:r>
      <w:r w:rsidR="00D57581">
        <w:t>ます</w:t>
      </w:r>
      <w:r>
        <w:t xml:space="preserve">。 </w:t>
      </w:r>
    </w:p>
    <w:p w14:paraId="6A5C36B7" w14:textId="54E667C2" w:rsidR="003B6AD0" w:rsidRDefault="003B6AD0" w:rsidP="003D4FEE">
      <w:pPr>
        <w:ind w:firstLineChars="100" w:firstLine="210"/>
      </w:pPr>
      <w:r>
        <w:t>法的拘束力のある文書の構成は、要約すれば他の同種の文書と同</w:t>
      </w:r>
      <w:r w:rsidR="00D82667">
        <w:rPr>
          <w:rFonts w:hint="eastAsia"/>
          <w:lang w:eastAsia="ja-JP"/>
        </w:rPr>
        <w:t>じ</w:t>
      </w:r>
      <w:r>
        <w:t>で、</w:t>
      </w:r>
      <w:r w:rsidR="00D82667">
        <w:rPr>
          <w:rFonts w:hint="eastAsia"/>
          <w:lang w:eastAsia="ja-JP"/>
        </w:rPr>
        <w:t>次</w:t>
      </w:r>
      <w:r>
        <w:t>の要素を含むべき</w:t>
      </w:r>
      <w:r w:rsidR="00D57581">
        <w:t>です</w:t>
      </w:r>
      <w:r>
        <w:t xml:space="preserve">： </w:t>
      </w:r>
    </w:p>
    <w:p w14:paraId="6EABF2B5" w14:textId="77777777" w:rsidR="003B6AD0" w:rsidRPr="00FF397A" w:rsidRDefault="003B6AD0" w:rsidP="003B6AD0">
      <w:pPr>
        <w:pStyle w:val="a9"/>
        <w:widowControl/>
        <w:numPr>
          <w:ilvl w:val="0"/>
          <w:numId w:val="1"/>
        </w:numPr>
        <w:spacing w:after="160" w:line="259" w:lineRule="auto"/>
        <w:jc w:val="left"/>
      </w:pPr>
      <w:r w:rsidRPr="00FF397A">
        <w:t>前文では背景を概説する</w:t>
      </w:r>
    </w:p>
    <w:p w14:paraId="558AEDA2" w14:textId="77777777" w:rsidR="003B6AD0" w:rsidRPr="00FF397A" w:rsidRDefault="003B6AD0" w:rsidP="003B6AD0">
      <w:pPr>
        <w:pStyle w:val="a9"/>
        <w:widowControl/>
        <w:numPr>
          <w:ilvl w:val="0"/>
          <w:numId w:val="1"/>
        </w:numPr>
        <w:spacing w:after="160" w:line="259" w:lineRule="auto"/>
        <w:jc w:val="left"/>
      </w:pPr>
      <w:r>
        <w:t>包括的・一般的</w:t>
      </w:r>
      <w:r w:rsidRPr="00FF397A">
        <w:t>原則、</w:t>
      </w:r>
    </w:p>
    <w:p w14:paraId="4DCB3EA3" w14:textId="49EA7816" w:rsidR="003B6AD0" w:rsidRPr="00FF397A" w:rsidRDefault="003B6AD0" w:rsidP="003B6AD0">
      <w:pPr>
        <w:pStyle w:val="a9"/>
        <w:widowControl/>
        <w:numPr>
          <w:ilvl w:val="0"/>
          <w:numId w:val="1"/>
        </w:numPr>
        <w:spacing w:after="160" w:line="259" w:lineRule="auto"/>
        <w:jc w:val="left"/>
      </w:pPr>
      <w:r w:rsidRPr="00FF397A">
        <w:t>定義、（</w:t>
      </w:r>
      <w:r w:rsidR="00D82667">
        <w:rPr>
          <w:rFonts w:hint="eastAsia"/>
          <w:lang w:eastAsia="ja-JP"/>
        </w:rPr>
        <w:t>だれが</w:t>
      </w:r>
      <w:r w:rsidRPr="00FF397A">
        <w:t>対象</w:t>
      </w:r>
      <w:r w:rsidR="00D82667">
        <w:rPr>
          <w:rFonts w:hint="eastAsia"/>
          <w:lang w:eastAsia="ja-JP"/>
        </w:rPr>
        <w:t>か</w:t>
      </w:r>
      <w:r w:rsidRPr="00FF397A">
        <w:t>）</w:t>
      </w:r>
    </w:p>
    <w:p w14:paraId="092EC471" w14:textId="77777777" w:rsidR="003B6AD0" w:rsidRDefault="003B6AD0" w:rsidP="003B6AD0">
      <w:pPr>
        <w:pStyle w:val="a9"/>
        <w:widowControl/>
        <w:numPr>
          <w:ilvl w:val="0"/>
          <w:numId w:val="1"/>
        </w:numPr>
        <w:spacing w:after="160" w:line="259" w:lineRule="auto"/>
        <w:jc w:val="left"/>
      </w:pPr>
      <w:r w:rsidRPr="00FF397A">
        <w:t>国家の義務</w:t>
      </w:r>
    </w:p>
    <w:p w14:paraId="6232D2A1" w14:textId="77777777" w:rsidR="003B6AD0" w:rsidRPr="00FF397A" w:rsidRDefault="003B6AD0" w:rsidP="003B6AD0">
      <w:pPr>
        <w:pStyle w:val="a9"/>
        <w:widowControl/>
        <w:numPr>
          <w:ilvl w:val="0"/>
          <w:numId w:val="1"/>
        </w:numPr>
        <w:spacing w:after="160" w:line="259" w:lineRule="auto"/>
        <w:jc w:val="left"/>
      </w:pPr>
      <w:r>
        <w:t>権利／基本的自由</w:t>
      </w:r>
    </w:p>
    <w:p w14:paraId="52C75170" w14:textId="3D72D5FF" w:rsidR="003B6AD0" w:rsidRDefault="003B6AD0" w:rsidP="003B6AD0">
      <w:pPr>
        <w:pStyle w:val="a9"/>
        <w:widowControl/>
        <w:numPr>
          <w:ilvl w:val="0"/>
          <w:numId w:val="1"/>
        </w:numPr>
        <w:spacing w:after="160" w:line="259" w:lineRule="auto"/>
        <w:jc w:val="left"/>
      </w:pPr>
      <w:r w:rsidRPr="00FF397A">
        <w:t>完全な保護、救済措置、および監視を確保するため</w:t>
      </w:r>
      <w:r w:rsidR="000A7228">
        <w:rPr>
          <w:rFonts w:hint="eastAsia"/>
          <w:lang w:eastAsia="ja-JP"/>
        </w:rPr>
        <w:t>の、変更や</w:t>
      </w:r>
      <w:r w:rsidRPr="00FF397A">
        <w:t>調整</w:t>
      </w:r>
      <w:r w:rsidR="000A7228">
        <w:rPr>
          <w:rFonts w:hint="eastAsia"/>
          <w:lang w:eastAsia="ja-JP"/>
        </w:rPr>
        <w:t>できる</w:t>
      </w:r>
      <w:r w:rsidRPr="00FF397A">
        <w:t>権利も</w:t>
      </w:r>
      <w:r w:rsidR="00D57581">
        <w:t>含まれます</w:t>
      </w:r>
    </w:p>
    <w:p w14:paraId="728999B1" w14:textId="164C7ACB" w:rsidR="003B6AD0" w:rsidRDefault="003B6AD0" w:rsidP="003D4FEE">
      <w:pPr>
        <w:ind w:firstLineChars="100" w:firstLine="210"/>
      </w:pPr>
      <w:r>
        <w:t>ご清聴ありがとうございました。今後、主要な包括的原則——その構造、範囲、内容——について議論し、詳細を詰めていくことを楽しみにしております。今後のプロセスにおいて、</w:t>
      </w:r>
      <w:r w:rsidR="000A7228">
        <w:rPr>
          <w:rFonts w:hint="eastAsia"/>
          <w:lang w:eastAsia="ja-JP"/>
        </w:rPr>
        <w:t>私は</w:t>
      </w:r>
      <w:r>
        <w:t>全面的に関与することを約束いたします。</w:t>
      </w:r>
    </w:p>
    <w:p w14:paraId="3987CF4C" w14:textId="77777777" w:rsidR="003B6AD0" w:rsidRDefault="003B6AD0" w:rsidP="003B6AD0">
      <w:pPr>
        <w:rPr>
          <w:lang w:eastAsia="ja-JP"/>
        </w:rPr>
      </w:pPr>
    </w:p>
    <w:p w14:paraId="5F390CDE" w14:textId="77777777" w:rsidR="008B4DCC" w:rsidRDefault="008B4DCC" w:rsidP="008B4DCC">
      <w:pPr>
        <w:ind w:firstLineChars="100" w:firstLine="210"/>
        <w:jc w:val="right"/>
        <w:rPr>
          <w:lang w:eastAsia="ja-JP"/>
        </w:rPr>
      </w:pPr>
      <w:r>
        <w:rPr>
          <w:rFonts w:hint="eastAsia"/>
          <w:lang w:eastAsia="ja-JP"/>
        </w:rPr>
        <w:t>（翻訳・佐藤久夫、鈴木靜）</w:t>
      </w:r>
    </w:p>
    <w:p w14:paraId="5E5ADF65" w14:textId="77777777" w:rsidR="008B4DCC" w:rsidRDefault="008B4DCC" w:rsidP="003B6AD0">
      <w:pPr>
        <w:rPr>
          <w:rFonts w:hint="eastAsia"/>
          <w:lang w:eastAsia="ja-JP"/>
        </w:rPr>
      </w:pPr>
    </w:p>
    <w:p w14:paraId="412D53A9" w14:textId="77777777" w:rsidR="00236475" w:rsidRDefault="00236475" w:rsidP="00236475">
      <w:pPr>
        <w:rPr>
          <w:lang w:eastAsia="ja-JP"/>
        </w:rPr>
      </w:pPr>
    </w:p>
    <w:p w14:paraId="29AA3732" w14:textId="77777777" w:rsidR="008B4DCC" w:rsidRDefault="008B4DCC" w:rsidP="003B6AD0">
      <w:pPr>
        <w:rPr>
          <w:rFonts w:hint="eastAsia"/>
          <w:lang w:eastAsia="ja-JP"/>
        </w:rPr>
      </w:pPr>
    </w:p>
    <w:sectPr w:rsidR="008B4DCC"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9E19" w14:textId="77777777" w:rsidR="004A601F" w:rsidRDefault="004A601F" w:rsidP="003B6AD0">
      <w:r>
        <w:separator/>
      </w:r>
    </w:p>
  </w:endnote>
  <w:endnote w:type="continuationSeparator" w:id="0">
    <w:p w14:paraId="19335C86" w14:textId="77777777" w:rsidR="004A601F" w:rsidRDefault="004A601F" w:rsidP="003B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5023" w14:textId="77777777" w:rsidR="004A601F" w:rsidRDefault="004A601F" w:rsidP="003B6AD0">
      <w:r>
        <w:separator/>
      </w:r>
    </w:p>
  </w:footnote>
  <w:footnote w:type="continuationSeparator" w:id="0">
    <w:p w14:paraId="23C9F221" w14:textId="77777777" w:rsidR="004A601F" w:rsidRDefault="004A601F" w:rsidP="003B6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145E6"/>
    <w:multiLevelType w:val="hybridMultilevel"/>
    <w:tmpl w:val="AF585F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0686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removeDateAndTime/>
  <w:bordersDoNotSurroundHeader/>
  <w:bordersDoNotSurroundFooter/>
  <w:revisionView w:markup="0"/>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42"/>
    <w:rsid w:val="00002A71"/>
    <w:rsid w:val="00017E22"/>
    <w:rsid w:val="00064E8E"/>
    <w:rsid w:val="000A7228"/>
    <w:rsid w:val="000B2AFD"/>
    <w:rsid w:val="000E67B9"/>
    <w:rsid w:val="00152B39"/>
    <w:rsid w:val="001E534A"/>
    <w:rsid w:val="00236475"/>
    <w:rsid w:val="00244FD4"/>
    <w:rsid w:val="002465D2"/>
    <w:rsid w:val="00250B8A"/>
    <w:rsid w:val="00286D22"/>
    <w:rsid w:val="002C2B94"/>
    <w:rsid w:val="002C42E7"/>
    <w:rsid w:val="002D0354"/>
    <w:rsid w:val="002F0D6B"/>
    <w:rsid w:val="003126F0"/>
    <w:rsid w:val="00341E42"/>
    <w:rsid w:val="00353C50"/>
    <w:rsid w:val="00391955"/>
    <w:rsid w:val="003A5CDC"/>
    <w:rsid w:val="003A6E34"/>
    <w:rsid w:val="003B6AD0"/>
    <w:rsid w:val="003C0CB3"/>
    <w:rsid w:val="003C49A5"/>
    <w:rsid w:val="003D4FEE"/>
    <w:rsid w:val="00407717"/>
    <w:rsid w:val="00437863"/>
    <w:rsid w:val="00443523"/>
    <w:rsid w:val="004643BC"/>
    <w:rsid w:val="00472F60"/>
    <w:rsid w:val="004A601F"/>
    <w:rsid w:val="004A7637"/>
    <w:rsid w:val="004E6DC9"/>
    <w:rsid w:val="004F3A66"/>
    <w:rsid w:val="00555842"/>
    <w:rsid w:val="00561C04"/>
    <w:rsid w:val="005A0AD3"/>
    <w:rsid w:val="005A5454"/>
    <w:rsid w:val="005A5854"/>
    <w:rsid w:val="005B7B39"/>
    <w:rsid w:val="005E07E4"/>
    <w:rsid w:val="00616425"/>
    <w:rsid w:val="006602A7"/>
    <w:rsid w:val="00692D7C"/>
    <w:rsid w:val="006A05DC"/>
    <w:rsid w:val="007E70A5"/>
    <w:rsid w:val="007E7D02"/>
    <w:rsid w:val="008B4DCC"/>
    <w:rsid w:val="008C3C67"/>
    <w:rsid w:val="008D0A53"/>
    <w:rsid w:val="008E4DF0"/>
    <w:rsid w:val="009328D0"/>
    <w:rsid w:val="00952DD7"/>
    <w:rsid w:val="00977E5E"/>
    <w:rsid w:val="009C664F"/>
    <w:rsid w:val="009D1DB6"/>
    <w:rsid w:val="00A06E16"/>
    <w:rsid w:val="00A669F9"/>
    <w:rsid w:val="00A96C92"/>
    <w:rsid w:val="00AA5365"/>
    <w:rsid w:val="00AA5C47"/>
    <w:rsid w:val="00AF582A"/>
    <w:rsid w:val="00B267F5"/>
    <w:rsid w:val="00B37471"/>
    <w:rsid w:val="00B37CF0"/>
    <w:rsid w:val="00B67DAA"/>
    <w:rsid w:val="00BE57DF"/>
    <w:rsid w:val="00C23C4C"/>
    <w:rsid w:val="00C3133C"/>
    <w:rsid w:val="00C52A86"/>
    <w:rsid w:val="00CE7E57"/>
    <w:rsid w:val="00D14C0E"/>
    <w:rsid w:val="00D57581"/>
    <w:rsid w:val="00D77D2C"/>
    <w:rsid w:val="00D82667"/>
    <w:rsid w:val="00D87F97"/>
    <w:rsid w:val="00DB66FF"/>
    <w:rsid w:val="00DC09E6"/>
    <w:rsid w:val="00E0084F"/>
    <w:rsid w:val="00E54230"/>
    <w:rsid w:val="00ED2A7A"/>
    <w:rsid w:val="00EE06D2"/>
    <w:rsid w:val="00F26C0D"/>
    <w:rsid w:val="00FA18C5"/>
    <w:rsid w:val="00FD3D77"/>
    <w:rsid w:val="00FE0FEA"/>
    <w:rsid w:val="00FF3114"/>
    <w:rsid w:val="00FF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A88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9E6"/>
    <w:pPr>
      <w:widowControl w:val="0"/>
      <w:jc w:val="both"/>
    </w:pPr>
  </w:style>
  <w:style w:type="paragraph" w:styleId="1">
    <w:name w:val="heading 1"/>
    <w:basedOn w:val="a"/>
    <w:next w:val="a"/>
    <w:link w:val="10"/>
    <w:uiPriority w:val="9"/>
    <w:qFormat/>
    <w:rsid w:val="005558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8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8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58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8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8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8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8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8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58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8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8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58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58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58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58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58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58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58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5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8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5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842"/>
    <w:pPr>
      <w:spacing w:before="160" w:after="160"/>
      <w:jc w:val="center"/>
    </w:pPr>
    <w:rPr>
      <w:i/>
      <w:iCs/>
      <w:color w:val="404040" w:themeColor="text1" w:themeTint="BF"/>
    </w:rPr>
  </w:style>
  <w:style w:type="character" w:customStyle="1" w:styleId="a8">
    <w:name w:val="引用文 (文字)"/>
    <w:basedOn w:val="a0"/>
    <w:link w:val="a7"/>
    <w:uiPriority w:val="29"/>
    <w:rsid w:val="00555842"/>
    <w:rPr>
      <w:i/>
      <w:iCs/>
      <w:color w:val="404040" w:themeColor="text1" w:themeTint="BF"/>
    </w:rPr>
  </w:style>
  <w:style w:type="paragraph" w:styleId="a9">
    <w:name w:val="List Paragraph"/>
    <w:basedOn w:val="a"/>
    <w:uiPriority w:val="34"/>
    <w:qFormat/>
    <w:rsid w:val="00555842"/>
    <w:pPr>
      <w:ind w:left="720"/>
      <w:contextualSpacing/>
    </w:pPr>
  </w:style>
  <w:style w:type="character" w:styleId="21">
    <w:name w:val="Intense Emphasis"/>
    <w:basedOn w:val="a0"/>
    <w:uiPriority w:val="21"/>
    <w:qFormat/>
    <w:rsid w:val="00555842"/>
    <w:rPr>
      <w:i/>
      <w:iCs/>
      <w:color w:val="2F5496" w:themeColor="accent1" w:themeShade="BF"/>
    </w:rPr>
  </w:style>
  <w:style w:type="paragraph" w:styleId="22">
    <w:name w:val="Intense Quote"/>
    <w:basedOn w:val="a"/>
    <w:next w:val="a"/>
    <w:link w:val="23"/>
    <w:uiPriority w:val="30"/>
    <w:qFormat/>
    <w:rsid w:val="00555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5842"/>
    <w:rPr>
      <w:i/>
      <w:iCs/>
      <w:color w:val="2F5496" w:themeColor="accent1" w:themeShade="BF"/>
    </w:rPr>
  </w:style>
  <w:style w:type="character" w:styleId="24">
    <w:name w:val="Intense Reference"/>
    <w:basedOn w:val="a0"/>
    <w:uiPriority w:val="32"/>
    <w:qFormat/>
    <w:rsid w:val="00555842"/>
    <w:rPr>
      <w:b/>
      <w:bCs/>
      <w:smallCaps/>
      <w:color w:val="2F5496" w:themeColor="accent1" w:themeShade="BF"/>
      <w:spacing w:val="5"/>
    </w:rPr>
  </w:style>
  <w:style w:type="paragraph" w:styleId="aa">
    <w:name w:val="header"/>
    <w:basedOn w:val="a"/>
    <w:link w:val="ab"/>
    <w:uiPriority w:val="99"/>
    <w:unhideWhenUsed/>
    <w:rsid w:val="003B6AD0"/>
    <w:pPr>
      <w:tabs>
        <w:tab w:val="center" w:pos="4252"/>
        <w:tab w:val="right" w:pos="8504"/>
      </w:tabs>
      <w:snapToGrid w:val="0"/>
    </w:pPr>
  </w:style>
  <w:style w:type="character" w:customStyle="1" w:styleId="ab">
    <w:name w:val="ヘッダー (文字)"/>
    <w:basedOn w:val="a0"/>
    <w:link w:val="aa"/>
    <w:uiPriority w:val="99"/>
    <w:rsid w:val="003B6AD0"/>
  </w:style>
  <w:style w:type="paragraph" w:styleId="ac">
    <w:name w:val="footer"/>
    <w:basedOn w:val="a"/>
    <w:link w:val="ad"/>
    <w:uiPriority w:val="99"/>
    <w:unhideWhenUsed/>
    <w:rsid w:val="003B6AD0"/>
    <w:pPr>
      <w:tabs>
        <w:tab w:val="center" w:pos="4252"/>
        <w:tab w:val="right" w:pos="8504"/>
      </w:tabs>
      <w:snapToGrid w:val="0"/>
    </w:pPr>
  </w:style>
  <w:style w:type="character" w:customStyle="1" w:styleId="ad">
    <w:name w:val="フッター (文字)"/>
    <w:basedOn w:val="a0"/>
    <w:link w:val="ac"/>
    <w:uiPriority w:val="99"/>
    <w:rsid w:val="003B6AD0"/>
  </w:style>
  <w:style w:type="character" w:styleId="ae">
    <w:name w:val="annotation reference"/>
    <w:basedOn w:val="a0"/>
    <w:uiPriority w:val="99"/>
    <w:semiHidden/>
    <w:unhideWhenUsed/>
    <w:rsid w:val="00FA18C5"/>
    <w:rPr>
      <w:sz w:val="18"/>
      <w:szCs w:val="18"/>
    </w:rPr>
  </w:style>
  <w:style w:type="paragraph" w:styleId="af">
    <w:name w:val="annotation text"/>
    <w:basedOn w:val="a"/>
    <w:link w:val="af0"/>
    <w:uiPriority w:val="99"/>
    <w:semiHidden/>
    <w:unhideWhenUsed/>
    <w:rsid w:val="00FA18C5"/>
    <w:pPr>
      <w:jc w:val="left"/>
    </w:pPr>
  </w:style>
  <w:style w:type="character" w:customStyle="1" w:styleId="af0">
    <w:name w:val="コメント文字列 (文字)"/>
    <w:basedOn w:val="a0"/>
    <w:link w:val="af"/>
    <w:uiPriority w:val="99"/>
    <w:semiHidden/>
    <w:rsid w:val="00FA18C5"/>
  </w:style>
  <w:style w:type="paragraph" w:styleId="af1">
    <w:name w:val="annotation subject"/>
    <w:basedOn w:val="af"/>
    <w:next w:val="af"/>
    <w:link w:val="af2"/>
    <w:uiPriority w:val="99"/>
    <w:semiHidden/>
    <w:unhideWhenUsed/>
    <w:rsid w:val="00FA18C5"/>
    <w:rPr>
      <w:b/>
      <w:bCs/>
    </w:rPr>
  </w:style>
  <w:style w:type="character" w:customStyle="1" w:styleId="af2">
    <w:name w:val="コメント内容 (文字)"/>
    <w:basedOn w:val="af0"/>
    <w:link w:val="af1"/>
    <w:uiPriority w:val="99"/>
    <w:semiHidden/>
    <w:rsid w:val="00FA18C5"/>
    <w:rPr>
      <w:b/>
      <w:bCs/>
    </w:rPr>
  </w:style>
  <w:style w:type="paragraph" w:styleId="af3">
    <w:name w:val="Balloon Text"/>
    <w:basedOn w:val="a"/>
    <w:link w:val="af4"/>
    <w:uiPriority w:val="99"/>
    <w:semiHidden/>
    <w:unhideWhenUsed/>
    <w:rsid w:val="00FA18C5"/>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A18C5"/>
    <w:rPr>
      <w:rFonts w:asciiTheme="majorHAnsi" w:eastAsiaTheme="majorEastAsia" w:hAnsiTheme="majorHAnsi" w:cstheme="majorBidi"/>
      <w:sz w:val="18"/>
      <w:szCs w:val="18"/>
    </w:rPr>
  </w:style>
  <w:style w:type="paragraph" w:styleId="af5">
    <w:name w:val="Revision"/>
    <w:hidden/>
    <w:uiPriority w:val="99"/>
    <w:semiHidden/>
    <w:rsid w:val="00A96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2026-05-28T03:51:00Z</dcterms:created>
  <dcterms:modified xsi:type="dcterms:W3CDTF">2026-05-28T03:51:00Z</dcterms:modified>
</cp:coreProperties>
</file>