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CA44" w14:textId="77777777" w:rsidR="001E4FE1" w:rsidRPr="003017A5" w:rsidRDefault="001E4FE1" w:rsidP="001E4FE1">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07CF6C79" w14:textId="77777777" w:rsidR="001E4FE1" w:rsidRPr="003017A5" w:rsidRDefault="001E4FE1" w:rsidP="001E4FE1">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3B81024C" w14:textId="77777777" w:rsidR="001E4FE1" w:rsidRDefault="001E4FE1" w:rsidP="001E4FE1">
      <w:pPr>
        <w:rPr>
          <w:rFonts w:ascii="BIZ UDPゴシック" w:eastAsia="BIZ UDPゴシック" w:hAnsi="BIZ UDPゴシック"/>
          <w:lang w:eastAsia="ja-JP"/>
        </w:rPr>
      </w:pPr>
    </w:p>
    <w:p w14:paraId="5F41FB1E" w14:textId="77777777" w:rsidR="001E4FE1" w:rsidRDefault="001E4FE1" w:rsidP="001E4FE1">
      <w:pPr>
        <w:rPr>
          <w:lang w:eastAsia="ja-JP"/>
        </w:rPr>
      </w:pPr>
      <w:r w:rsidRPr="00472F60">
        <w:rPr>
          <w:rFonts w:ascii="BIZ UDPゴシック" w:eastAsia="BIZ UDPゴシック" w:hAnsi="BIZ UDPゴシック" w:hint="eastAsia"/>
          <w:lang w:eastAsia="ja-JP"/>
        </w:rPr>
        <w:t xml:space="preserve">⑥　</w:t>
      </w:r>
      <w:r w:rsidRPr="00472F60">
        <w:rPr>
          <w:rFonts w:ascii="BIZ UDPゴシック" w:eastAsia="BIZ UDPゴシック" w:hAnsi="BIZ UDPゴシック"/>
          <w:lang w:eastAsia="ja-JP"/>
        </w:rPr>
        <w:t>ヒマンシュ・ラス氏</w:t>
      </w:r>
      <w:r w:rsidRPr="00472F60">
        <w:rPr>
          <w:rFonts w:ascii="BIZ UDPゴシック" w:eastAsia="BIZ UDPゴシック" w:hAnsi="BIZ UDPゴシック" w:hint="eastAsia"/>
          <w:lang w:eastAsia="ja-JP"/>
        </w:rPr>
        <w:t>、</w:t>
      </w:r>
      <w:r w:rsidRPr="00472F60">
        <w:rPr>
          <w:rFonts w:ascii="BIZ UDPゴシック" w:eastAsia="BIZ UDPゴシック" w:hAnsi="BIZ UDPゴシック"/>
          <w:lang w:eastAsia="ja-JP"/>
        </w:rPr>
        <w:t xml:space="preserve">エイジウェル財団 </w:t>
      </w:r>
      <w:r>
        <w:rPr>
          <w:lang w:eastAsia="ja-JP"/>
        </w:rPr>
        <w:t>（インド）</w:t>
      </w:r>
    </w:p>
    <w:p w14:paraId="014BA21E" w14:textId="77777777" w:rsidR="001E4FE1" w:rsidRDefault="001E4FE1" w:rsidP="001E4FE1">
      <w:pPr>
        <w:rPr>
          <w:lang w:eastAsia="ja-JP"/>
        </w:rPr>
      </w:pPr>
    </w:p>
    <w:p w14:paraId="4D9701CF" w14:textId="77777777" w:rsidR="001E4FE1" w:rsidRDefault="001E4FE1" w:rsidP="001E4FE1">
      <w:pPr>
        <w:ind w:firstLineChars="100" w:firstLine="210"/>
        <w:rPr>
          <w:lang w:eastAsia="ja-JP"/>
        </w:rPr>
      </w:pPr>
      <w:r>
        <w:rPr>
          <w:lang w:eastAsia="ja-JP"/>
        </w:rPr>
        <w:t>こんにちは、インドのエイジウェル財団のヒマンシュ・ラスと申します。私自身も高齢者です。</w:t>
      </w:r>
    </w:p>
    <w:p w14:paraId="352D42C9" w14:textId="77777777" w:rsidR="001E4FE1" w:rsidRDefault="001E4FE1" w:rsidP="001E4FE1">
      <w:pPr>
        <w:ind w:firstLineChars="100" w:firstLine="210"/>
        <w:rPr>
          <w:lang w:eastAsia="ja-JP"/>
        </w:rPr>
      </w:pPr>
      <w:r>
        <w:rPr>
          <w:lang w:eastAsia="ja-JP"/>
        </w:rPr>
        <w:t>はっきりさせておきましょう。高齢化は今や、圧倒的にグローバル・サウス（</w:t>
      </w:r>
      <w:r>
        <w:rPr>
          <w:rFonts w:hint="eastAsia"/>
          <w:lang w:eastAsia="ja-JP"/>
        </w:rPr>
        <w:t xml:space="preserve">訳注　</w:t>
      </w:r>
      <w:r>
        <w:rPr>
          <w:lang w:eastAsia="ja-JP"/>
        </w:rPr>
        <w:t>南半球</w:t>
      </w:r>
      <w:r>
        <w:rPr>
          <w:rFonts w:hint="eastAsia"/>
          <w:lang w:eastAsia="ja-JP"/>
        </w:rPr>
        <w:t>を中心とする</w:t>
      </w:r>
      <w:r>
        <w:rPr>
          <w:lang w:eastAsia="ja-JP"/>
        </w:rPr>
        <w:t>途上国</w:t>
      </w:r>
      <w:r>
        <w:rPr>
          <w:rFonts w:hint="eastAsia"/>
          <w:lang w:eastAsia="ja-JP"/>
        </w:rPr>
        <w:t>・新興国</w:t>
      </w:r>
      <w:r>
        <w:rPr>
          <w:lang w:eastAsia="ja-JP"/>
        </w:rPr>
        <w:t>）の問題となっています。2050年までに、世界の高齢者の5人に4人近くが、資源が限られた低・中所得国に住むことになるでしょう。そこでは人口構造の変化が最も早く、</w:t>
      </w:r>
      <w:r>
        <w:rPr>
          <w:rFonts w:hint="eastAsia"/>
          <w:lang w:eastAsia="ja-JP"/>
        </w:rPr>
        <w:t>高齢化は</w:t>
      </w:r>
      <w:r>
        <w:rPr>
          <w:lang w:eastAsia="ja-JP"/>
        </w:rPr>
        <w:t>最も</w:t>
      </w:r>
      <w:r>
        <w:rPr>
          <w:rFonts w:hint="eastAsia"/>
          <w:lang w:eastAsia="ja-JP"/>
        </w:rPr>
        <w:t>大きな</w:t>
      </w:r>
      <w:r>
        <w:rPr>
          <w:lang w:eastAsia="ja-JP"/>
        </w:rPr>
        <w:t>打撃を与えます。インドに加え、サハラ以南のアフリカもまた、深刻な貧困、食料不安、限られた社会的保護、そして非公式経済の中で、絶対数</w:t>
      </w:r>
      <w:r>
        <w:rPr>
          <w:rFonts w:hint="eastAsia"/>
          <w:lang w:eastAsia="ja-JP"/>
        </w:rPr>
        <w:t>の</w:t>
      </w:r>
      <w:r>
        <w:rPr>
          <w:lang w:eastAsia="ja-JP"/>
        </w:rPr>
        <w:t>爆発的な増加に直面しています。 同様の課題が南アジア、他のアジア太平洋地域、ラテンアメリカを捉えており、</w:t>
      </w:r>
      <w:r>
        <w:rPr>
          <w:rFonts w:hint="eastAsia"/>
          <w:lang w:eastAsia="ja-JP"/>
        </w:rPr>
        <w:t>また</w:t>
      </w:r>
      <w:r>
        <w:rPr>
          <w:lang w:eastAsia="ja-JP"/>
        </w:rPr>
        <w:t>資源が限られた開発途上</w:t>
      </w:r>
      <w:r>
        <w:rPr>
          <w:rFonts w:hint="eastAsia"/>
          <w:lang w:eastAsia="ja-JP"/>
        </w:rPr>
        <w:t>の</w:t>
      </w:r>
      <w:r>
        <w:rPr>
          <w:lang w:eastAsia="ja-JP"/>
        </w:rPr>
        <w:t>小島嶼国</w:t>
      </w:r>
      <w:r>
        <w:rPr>
          <w:rFonts w:hint="eastAsia"/>
          <w:lang w:eastAsia="ja-JP"/>
        </w:rPr>
        <w:t>でも</w:t>
      </w:r>
      <w:r>
        <w:rPr>
          <w:lang w:eastAsia="ja-JP"/>
        </w:rPr>
        <w:t>孤立、健康格差、</w:t>
      </w:r>
      <w:r>
        <w:rPr>
          <w:rFonts w:hint="eastAsia"/>
          <w:lang w:eastAsia="ja-JP"/>
        </w:rPr>
        <w:t>排斥が</w:t>
      </w:r>
      <w:r>
        <w:rPr>
          <w:lang w:eastAsia="ja-JP"/>
        </w:rPr>
        <w:t>深刻化</w:t>
      </w:r>
      <w:r>
        <w:rPr>
          <w:rFonts w:hint="eastAsia"/>
          <w:lang w:eastAsia="ja-JP"/>
        </w:rPr>
        <w:t>し</w:t>
      </w:r>
      <w:r>
        <w:rPr>
          <w:lang w:eastAsia="ja-JP"/>
        </w:rPr>
        <w:t>ています。</w:t>
      </w:r>
    </w:p>
    <w:p w14:paraId="2467DD22" w14:textId="77777777" w:rsidR="001E4FE1" w:rsidRDefault="001E4FE1" w:rsidP="001E4FE1">
      <w:pPr>
        <w:ind w:firstLineChars="100" w:firstLine="210"/>
        <w:rPr>
          <w:lang w:eastAsia="ja-JP"/>
        </w:rPr>
      </w:pPr>
      <w:r>
        <w:rPr>
          <w:lang w:eastAsia="ja-JP"/>
        </w:rPr>
        <w:t>法的拘束力のある枠組みは、こうした現実の生活状況から出発しなければなりません。高齢者は</w:t>
      </w:r>
      <w:r>
        <w:rPr>
          <w:rFonts w:hint="eastAsia"/>
          <w:lang w:eastAsia="ja-JP"/>
        </w:rPr>
        <w:t>いろいろな</w:t>
      </w:r>
      <w:r>
        <w:rPr>
          <w:lang w:eastAsia="ja-JP"/>
        </w:rPr>
        <w:t>日常場面で</w:t>
      </w:r>
      <w:r>
        <w:rPr>
          <w:rFonts w:hint="eastAsia"/>
          <w:lang w:eastAsia="ja-JP"/>
        </w:rPr>
        <w:t>エイジズム(</w:t>
      </w:r>
      <w:r>
        <w:rPr>
          <w:lang w:eastAsia="ja-JP"/>
        </w:rPr>
        <w:t>年齢差別</w:t>
      </w:r>
      <w:r>
        <w:rPr>
          <w:rFonts w:hint="eastAsia"/>
          <w:lang w:eastAsia="ja-JP"/>
        </w:rPr>
        <w:t>)</w:t>
      </w:r>
      <w:r>
        <w:rPr>
          <w:lang w:eastAsia="ja-JP"/>
        </w:rPr>
        <w:t>に直面しています。</w:t>
      </w:r>
      <w:r w:rsidRPr="002465D2">
        <w:rPr>
          <w:rFonts w:hint="eastAsia"/>
          <w:lang w:eastAsia="ja-JP"/>
        </w:rPr>
        <w:t>手に入らないままに終わる</w:t>
      </w:r>
      <w:r>
        <w:rPr>
          <w:lang w:eastAsia="ja-JP"/>
        </w:rPr>
        <w:t>年金受給の行列、手頃な価格の薬や必要な薬が</w:t>
      </w:r>
      <w:r>
        <w:rPr>
          <w:rFonts w:hint="eastAsia"/>
          <w:lang w:eastAsia="ja-JP"/>
        </w:rPr>
        <w:t>足りない</w:t>
      </w:r>
      <w:r>
        <w:rPr>
          <w:lang w:eastAsia="ja-JP"/>
        </w:rPr>
        <w:t>診療所、デジタル格差によって利用できない銀行窓口、高齢者に配慮されていない混雑したバス、そして家族からの支援が</w:t>
      </w:r>
      <w:r>
        <w:rPr>
          <w:rFonts w:hint="eastAsia"/>
          <w:lang w:eastAsia="ja-JP"/>
        </w:rPr>
        <w:t>減り、</w:t>
      </w:r>
      <w:r>
        <w:rPr>
          <w:lang w:eastAsia="ja-JP"/>
        </w:rPr>
        <w:t>孤立</w:t>
      </w:r>
      <w:r>
        <w:rPr>
          <w:rFonts w:hint="eastAsia"/>
          <w:lang w:eastAsia="ja-JP"/>
        </w:rPr>
        <w:t>して弱まる</w:t>
      </w:r>
      <w:r>
        <w:rPr>
          <w:lang w:eastAsia="ja-JP"/>
        </w:rPr>
        <w:t>家庭など。</w:t>
      </w:r>
    </w:p>
    <w:p w14:paraId="3F9B1919" w14:textId="77777777" w:rsidR="001E4FE1" w:rsidRDefault="001E4FE1" w:rsidP="001E4FE1">
      <w:pPr>
        <w:ind w:firstLineChars="100" w:firstLine="210"/>
        <w:rPr>
          <w:lang w:eastAsia="ja-JP"/>
        </w:rPr>
      </w:pPr>
      <w:r>
        <w:rPr>
          <w:rFonts w:hint="eastAsia"/>
          <w:lang w:eastAsia="ja-JP"/>
        </w:rPr>
        <w:t>エイジウェル</w:t>
      </w:r>
      <w:r>
        <w:rPr>
          <w:lang w:eastAsia="ja-JP"/>
        </w:rPr>
        <w:t>は、8万人以上のボランティアを通じて、健康キャンプ、ピアサポートグループ、</w:t>
      </w:r>
      <w:r>
        <w:rPr>
          <w:rFonts w:hint="eastAsia"/>
          <w:lang w:eastAsia="ja-JP"/>
        </w:rPr>
        <w:t>簡単</w:t>
      </w:r>
      <w:r>
        <w:rPr>
          <w:lang w:eastAsia="ja-JP"/>
        </w:rPr>
        <w:t>なデジタル支援</w:t>
      </w:r>
      <w:r>
        <w:rPr>
          <w:rFonts w:hint="eastAsia"/>
          <w:lang w:eastAsia="ja-JP"/>
        </w:rPr>
        <w:t>ヘルパー</w:t>
      </w:r>
      <w:r>
        <w:rPr>
          <w:lang w:eastAsia="ja-JP"/>
        </w:rPr>
        <w:t>など</w:t>
      </w:r>
      <w:r>
        <w:rPr>
          <w:rFonts w:hint="eastAsia"/>
          <w:lang w:eastAsia="ja-JP"/>
        </w:rPr>
        <w:t>で</w:t>
      </w:r>
      <w:r>
        <w:rPr>
          <w:lang w:eastAsia="ja-JP"/>
        </w:rPr>
        <w:t>、毎日2万5千人以上の高齢者に支援を届けています。私たちのモデルが成功しているのは、低コストで、文化に根ざし、</w:t>
      </w:r>
      <w:r>
        <w:rPr>
          <w:rFonts w:hint="eastAsia"/>
          <w:lang w:eastAsia="ja-JP"/>
        </w:rPr>
        <w:t>大きさを自由に変えられる（</w:t>
      </w:r>
      <w:r w:rsidRPr="00017E22">
        <w:rPr>
          <w:lang w:eastAsia="ja-JP"/>
        </w:rPr>
        <w:t>scalable</w:t>
      </w:r>
      <w:r>
        <w:rPr>
          <w:rFonts w:hint="eastAsia"/>
          <w:lang w:eastAsia="ja-JP"/>
        </w:rPr>
        <w:t>）</w:t>
      </w:r>
      <w:r>
        <w:rPr>
          <w:lang w:eastAsia="ja-JP"/>
        </w:rPr>
        <w:t>からです。世代間対話を通じて、特に貧困に直面する高齢女性への家族ケアを活性化させています。またピアグループは孤立を軽減し、大規模な</w:t>
      </w:r>
      <w:r>
        <w:rPr>
          <w:rFonts w:hint="eastAsia"/>
          <w:lang w:eastAsia="ja-JP"/>
        </w:rPr>
        <w:t>施設</w:t>
      </w:r>
      <w:r>
        <w:rPr>
          <w:lang w:eastAsia="ja-JP"/>
        </w:rPr>
        <w:t>を待つのではなく</w:t>
      </w:r>
      <w:r>
        <w:rPr>
          <w:rFonts w:hint="eastAsia"/>
          <w:lang w:eastAsia="ja-JP"/>
        </w:rPr>
        <w:t>今</w:t>
      </w:r>
      <w:r>
        <w:rPr>
          <w:lang w:eastAsia="ja-JP"/>
        </w:rPr>
        <w:t>の社会的つながりを基盤として、高齢者を予防医療へとつなげています。</w:t>
      </w:r>
    </w:p>
    <w:p w14:paraId="3C1EB351" w14:textId="77777777" w:rsidR="001E4FE1" w:rsidRDefault="001E4FE1" w:rsidP="001E4FE1">
      <w:pPr>
        <w:ind w:firstLineChars="100" w:firstLine="210"/>
        <w:rPr>
          <w:lang w:eastAsia="ja-JP"/>
        </w:rPr>
      </w:pPr>
      <w:r>
        <w:rPr>
          <w:lang w:eastAsia="ja-JP"/>
        </w:rPr>
        <w:t>この取り組みには、若者の参加が不可欠です。今日の高齢者を支えることは、私たちの共通の未来への共同投資です。今日の若者は明日の高齢者です。高齢者は負担ではなく、知恵の架け橋なのです。その架け橋を共に築きましょう。しかし、現実的かつ野心的に進めなければなりません。法と政策が連携する必要があります。</w:t>
      </w:r>
    </w:p>
    <w:p w14:paraId="00D1FF19" w14:textId="77777777" w:rsidR="001E4FE1" w:rsidRDefault="001E4FE1" w:rsidP="001E4FE1">
      <w:pPr>
        <w:ind w:firstLineChars="100" w:firstLine="210"/>
        <w:rPr>
          <w:lang w:eastAsia="ja-JP"/>
        </w:rPr>
      </w:pPr>
      <w:r>
        <w:rPr>
          <w:lang w:eastAsia="ja-JP"/>
        </w:rPr>
        <w:t>グローバル・サウスでは、厳しい財政的制約にもかかわらず、各国の政策により、高齢者の日々の命をつなぐ年金、</w:t>
      </w:r>
      <w:r w:rsidRPr="002465D2">
        <w:rPr>
          <w:rFonts w:hint="eastAsia"/>
          <w:lang w:eastAsia="ja-JP"/>
        </w:rPr>
        <w:t>プライマリーヘルス</w:t>
      </w:r>
      <w:r>
        <w:rPr>
          <w:lang w:eastAsia="ja-JP"/>
        </w:rPr>
        <w:t>、食料保障、</w:t>
      </w:r>
      <w:r>
        <w:rPr>
          <w:rFonts w:hint="eastAsia"/>
          <w:lang w:eastAsia="ja-JP"/>
        </w:rPr>
        <w:t>および</w:t>
      </w:r>
      <w:r>
        <w:rPr>
          <w:lang w:eastAsia="ja-JP"/>
        </w:rPr>
        <w:t>地域支援が拡大されてきました。しかし、生存そのものが私たちの基準でよいの</w:t>
      </w:r>
      <w:r>
        <w:rPr>
          <w:rFonts w:hint="eastAsia"/>
          <w:lang w:eastAsia="ja-JP"/>
        </w:rPr>
        <w:t>でしょうか</w:t>
      </w:r>
      <w:r>
        <w:rPr>
          <w:lang w:eastAsia="ja-JP"/>
        </w:rPr>
        <w:t>？高齢者の人生は、提供される食事や、</w:t>
      </w:r>
      <w:r>
        <w:rPr>
          <w:rFonts w:hint="eastAsia"/>
          <w:lang w:eastAsia="ja-JP"/>
        </w:rPr>
        <w:t>生きる</w:t>
      </w:r>
      <w:r>
        <w:rPr>
          <w:lang w:eastAsia="ja-JP"/>
        </w:rPr>
        <w:t>ための呼吸だけで測られるもの</w:t>
      </w:r>
      <w:r>
        <w:rPr>
          <w:rFonts w:hint="eastAsia"/>
          <w:lang w:eastAsia="ja-JP"/>
        </w:rPr>
        <w:t>でしょう</w:t>
      </w:r>
      <w:r>
        <w:rPr>
          <w:lang w:eastAsia="ja-JP"/>
        </w:rPr>
        <w:t xml:space="preserve">か？ </w:t>
      </w:r>
    </w:p>
    <w:p w14:paraId="13341F4D" w14:textId="77777777" w:rsidR="001E4FE1" w:rsidRDefault="001E4FE1" w:rsidP="001E4FE1">
      <w:pPr>
        <w:ind w:firstLineChars="100" w:firstLine="210"/>
        <w:rPr>
          <w:lang w:eastAsia="ja-JP"/>
        </w:rPr>
      </w:pPr>
      <w:r>
        <w:rPr>
          <w:lang w:eastAsia="ja-JP"/>
        </w:rPr>
        <w:t>私はそうは思いません。</w:t>
      </w:r>
      <w:r>
        <w:rPr>
          <w:rFonts w:hint="eastAsia"/>
          <w:lang w:eastAsia="ja-JP"/>
        </w:rPr>
        <w:t>生きるだけでは足りません</w:t>
      </w:r>
      <w:r>
        <w:rPr>
          <w:lang w:eastAsia="ja-JP"/>
        </w:rPr>
        <w:t>。私たちの枠組みは、有意義な包摂を推進し、継続的な貢献と参加を可能にし、尊厳を守り、真の選択肢を広げ、自律を</w:t>
      </w:r>
      <w:r>
        <w:rPr>
          <w:rFonts w:hint="eastAsia"/>
          <w:lang w:eastAsia="ja-JP"/>
        </w:rPr>
        <w:t>守らねば</w:t>
      </w:r>
      <w:r>
        <w:rPr>
          <w:lang w:eastAsia="ja-JP"/>
        </w:rPr>
        <w:t>なりません。高齢者は、社会の一員として価値ある存在として、目に見える形で活き</w:t>
      </w:r>
      <w:r>
        <w:rPr>
          <w:lang w:eastAsia="ja-JP"/>
        </w:rPr>
        <w:lastRenderedPageBreak/>
        <w:t>活きと生きなければなりません。高齢者を単なる「老人」として扱うようなことはあってはなりません。</w:t>
      </w:r>
      <w:r>
        <w:rPr>
          <w:rFonts w:hint="eastAsia"/>
          <w:lang w:eastAsia="ja-JP"/>
        </w:rPr>
        <w:t>それは人類が進む道ではありません。</w:t>
      </w:r>
    </w:p>
    <w:p w14:paraId="51A18FCF" w14:textId="77777777" w:rsidR="001E4FE1" w:rsidRDefault="001E4FE1" w:rsidP="001E4FE1">
      <w:pPr>
        <w:ind w:firstLineChars="100" w:firstLine="210"/>
        <w:rPr>
          <w:lang w:eastAsia="ja-JP"/>
        </w:rPr>
      </w:pPr>
      <w:r>
        <w:rPr>
          <w:lang w:eastAsia="ja-JP"/>
        </w:rPr>
        <w:t>条約は基準と方向性を示す強力なツールであり、魔法の</w:t>
      </w:r>
      <w:r>
        <w:rPr>
          <w:rFonts w:hint="eastAsia"/>
          <w:lang w:eastAsia="ja-JP"/>
        </w:rPr>
        <w:t>杖</w:t>
      </w:r>
      <w:r>
        <w:rPr>
          <w:lang w:eastAsia="ja-JP"/>
        </w:rPr>
        <w:t>ではありません。ラテンアメリカの地域条約や欧州社会憲章第23条の経験が示すように、進展は各国の資金調達、政策設計、そして能力にかかっています。法と政策は互いに補完し合い、資金調達、技術協力、能力構築、そして地域レベルでの実施を支える真にグローバルな環境によって支えられています。それがなければ、特に大多数の高齢者が暮ら</w:t>
      </w:r>
      <w:r>
        <w:rPr>
          <w:rFonts w:hint="eastAsia"/>
          <w:lang w:eastAsia="ja-JP"/>
        </w:rPr>
        <w:t>している</w:t>
      </w:r>
      <w:r>
        <w:rPr>
          <w:lang w:eastAsia="ja-JP"/>
        </w:rPr>
        <w:t>地域において、格差を埋めるどころか、かえって広げてしまうことになります。</w:t>
      </w:r>
    </w:p>
    <w:p w14:paraId="3E16DE70" w14:textId="77777777" w:rsidR="001E4FE1" w:rsidRDefault="001E4FE1" w:rsidP="001E4FE1">
      <w:pPr>
        <w:ind w:firstLineChars="100" w:firstLine="210"/>
        <w:rPr>
          <w:lang w:eastAsia="ja-JP"/>
        </w:rPr>
      </w:pPr>
      <w:r>
        <w:rPr>
          <w:lang w:eastAsia="ja-JP"/>
        </w:rPr>
        <w:t>「私たち抜き</w:t>
      </w:r>
      <w:r>
        <w:rPr>
          <w:rFonts w:hint="eastAsia"/>
          <w:lang w:eastAsia="ja-JP"/>
        </w:rPr>
        <w:t>に</w:t>
      </w:r>
      <w:r>
        <w:rPr>
          <w:lang w:eastAsia="ja-JP"/>
        </w:rPr>
        <w:t>私たちのことを決め</w:t>
      </w:r>
      <w:r>
        <w:rPr>
          <w:rFonts w:hint="eastAsia"/>
          <w:lang w:eastAsia="ja-JP"/>
        </w:rPr>
        <w:t>ないで</w:t>
      </w:r>
      <w:r>
        <w:rPr>
          <w:lang w:eastAsia="ja-JP"/>
        </w:rPr>
        <w:t>」という原則は、各代表団に真の包摂性を求めています。これまでの議論は、経済的に安定した立場の視点</w:t>
      </w:r>
      <w:r>
        <w:rPr>
          <w:rFonts w:hint="eastAsia"/>
          <w:lang w:eastAsia="ja-JP"/>
        </w:rPr>
        <w:t>でなされ</w:t>
      </w:r>
      <w:r>
        <w:rPr>
          <w:lang w:eastAsia="ja-JP"/>
        </w:rPr>
        <w:t>がちで</w:t>
      </w:r>
      <w:r>
        <w:rPr>
          <w:rFonts w:hint="eastAsia"/>
          <w:lang w:eastAsia="ja-JP"/>
        </w:rPr>
        <w:t>し</w:t>
      </w:r>
      <w:r>
        <w:rPr>
          <w:lang w:eastAsia="ja-JP"/>
        </w:rPr>
        <w:t>た。グローバル・サウスからの、より大規模かつ公平な代表参加が求められる時が来</w:t>
      </w:r>
      <w:r>
        <w:rPr>
          <w:rFonts w:hint="eastAsia"/>
          <w:lang w:eastAsia="ja-JP"/>
        </w:rPr>
        <w:t>ました</w:t>
      </w:r>
      <w:r>
        <w:rPr>
          <w:lang w:eastAsia="ja-JP"/>
        </w:rPr>
        <w:t>。</w:t>
      </w:r>
      <w:r>
        <w:rPr>
          <w:rFonts w:hint="eastAsia"/>
          <w:lang w:eastAsia="ja-JP"/>
        </w:rPr>
        <w:t>そこには</w:t>
      </w:r>
      <w:r>
        <w:rPr>
          <w:lang w:eastAsia="ja-JP"/>
        </w:rPr>
        <w:t>ラテンアメリカをはじめ、アジア太平洋地域やアフリカ、さらにはその他の地域</w:t>
      </w:r>
      <w:r>
        <w:rPr>
          <w:rFonts w:hint="eastAsia"/>
          <w:lang w:eastAsia="ja-JP"/>
        </w:rPr>
        <w:t>が含まれます。</w:t>
      </w:r>
      <w:r>
        <w:rPr>
          <w:lang w:eastAsia="ja-JP"/>
        </w:rPr>
        <w:t>資源不足の中で高齢化が加速している現場の真の規模と緊急性を条約が反映できるよう</w:t>
      </w:r>
      <w:r>
        <w:rPr>
          <w:rFonts w:hint="eastAsia"/>
          <w:lang w:eastAsia="ja-JP"/>
        </w:rPr>
        <w:t>にするためです。</w:t>
      </w:r>
    </w:p>
    <w:p w14:paraId="0E6055F1" w14:textId="77777777" w:rsidR="001E4FE1" w:rsidRDefault="001E4FE1" w:rsidP="001E4FE1">
      <w:pPr>
        <w:ind w:firstLineChars="100" w:firstLine="210"/>
        <w:rPr>
          <w:lang w:eastAsia="ja-JP"/>
        </w:rPr>
      </w:pPr>
      <w:r>
        <w:rPr>
          <w:lang w:eastAsia="ja-JP"/>
        </w:rPr>
        <w:t>最後に、私たちの成功は</w:t>
      </w:r>
      <w:r>
        <w:rPr>
          <w:rFonts w:hint="eastAsia"/>
          <w:lang w:eastAsia="ja-JP"/>
        </w:rPr>
        <w:t>条約の</w:t>
      </w:r>
      <w:r>
        <w:rPr>
          <w:lang w:eastAsia="ja-JP"/>
        </w:rPr>
        <w:t>文言の</w:t>
      </w:r>
      <w:r>
        <w:rPr>
          <w:rFonts w:hint="eastAsia"/>
          <w:lang w:eastAsia="ja-JP"/>
        </w:rPr>
        <w:t>美しさで</w:t>
      </w:r>
      <w:r>
        <w:rPr>
          <w:lang w:eastAsia="ja-JP"/>
        </w:rPr>
        <w:t>測られるものではありません。世界中の農村地域、インフォーマルな居住地、資源が限られた</w:t>
      </w:r>
      <w:r>
        <w:rPr>
          <w:rFonts w:hint="eastAsia"/>
          <w:lang w:eastAsia="ja-JP"/>
        </w:rPr>
        <w:t>地域社会</w:t>
      </w:r>
      <w:r>
        <w:rPr>
          <w:lang w:eastAsia="ja-JP"/>
        </w:rPr>
        <w:t>に住む高齢者が、実際に、より大きな尊厳、保護、手頃な価格のケア、虐待からの安全、権利侵害に対する救済、そして家族や社会における有意義な役割を実感できるかどうかによって測られるのです。</w:t>
      </w:r>
    </w:p>
    <w:p w14:paraId="20CDBD91" w14:textId="77777777" w:rsidR="001E4FE1" w:rsidRDefault="001E4FE1" w:rsidP="001E4FE1">
      <w:pPr>
        <w:ind w:firstLineChars="100" w:firstLine="210"/>
        <w:rPr>
          <w:lang w:eastAsia="ja-JP"/>
        </w:rPr>
      </w:pPr>
      <w:r>
        <w:rPr>
          <w:lang w:eastAsia="ja-JP"/>
        </w:rPr>
        <w:t>忘れてはなりません。グローバル・サウスは、回復力があり、適応力に富み、地域社会に根ざしたモデルを提供しています。この</w:t>
      </w:r>
      <w:r>
        <w:rPr>
          <w:rFonts w:hint="eastAsia"/>
          <w:lang w:eastAsia="ja-JP"/>
        </w:rPr>
        <w:t>条約</w:t>
      </w:r>
      <w:r>
        <w:rPr>
          <w:lang w:eastAsia="ja-JP"/>
        </w:rPr>
        <w:t>がそれらを深く取り入れ、世界中のすべての高齢者にとって真に普遍的な人権保護を</w:t>
      </w:r>
      <w:r>
        <w:rPr>
          <w:rFonts w:hint="eastAsia"/>
          <w:lang w:eastAsia="ja-JP"/>
        </w:rPr>
        <w:t>作る</w:t>
      </w:r>
      <w:r>
        <w:rPr>
          <w:lang w:eastAsia="ja-JP"/>
        </w:rPr>
        <w:t>ことを願います。</w:t>
      </w:r>
    </w:p>
    <w:p w14:paraId="0FEE344D" w14:textId="77777777" w:rsidR="001E4FE1" w:rsidRDefault="001E4FE1" w:rsidP="001E4FE1">
      <w:pPr>
        <w:ind w:firstLineChars="100" w:firstLine="210"/>
        <w:rPr>
          <w:lang w:eastAsia="ja-JP"/>
        </w:rPr>
      </w:pPr>
      <w:r>
        <w:rPr>
          <w:lang w:eastAsia="ja-JP"/>
        </w:rPr>
        <w:t>ありがとうございました。今後の議論を楽しみにしています。</w:t>
      </w:r>
    </w:p>
    <w:p w14:paraId="40593288" w14:textId="77777777" w:rsidR="001E4FE1" w:rsidRDefault="001E4FE1" w:rsidP="001E4FE1">
      <w:pPr>
        <w:rPr>
          <w:lang w:eastAsia="ja-JP"/>
        </w:rPr>
      </w:pPr>
    </w:p>
    <w:p w14:paraId="38F46CF7" w14:textId="77777777" w:rsidR="001E4FE1" w:rsidRDefault="001E4FE1" w:rsidP="001E4FE1">
      <w:pPr>
        <w:ind w:firstLineChars="100" w:firstLine="210"/>
        <w:jc w:val="right"/>
        <w:rPr>
          <w:lang w:eastAsia="ja-JP"/>
        </w:rPr>
      </w:pPr>
      <w:r>
        <w:rPr>
          <w:rFonts w:hint="eastAsia"/>
          <w:lang w:eastAsia="ja-JP"/>
        </w:rPr>
        <w:t>（翻訳・佐藤久夫、鈴木靜）</w:t>
      </w:r>
    </w:p>
    <w:p w14:paraId="56AB5080" w14:textId="77777777" w:rsidR="000B2AFD" w:rsidRDefault="000B2AFD"/>
    <w:sectPr w:rsidR="000B2AFD"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F3E7" w14:textId="77777777" w:rsidR="001E4FE1" w:rsidRDefault="001E4FE1" w:rsidP="001E4FE1">
      <w:r>
        <w:separator/>
      </w:r>
    </w:p>
  </w:endnote>
  <w:endnote w:type="continuationSeparator" w:id="0">
    <w:p w14:paraId="499B8577" w14:textId="77777777" w:rsidR="001E4FE1" w:rsidRDefault="001E4FE1" w:rsidP="001E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01220"/>
      <w:docPartObj>
        <w:docPartGallery w:val="Page Numbers (Bottom of Page)"/>
        <w:docPartUnique/>
      </w:docPartObj>
    </w:sdtPr>
    <w:sdtContent>
      <w:p w14:paraId="34028C78" w14:textId="30CFA917" w:rsidR="001E4FE1" w:rsidRDefault="001E4FE1">
        <w:pPr>
          <w:pStyle w:val="ac"/>
        </w:pPr>
        <w:r>
          <w:fldChar w:fldCharType="begin"/>
        </w:r>
        <w:r>
          <w:instrText>PAGE   \* MERGEFORMAT</w:instrText>
        </w:r>
        <w:r>
          <w:fldChar w:fldCharType="separate"/>
        </w:r>
        <w:r>
          <w:rPr>
            <w:lang w:val="ja-JP" w:eastAsia="ja-JP"/>
          </w:rPr>
          <w:t>2</w:t>
        </w:r>
        <w:r>
          <w:fldChar w:fldCharType="end"/>
        </w:r>
      </w:p>
    </w:sdtContent>
  </w:sdt>
  <w:p w14:paraId="5F7D6ABE" w14:textId="77777777" w:rsidR="001E4FE1" w:rsidRDefault="001E4F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331063"/>
      <w:docPartObj>
        <w:docPartGallery w:val="Page Numbers (Bottom of Page)"/>
        <w:docPartUnique/>
      </w:docPartObj>
    </w:sdtPr>
    <w:sdtContent>
      <w:p w14:paraId="2C477421" w14:textId="227B4C9C" w:rsidR="001E4FE1" w:rsidRDefault="001E4FE1">
        <w:pPr>
          <w:pStyle w:val="ac"/>
        </w:pPr>
        <w:r>
          <w:fldChar w:fldCharType="begin"/>
        </w:r>
        <w:r>
          <w:instrText>PAGE   \* MERGEFORMAT</w:instrText>
        </w:r>
        <w:r>
          <w:fldChar w:fldCharType="separate"/>
        </w:r>
        <w:r>
          <w:rPr>
            <w:lang w:val="ja-JP" w:eastAsia="ja-JP"/>
          </w:rPr>
          <w:t>2</w:t>
        </w:r>
        <w:r>
          <w:fldChar w:fldCharType="end"/>
        </w:r>
      </w:p>
    </w:sdtContent>
  </w:sdt>
  <w:p w14:paraId="44035323" w14:textId="77777777" w:rsidR="001E4FE1" w:rsidRDefault="001E4F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B9A0" w14:textId="77777777" w:rsidR="001E4FE1" w:rsidRDefault="001E4FE1" w:rsidP="001E4FE1">
      <w:r>
        <w:separator/>
      </w:r>
    </w:p>
  </w:footnote>
  <w:footnote w:type="continuationSeparator" w:id="0">
    <w:p w14:paraId="0B97D1E7" w14:textId="77777777" w:rsidR="001E4FE1" w:rsidRDefault="001E4FE1" w:rsidP="001E4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E1"/>
    <w:rsid w:val="000B2AFD"/>
    <w:rsid w:val="00152B39"/>
    <w:rsid w:val="001E4FE1"/>
    <w:rsid w:val="003126F0"/>
    <w:rsid w:val="003A6E34"/>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CFB3F1"/>
  <w15:chartTrackingRefBased/>
  <w15:docId w15:val="{8496F070-944F-461E-A892-6D7BBA92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FE1"/>
    <w:pPr>
      <w:widowControl w:val="0"/>
      <w:jc w:val="both"/>
    </w:pPr>
  </w:style>
  <w:style w:type="paragraph" w:styleId="1">
    <w:name w:val="heading 1"/>
    <w:basedOn w:val="a"/>
    <w:next w:val="a"/>
    <w:link w:val="10"/>
    <w:uiPriority w:val="9"/>
    <w:qFormat/>
    <w:rsid w:val="001E4F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4F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4F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4F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4F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4F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4F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4F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4F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F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4F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4F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4F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4F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4F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4F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4F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4F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4F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4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4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E1"/>
    <w:pPr>
      <w:spacing w:before="160" w:after="160"/>
      <w:jc w:val="center"/>
    </w:pPr>
    <w:rPr>
      <w:i/>
      <w:iCs/>
      <w:color w:val="404040" w:themeColor="text1" w:themeTint="BF"/>
    </w:rPr>
  </w:style>
  <w:style w:type="character" w:customStyle="1" w:styleId="a8">
    <w:name w:val="引用文 (文字)"/>
    <w:basedOn w:val="a0"/>
    <w:link w:val="a7"/>
    <w:uiPriority w:val="29"/>
    <w:rsid w:val="001E4FE1"/>
    <w:rPr>
      <w:i/>
      <w:iCs/>
      <w:color w:val="404040" w:themeColor="text1" w:themeTint="BF"/>
    </w:rPr>
  </w:style>
  <w:style w:type="paragraph" w:styleId="a9">
    <w:name w:val="List Paragraph"/>
    <w:basedOn w:val="a"/>
    <w:uiPriority w:val="34"/>
    <w:qFormat/>
    <w:rsid w:val="001E4FE1"/>
    <w:pPr>
      <w:ind w:left="720"/>
      <w:contextualSpacing/>
    </w:pPr>
  </w:style>
  <w:style w:type="character" w:styleId="21">
    <w:name w:val="Intense Emphasis"/>
    <w:basedOn w:val="a0"/>
    <w:uiPriority w:val="21"/>
    <w:qFormat/>
    <w:rsid w:val="001E4FE1"/>
    <w:rPr>
      <w:i/>
      <w:iCs/>
      <w:color w:val="2F5496" w:themeColor="accent1" w:themeShade="BF"/>
    </w:rPr>
  </w:style>
  <w:style w:type="paragraph" w:styleId="22">
    <w:name w:val="Intense Quote"/>
    <w:basedOn w:val="a"/>
    <w:next w:val="a"/>
    <w:link w:val="23"/>
    <w:uiPriority w:val="30"/>
    <w:qFormat/>
    <w:rsid w:val="001E4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4FE1"/>
    <w:rPr>
      <w:i/>
      <w:iCs/>
      <w:color w:val="2F5496" w:themeColor="accent1" w:themeShade="BF"/>
    </w:rPr>
  </w:style>
  <w:style w:type="character" w:styleId="24">
    <w:name w:val="Intense Reference"/>
    <w:basedOn w:val="a0"/>
    <w:uiPriority w:val="32"/>
    <w:qFormat/>
    <w:rsid w:val="001E4FE1"/>
    <w:rPr>
      <w:b/>
      <w:bCs/>
      <w:smallCaps/>
      <w:color w:val="2F5496" w:themeColor="accent1" w:themeShade="BF"/>
      <w:spacing w:val="5"/>
    </w:rPr>
  </w:style>
  <w:style w:type="paragraph" w:styleId="aa">
    <w:name w:val="header"/>
    <w:basedOn w:val="a"/>
    <w:link w:val="ab"/>
    <w:uiPriority w:val="99"/>
    <w:unhideWhenUsed/>
    <w:rsid w:val="001E4FE1"/>
    <w:pPr>
      <w:tabs>
        <w:tab w:val="center" w:pos="4252"/>
        <w:tab w:val="right" w:pos="8504"/>
      </w:tabs>
      <w:snapToGrid w:val="0"/>
    </w:pPr>
  </w:style>
  <w:style w:type="character" w:customStyle="1" w:styleId="ab">
    <w:name w:val="ヘッダー (文字)"/>
    <w:basedOn w:val="a0"/>
    <w:link w:val="aa"/>
    <w:uiPriority w:val="99"/>
    <w:rsid w:val="001E4FE1"/>
  </w:style>
  <w:style w:type="paragraph" w:styleId="ac">
    <w:name w:val="footer"/>
    <w:basedOn w:val="a"/>
    <w:link w:val="ad"/>
    <w:uiPriority w:val="99"/>
    <w:unhideWhenUsed/>
    <w:rsid w:val="001E4FE1"/>
    <w:pPr>
      <w:tabs>
        <w:tab w:val="center" w:pos="4252"/>
        <w:tab w:val="right" w:pos="8504"/>
      </w:tabs>
      <w:snapToGrid w:val="0"/>
    </w:pPr>
  </w:style>
  <w:style w:type="character" w:customStyle="1" w:styleId="ad">
    <w:name w:val="フッター (文字)"/>
    <w:basedOn w:val="a0"/>
    <w:link w:val="ac"/>
    <w:uiPriority w:val="99"/>
    <w:rsid w:val="001E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2026-05-28T03:31:00Z</dcterms:created>
  <dcterms:modified xsi:type="dcterms:W3CDTF">2026-05-28T03:42:00Z</dcterms:modified>
</cp:coreProperties>
</file>