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92F79" w14:textId="48C435A9" w:rsidR="0006383C" w:rsidRDefault="0006383C" w:rsidP="00F87D74">
      <w:pPr>
        <w:jc w:val="left"/>
        <w:rPr>
          <w:rFonts w:ascii="Times New Roman" w:eastAsia="ＭＳ ゴシック" w:hAnsi="Times New Roman"/>
          <w:b/>
          <w:bCs/>
          <w:sz w:val="28"/>
          <w:szCs w:val="28"/>
        </w:rPr>
      </w:pPr>
      <w:r w:rsidRPr="00E324D0">
        <w:rPr>
          <w:rFonts w:ascii="Times New Roman" w:eastAsia="ＭＳ ゴシック" w:hAnsi="Times New Roman" w:hint="eastAsia"/>
          <w:b/>
          <w:bCs/>
          <w:sz w:val="28"/>
          <w:szCs w:val="28"/>
        </w:rPr>
        <w:t>2026</w:t>
      </w:r>
      <w:r w:rsidRPr="00E324D0">
        <w:rPr>
          <w:rFonts w:ascii="Times New Roman" w:eastAsia="ＭＳ ゴシック" w:hAnsi="Times New Roman" w:hint="eastAsia"/>
          <w:b/>
          <w:bCs/>
          <w:sz w:val="28"/>
          <w:szCs w:val="28"/>
        </w:rPr>
        <w:t>年</w:t>
      </w:r>
      <w:r w:rsidRPr="00E324D0">
        <w:rPr>
          <w:rFonts w:ascii="Times New Roman" w:eastAsia="ＭＳ ゴシック" w:hAnsi="Times New Roman" w:hint="eastAsia"/>
          <w:b/>
          <w:bCs/>
          <w:sz w:val="28"/>
          <w:szCs w:val="28"/>
        </w:rPr>
        <w:t>4</w:t>
      </w:r>
      <w:r w:rsidRPr="00E324D0">
        <w:rPr>
          <w:rFonts w:ascii="Times New Roman" w:eastAsia="ＭＳ ゴシック" w:hAnsi="Times New Roman" w:hint="eastAsia"/>
          <w:b/>
          <w:bCs/>
          <w:sz w:val="28"/>
          <w:szCs w:val="28"/>
        </w:rPr>
        <w:t xml:space="preserve">月　</w:t>
      </w:r>
      <w:r>
        <w:rPr>
          <w:rFonts w:ascii="Times New Roman" w:eastAsia="ＭＳ ゴシック" w:hAnsi="Times New Roman" w:hint="eastAsia"/>
          <w:b/>
          <w:bCs/>
          <w:sz w:val="28"/>
          <w:szCs w:val="28"/>
        </w:rPr>
        <w:t>政府間作業部会（</w:t>
      </w:r>
      <w:r w:rsidRPr="00E324D0">
        <w:rPr>
          <w:rFonts w:ascii="Times New Roman" w:eastAsia="ＭＳ ゴシック" w:hAnsi="Times New Roman" w:hint="eastAsia"/>
          <w:b/>
          <w:bCs/>
          <w:sz w:val="28"/>
          <w:szCs w:val="28"/>
        </w:rPr>
        <w:t>IGWG</w:t>
      </w:r>
      <w:r>
        <w:rPr>
          <w:rFonts w:ascii="Times New Roman" w:eastAsia="ＭＳ ゴシック" w:hAnsi="Times New Roman" w:hint="eastAsia"/>
          <w:b/>
          <w:bCs/>
          <w:sz w:val="28"/>
          <w:szCs w:val="28"/>
        </w:rPr>
        <w:t>）</w:t>
      </w:r>
      <w:r w:rsidRPr="00E324D0">
        <w:rPr>
          <w:rFonts w:ascii="Times New Roman" w:eastAsia="ＭＳ ゴシック" w:hAnsi="Times New Roman" w:hint="eastAsia"/>
          <w:b/>
          <w:bCs/>
          <w:sz w:val="28"/>
          <w:szCs w:val="28"/>
        </w:rPr>
        <w:t>意見募集</w:t>
      </w:r>
      <w:r>
        <w:rPr>
          <w:rFonts w:ascii="Times New Roman" w:eastAsia="ＭＳ ゴシック" w:hAnsi="Times New Roman" w:hint="eastAsia"/>
          <w:b/>
          <w:bCs/>
          <w:sz w:val="28"/>
          <w:szCs w:val="28"/>
        </w:rPr>
        <w:t>の質問（素訳）</w:t>
      </w:r>
    </w:p>
    <w:p w14:paraId="3A9904A2" w14:textId="445B322C" w:rsidR="00F87D74" w:rsidRDefault="0006383C" w:rsidP="00F87D74">
      <w:pPr>
        <w:jc w:val="left"/>
        <w:rPr>
          <w:rFonts w:ascii="Times New Roman" w:eastAsia="ＭＳ ゴシック" w:hAnsi="Times New Roman"/>
          <w:b/>
          <w:bCs/>
          <w:szCs w:val="21"/>
        </w:rPr>
      </w:pPr>
      <w:r>
        <w:rPr>
          <w:rFonts w:ascii="Times New Roman" w:eastAsia="ＭＳ ゴシック" w:hAnsi="Times New Roman" w:hint="eastAsia"/>
          <w:b/>
          <w:bCs/>
          <w:szCs w:val="21"/>
        </w:rPr>
        <w:t>締め切りは</w:t>
      </w:r>
      <w:r>
        <w:rPr>
          <w:rFonts w:ascii="Times New Roman" w:eastAsia="ＭＳ ゴシック" w:hAnsi="Times New Roman" w:hint="eastAsia"/>
          <w:b/>
          <w:bCs/>
          <w:szCs w:val="21"/>
        </w:rPr>
        <w:t>4</w:t>
      </w:r>
      <w:r>
        <w:rPr>
          <w:rFonts w:ascii="Times New Roman" w:eastAsia="ＭＳ ゴシック" w:hAnsi="Times New Roman" w:hint="eastAsia"/>
          <w:b/>
          <w:bCs/>
          <w:szCs w:val="21"/>
        </w:rPr>
        <w:t>月</w:t>
      </w:r>
      <w:r>
        <w:rPr>
          <w:rFonts w:ascii="Times New Roman" w:eastAsia="ＭＳ ゴシック" w:hAnsi="Times New Roman" w:hint="eastAsia"/>
          <w:b/>
          <w:bCs/>
          <w:szCs w:val="21"/>
        </w:rPr>
        <w:t>22</w:t>
      </w:r>
      <w:r>
        <w:rPr>
          <w:rFonts w:ascii="Times New Roman" w:eastAsia="ＭＳ ゴシック" w:hAnsi="Times New Roman" w:hint="eastAsia"/>
          <w:b/>
          <w:bCs/>
          <w:szCs w:val="21"/>
        </w:rPr>
        <w:t>日</w:t>
      </w:r>
    </w:p>
    <w:p w14:paraId="20560D09" w14:textId="77777777" w:rsidR="0006383C" w:rsidRPr="00F87D74" w:rsidRDefault="0006383C" w:rsidP="00F87D74">
      <w:pPr>
        <w:jc w:val="left"/>
        <w:rPr>
          <w:rFonts w:ascii="Times New Roman" w:eastAsia="ＭＳ ゴシック" w:hAnsi="Times New Roman" w:hint="eastAsia"/>
          <w:b/>
          <w:bCs/>
          <w:szCs w:val="21"/>
        </w:rPr>
      </w:pPr>
    </w:p>
    <w:p w14:paraId="1B538841" w14:textId="505155FD" w:rsidR="00F87D74" w:rsidRPr="00E324D0" w:rsidRDefault="00F87D74" w:rsidP="00F87D74">
      <w:pPr>
        <w:jc w:val="left"/>
        <w:rPr>
          <w:rFonts w:ascii="BIZ UDゴシック" w:eastAsia="BIZ UDゴシック" w:hAnsi="BIZ UDゴシック"/>
          <w:b/>
          <w:bCs/>
          <w:sz w:val="24"/>
          <w:szCs w:val="24"/>
        </w:rPr>
      </w:pPr>
      <w:r w:rsidRPr="00E324D0">
        <w:rPr>
          <w:rFonts w:ascii="BIZ UDゴシック" w:eastAsia="BIZ UDゴシック" w:hAnsi="BIZ UDゴシック" w:hint="eastAsia"/>
          <w:b/>
          <w:bCs/>
          <w:sz w:val="24"/>
          <w:szCs w:val="24"/>
        </w:rPr>
        <w:t>質問1. 高齢者の人権に関する国際的な法的拘束力のある文書は、どのような包括的な枠組みに基づいて策定されるべきか</w:t>
      </w:r>
      <w:r w:rsidR="00AC1491">
        <w:rPr>
          <w:rFonts w:ascii="BIZ UDゴシック" w:eastAsia="BIZ UDゴシック" w:hAnsi="BIZ UDゴシック" w:hint="eastAsia"/>
          <w:b/>
          <w:bCs/>
          <w:sz w:val="24"/>
          <w:szCs w:val="24"/>
        </w:rPr>
        <w:t>？</w:t>
      </w:r>
      <w:r w:rsidRPr="00E324D0">
        <w:rPr>
          <w:rFonts w:ascii="BIZ UDゴシック" w:eastAsia="BIZ UDゴシック" w:hAnsi="BIZ UDゴシック" w:hint="eastAsia"/>
          <w:b/>
          <w:bCs/>
          <w:sz w:val="24"/>
          <w:szCs w:val="24"/>
        </w:rPr>
        <w:t>さらに、高齢者がすべての人権および基本的自由を完全かつ平等に享受する権利</w:t>
      </w:r>
      <w:r w:rsidR="00DA2F24">
        <w:rPr>
          <w:rFonts w:ascii="BIZ UDゴシック" w:eastAsia="BIZ UDゴシック" w:hAnsi="BIZ UDゴシック" w:hint="eastAsia"/>
          <w:b/>
          <w:bCs/>
          <w:sz w:val="24"/>
          <w:szCs w:val="24"/>
        </w:rPr>
        <w:t>保有</w:t>
      </w:r>
      <w:r w:rsidR="00123F60" w:rsidRPr="00E324D0">
        <w:rPr>
          <w:rFonts w:ascii="BIZ UDゴシック" w:eastAsia="BIZ UDゴシック" w:hAnsi="BIZ UDゴシック" w:hint="eastAsia"/>
          <w:b/>
          <w:bCs/>
          <w:sz w:val="24"/>
          <w:szCs w:val="24"/>
        </w:rPr>
        <w:t>者</w:t>
      </w:r>
      <w:r w:rsidRPr="00E324D0">
        <w:rPr>
          <w:rFonts w:ascii="BIZ UDゴシック" w:eastAsia="BIZ UDゴシック" w:hAnsi="BIZ UDゴシック" w:hint="eastAsia"/>
          <w:b/>
          <w:bCs/>
          <w:sz w:val="24"/>
          <w:szCs w:val="24"/>
        </w:rPr>
        <w:t>であるという認識を、</w:t>
      </w:r>
      <w:r w:rsidR="00123F60" w:rsidRPr="00E324D0">
        <w:rPr>
          <w:rFonts w:ascii="BIZ UDゴシック" w:eastAsia="BIZ UDゴシック" w:hAnsi="BIZ UDゴシック" w:hint="eastAsia"/>
          <w:b/>
          <w:bCs/>
          <w:sz w:val="24"/>
          <w:szCs w:val="24"/>
        </w:rPr>
        <w:t>その文書が</w:t>
      </w:r>
      <w:r w:rsidRPr="00E324D0">
        <w:rPr>
          <w:rFonts w:ascii="BIZ UDゴシック" w:eastAsia="BIZ UDゴシック" w:hAnsi="BIZ UDゴシック" w:hint="eastAsia"/>
          <w:b/>
          <w:bCs/>
          <w:sz w:val="24"/>
          <w:szCs w:val="24"/>
        </w:rPr>
        <w:t>最も適切に反映し、強化する</w:t>
      </w:r>
      <w:r w:rsidR="00123F60" w:rsidRPr="00E324D0">
        <w:rPr>
          <w:rFonts w:ascii="BIZ UDゴシック" w:eastAsia="BIZ UDゴシック" w:hAnsi="BIZ UDゴシック" w:hint="eastAsia"/>
          <w:b/>
          <w:bCs/>
          <w:sz w:val="24"/>
          <w:szCs w:val="24"/>
        </w:rPr>
        <w:t>にはどうすべきか</w:t>
      </w:r>
      <w:r w:rsidR="00AC1491">
        <w:rPr>
          <w:rFonts w:ascii="BIZ UDゴシック" w:eastAsia="BIZ UDゴシック" w:hAnsi="BIZ UDゴシック" w:hint="eastAsia"/>
          <w:b/>
          <w:bCs/>
          <w:sz w:val="24"/>
          <w:szCs w:val="24"/>
        </w:rPr>
        <w:t>？</w:t>
      </w:r>
    </w:p>
    <w:p w14:paraId="6E9EF170" w14:textId="77777777" w:rsidR="00F87D74" w:rsidRPr="00E324D0" w:rsidRDefault="00F87D74" w:rsidP="00F87D74">
      <w:pPr>
        <w:jc w:val="left"/>
        <w:rPr>
          <w:rFonts w:ascii="Times New Roman" w:eastAsia="ＭＳ ゴシック" w:hAnsi="Times New Roman"/>
          <w:b/>
          <w:bCs/>
          <w:sz w:val="24"/>
          <w:szCs w:val="24"/>
        </w:rPr>
      </w:pPr>
    </w:p>
    <w:p w14:paraId="6522E0FD" w14:textId="77777777" w:rsidR="00926E92" w:rsidRPr="00E324D0" w:rsidRDefault="00926E92" w:rsidP="00926E92">
      <w:pPr>
        <w:rPr>
          <w:rFonts w:ascii="Times New Roman" w:eastAsia="ＭＳ ゴシック" w:hAnsi="Times New Roman"/>
          <w:b/>
          <w:sz w:val="24"/>
          <w:szCs w:val="24"/>
        </w:rPr>
      </w:pPr>
      <w:r w:rsidRPr="00E324D0">
        <w:rPr>
          <w:rFonts w:ascii="Times New Roman" w:eastAsia="ＭＳ ゴシック" w:hAnsi="Times New Roman"/>
          <w:b/>
          <w:sz w:val="24"/>
          <w:szCs w:val="24"/>
        </w:rPr>
        <w:t>Question 1. What overarching framework should guide the international legally binding</w:t>
      </w:r>
      <w:r w:rsidRPr="00E324D0">
        <w:rPr>
          <w:rFonts w:ascii="Times New Roman" w:eastAsia="ＭＳ ゴシック" w:hAnsi="Times New Roman" w:hint="eastAsia"/>
          <w:b/>
          <w:bCs/>
          <w:sz w:val="24"/>
          <w:szCs w:val="24"/>
        </w:rPr>
        <w:t xml:space="preserve"> </w:t>
      </w:r>
      <w:r w:rsidRPr="00E324D0">
        <w:rPr>
          <w:rFonts w:ascii="Times New Roman" w:eastAsia="ＭＳ ゴシック" w:hAnsi="Times New Roman"/>
          <w:b/>
          <w:sz w:val="24"/>
          <w:szCs w:val="24"/>
        </w:rPr>
        <w:t>instrument on the human rights of older persons? Additionally, how can it best reflect</w:t>
      </w:r>
      <w:r w:rsidRPr="00E324D0">
        <w:rPr>
          <w:rFonts w:ascii="Times New Roman" w:eastAsia="ＭＳ ゴシック" w:hAnsi="Times New Roman" w:hint="eastAsia"/>
          <w:b/>
          <w:bCs/>
          <w:sz w:val="24"/>
          <w:szCs w:val="24"/>
        </w:rPr>
        <w:t xml:space="preserve"> </w:t>
      </w:r>
      <w:r w:rsidRPr="00E324D0">
        <w:rPr>
          <w:rFonts w:ascii="Times New Roman" w:eastAsia="ＭＳ ゴシック" w:hAnsi="Times New Roman"/>
          <w:b/>
          <w:sz w:val="24"/>
          <w:szCs w:val="24"/>
        </w:rPr>
        <w:t>and reinforce the recognition that older persons are rights-holders entitled to the full</w:t>
      </w:r>
      <w:r w:rsidRPr="00E324D0">
        <w:rPr>
          <w:rFonts w:ascii="Times New Roman" w:eastAsia="ＭＳ ゴシック" w:hAnsi="Times New Roman" w:hint="eastAsia"/>
          <w:b/>
          <w:bCs/>
          <w:sz w:val="24"/>
          <w:szCs w:val="24"/>
        </w:rPr>
        <w:t xml:space="preserve"> </w:t>
      </w:r>
      <w:r w:rsidRPr="00E324D0">
        <w:rPr>
          <w:rFonts w:ascii="Times New Roman" w:eastAsia="ＭＳ ゴシック" w:hAnsi="Times New Roman"/>
          <w:b/>
          <w:sz w:val="24"/>
          <w:szCs w:val="24"/>
        </w:rPr>
        <w:t>and equal enjoyment of all human rights and fundamental freedoms?</w:t>
      </w:r>
    </w:p>
    <w:p w14:paraId="061E3B48" w14:textId="77777777" w:rsidR="00926E92" w:rsidRPr="00E324D0" w:rsidRDefault="00926E92" w:rsidP="00926E92">
      <w:pPr>
        <w:rPr>
          <w:rFonts w:ascii="Times New Roman" w:eastAsia="ＭＳ ゴシック" w:hAnsi="Times New Roman"/>
          <w:sz w:val="24"/>
          <w:szCs w:val="24"/>
        </w:rPr>
      </w:pPr>
    </w:p>
    <w:p w14:paraId="3F991418" w14:textId="31B605F6" w:rsidR="00F87D74" w:rsidRPr="00E324D0" w:rsidRDefault="00F87D74" w:rsidP="00F87D74">
      <w:pPr>
        <w:jc w:val="left"/>
        <w:rPr>
          <w:rFonts w:ascii="BIZ UDゴシック" w:eastAsia="BIZ UDゴシック" w:hAnsi="BIZ UDゴシック"/>
          <w:b/>
          <w:bCs/>
          <w:sz w:val="24"/>
          <w:szCs w:val="24"/>
        </w:rPr>
      </w:pPr>
      <w:r w:rsidRPr="00E324D0">
        <w:rPr>
          <w:rFonts w:ascii="BIZ UDゴシック" w:eastAsia="BIZ UDゴシック" w:hAnsi="BIZ UDゴシック" w:hint="eastAsia"/>
          <w:b/>
          <w:bCs/>
          <w:sz w:val="24"/>
          <w:szCs w:val="24"/>
        </w:rPr>
        <w:t>質問2. 高齢者の権利を効果的に保護するために、法的拘束力のある文書はどのような</w:t>
      </w:r>
      <w:r w:rsidR="00680FBC" w:rsidRPr="00E324D0">
        <w:rPr>
          <w:rFonts w:ascii="BIZ UDゴシック" w:eastAsia="BIZ UDゴシック" w:hAnsi="BIZ UDゴシック" w:hint="eastAsia"/>
          <w:b/>
          <w:bCs/>
          <w:sz w:val="24"/>
          <w:szCs w:val="24"/>
        </w:rPr>
        <w:t>中核的な</w:t>
      </w:r>
      <w:r w:rsidRPr="00E324D0">
        <w:rPr>
          <w:rFonts w:ascii="BIZ UDゴシック" w:eastAsia="BIZ UDゴシック" w:hAnsi="BIZ UDゴシック" w:hint="eastAsia"/>
          <w:b/>
          <w:bCs/>
          <w:sz w:val="24"/>
          <w:szCs w:val="24"/>
        </w:rPr>
        <w:t>原則に基づくべきか？さらに、</w:t>
      </w:r>
      <w:r w:rsidR="00CC1FB3" w:rsidRPr="00E324D0">
        <w:rPr>
          <w:rFonts w:ascii="BIZ UDゴシック" w:eastAsia="BIZ UDゴシック" w:hAnsi="BIZ UDゴシック" w:hint="eastAsia"/>
          <w:b/>
          <w:bCs/>
          <w:sz w:val="24"/>
          <w:szCs w:val="24"/>
        </w:rPr>
        <w:t>この</w:t>
      </w:r>
      <w:r w:rsidRPr="00E324D0">
        <w:rPr>
          <w:rFonts w:ascii="BIZ UDゴシック" w:eastAsia="BIZ UDゴシック" w:hAnsi="BIZ UDゴシック" w:hint="eastAsia"/>
          <w:b/>
          <w:bCs/>
          <w:sz w:val="24"/>
          <w:szCs w:val="24"/>
        </w:rPr>
        <w:t>法的拘束力のある文書は、高齢者の既存の人権を再確認すると同時に、</w:t>
      </w:r>
      <w:r w:rsidR="00680FBC" w:rsidRPr="00E324D0">
        <w:rPr>
          <w:rFonts w:ascii="BIZ UDゴシック" w:eastAsia="BIZ UDゴシック" w:hAnsi="BIZ UDゴシック" w:hint="eastAsia"/>
          <w:b/>
          <w:bCs/>
          <w:sz w:val="24"/>
          <w:szCs w:val="24"/>
        </w:rPr>
        <w:t>あらたに</w:t>
      </w:r>
      <w:r w:rsidRPr="00E324D0">
        <w:rPr>
          <w:rFonts w:ascii="BIZ UDゴシック" w:eastAsia="BIZ UDゴシック" w:hAnsi="BIZ UDゴシック" w:hint="eastAsia"/>
          <w:b/>
          <w:bCs/>
          <w:sz w:val="24"/>
          <w:szCs w:val="24"/>
        </w:rPr>
        <w:t>規範的発展が必要な</w:t>
      </w:r>
      <w:r w:rsidR="00DA2F24">
        <w:rPr>
          <w:rFonts w:ascii="BIZ UDゴシック" w:eastAsia="BIZ UDゴシック" w:hAnsi="BIZ UDゴシック" w:hint="eastAsia"/>
          <w:b/>
          <w:bCs/>
          <w:sz w:val="24"/>
          <w:szCs w:val="24"/>
        </w:rPr>
        <w:t>問題や課題</w:t>
      </w:r>
      <w:r w:rsidR="00CC1FB3" w:rsidRPr="00E324D0">
        <w:rPr>
          <w:rFonts w:ascii="BIZ UDゴシック" w:eastAsia="BIZ UDゴシック" w:hAnsi="BIZ UDゴシック" w:hint="eastAsia"/>
          <w:b/>
          <w:bCs/>
          <w:sz w:val="24"/>
          <w:szCs w:val="24"/>
        </w:rPr>
        <w:t>（</w:t>
      </w:r>
      <w:r w:rsidRPr="00E324D0">
        <w:rPr>
          <w:rFonts w:ascii="BIZ UDゴシック" w:eastAsia="BIZ UDゴシック" w:hAnsi="BIZ UDゴシック" w:hint="eastAsia"/>
          <w:b/>
          <w:bCs/>
          <w:sz w:val="24"/>
          <w:szCs w:val="24"/>
        </w:rPr>
        <w:t>ギャップ</w:t>
      </w:r>
      <w:r w:rsidR="00CC1FB3" w:rsidRPr="00E324D0">
        <w:rPr>
          <w:rFonts w:ascii="BIZ UDゴシック" w:eastAsia="BIZ UDゴシック" w:hAnsi="BIZ UDゴシック" w:hint="eastAsia"/>
          <w:b/>
          <w:bCs/>
          <w:sz w:val="24"/>
          <w:szCs w:val="24"/>
        </w:rPr>
        <w:t>）</w:t>
      </w:r>
      <w:r w:rsidRPr="00E324D0">
        <w:rPr>
          <w:rFonts w:ascii="BIZ UDゴシック" w:eastAsia="BIZ UDゴシック" w:hAnsi="BIZ UDゴシック" w:hint="eastAsia"/>
          <w:b/>
          <w:bCs/>
          <w:sz w:val="24"/>
          <w:szCs w:val="24"/>
        </w:rPr>
        <w:t>を明確に特定し、対処するにはどうすればよいか？</w:t>
      </w:r>
    </w:p>
    <w:p w14:paraId="6EA4B50F" w14:textId="77777777" w:rsidR="00F87D74" w:rsidRPr="00E324D0" w:rsidRDefault="00F87D74" w:rsidP="00F87D74">
      <w:pPr>
        <w:jc w:val="left"/>
        <w:rPr>
          <w:rFonts w:ascii="Times New Roman" w:eastAsia="ＭＳ ゴシック" w:hAnsi="Times New Roman"/>
          <w:b/>
          <w:bCs/>
          <w:sz w:val="24"/>
          <w:szCs w:val="24"/>
        </w:rPr>
      </w:pPr>
    </w:p>
    <w:p w14:paraId="50838302" w14:textId="77777777" w:rsidR="00926E92" w:rsidRPr="00E324D0" w:rsidRDefault="00926E92" w:rsidP="00926E92">
      <w:pPr>
        <w:rPr>
          <w:rFonts w:ascii="Times New Roman" w:eastAsia="ＭＳ ゴシック" w:hAnsi="Times New Roman"/>
          <w:b/>
          <w:sz w:val="24"/>
          <w:szCs w:val="24"/>
        </w:rPr>
      </w:pPr>
      <w:r w:rsidRPr="00E324D0">
        <w:rPr>
          <w:rFonts w:ascii="Times New Roman" w:eastAsia="ＭＳ ゴシック" w:hAnsi="Times New Roman"/>
          <w:b/>
          <w:sz w:val="24"/>
          <w:szCs w:val="24"/>
        </w:rPr>
        <w:t>Question 2. What core principles should underpin the legally binding instrument</w:t>
      </w:r>
      <w:r w:rsidRPr="00E324D0">
        <w:rPr>
          <w:rFonts w:ascii="Times New Roman" w:eastAsia="ＭＳ ゴシック" w:hAnsi="Times New Roman"/>
          <w:b/>
          <w:bCs/>
          <w:sz w:val="24"/>
          <w:szCs w:val="24"/>
        </w:rPr>
        <w:t xml:space="preserve"> </w:t>
      </w:r>
      <w:r w:rsidRPr="00E324D0">
        <w:rPr>
          <w:rFonts w:ascii="Times New Roman" w:eastAsia="ＭＳ ゴシック" w:hAnsi="Times New Roman"/>
          <w:b/>
          <w:sz w:val="24"/>
          <w:szCs w:val="24"/>
        </w:rPr>
        <w:t>to ensure it effectively protects the rights of older persons? In addition, how can the legally binding instrument both reaffirm existing human rights for older persons and clearly identify and address gaps where further normative development is required?</w:t>
      </w:r>
    </w:p>
    <w:p w14:paraId="6045B82B" w14:textId="77777777" w:rsidR="00926E92" w:rsidRPr="00E324D0" w:rsidRDefault="00926E92" w:rsidP="00926E92">
      <w:pPr>
        <w:rPr>
          <w:rFonts w:ascii="Times New Roman" w:eastAsia="ＭＳ ゴシック" w:hAnsi="Times New Roman"/>
          <w:sz w:val="24"/>
          <w:szCs w:val="24"/>
        </w:rPr>
      </w:pPr>
    </w:p>
    <w:p w14:paraId="139CE2D9" w14:textId="63C64817" w:rsidR="00F87D74" w:rsidRPr="00E324D0" w:rsidRDefault="00F87D74" w:rsidP="00F87D74">
      <w:pPr>
        <w:jc w:val="left"/>
        <w:rPr>
          <w:rFonts w:ascii="BIZ UDゴシック" w:eastAsia="BIZ UDゴシック" w:hAnsi="BIZ UDゴシック"/>
          <w:b/>
          <w:bCs/>
          <w:sz w:val="24"/>
          <w:szCs w:val="24"/>
        </w:rPr>
      </w:pPr>
      <w:r w:rsidRPr="00E324D0">
        <w:rPr>
          <w:rFonts w:ascii="BIZ UDゴシック" w:eastAsia="BIZ UDゴシック" w:hAnsi="BIZ UDゴシック" w:hint="eastAsia"/>
          <w:b/>
          <w:bCs/>
          <w:sz w:val="24"/>
          <w:szCs w:val="24"/>
        </w:rPr>
        <w:t>質問3. 法的拘束力のある文書は、明確性と実効性を確保するために、どのような</w:t>
      </w:r>
      <w:r w:rsidR="00737673" w:rsidRPr="00DA2F24">
        <w:rPr>
          <w:rFonts w:ascii="BIZ UDゴシック" w:eastAsia="BIZ UDゴシック" w:hAnsi="BIZ UDゴシック" w:hint="eastAsia"/>
          <w:b/>
          <w:bCs/>
          <w:sz w:val="24"/>
          <w:szCs w:val="24"/>
        </w:rPr>
        <w:t>全体構成（</w:t>
      </w:r>
      <w:r w:rsidR="00737673" w:rsidRPr="00DA2F24">
        <w:rPr>
          <w:rFonts w:ascii="BIZ UDゴシック" w:eastAsia="BIZ UDゴシック" w:hAnsi="BIZ UDゴシック"/>
          <w:b/>
          <w:bCs/>
          <w:sz w:val="24"/>
          <w:szCs w:val="24"/>
        </w:rPr>
        <w:t>structure</w:t>
      </w:r>
      <w:r w:rsidR="00737673" w:rsidRPr="00DA2F24">
        <w:rPr>
          <w:rFonts w:ascii="BIZ UDゴシック" w:eastAsia="BIZ UDゴシック" w:hAnsi="BIZ UDゴシック" w:hint="eastAsia"/>
          <w:b/>
          <w:bCs/>
          <w:sz w:val="24"/>
          <w:szCs w:val="24"/>
        </w:rPr>
        <w:t>）や設計枠組み（</w:t>
      </w:r>
      <w:r w:rsidR="00737673" w:rsidRPr="00DA2F24">
        <w:rPr>
          <w:rFonts w:ascii="BIZ UDゴシック" w:eastAsia="BIZ UDゴシック" w:hAnsi="BIZ UDゴシック"/>
          <w:b/>
          <w:bCs/>
          <w:sz w:val="24"/>
          <w:szCs w:val="24"/>
        </w:rPr>
        <w:t>architecture</w:t>
      </w:r>
      <w:r w:rsidR="00737673" w:rsidRPr="00DA2F24">
        <w:rPr>
          <w:rFonts w:ascii="BIZ UDゴシック" w:eastAsia="BIZ UDゴシック" w:hAnsi="BIZ UDゴシック" w:hint="eastAsia"/>
          <w:b/>
          <w:bCs/>
          <w:sz w:val="24"/>
          <w:szCs w:val="24"/>
        </w:rPr>
        <w:t>）</w:t>
      </w:r>
      <w:r w:rsidRPr="00DA2F24">
        <w:rPr>
          <w:rFonts w:ascii="BIZ UDゴシック" w:eastAsia="BIZ UDゴシック" w:hAnsi="BIZ UDゴシック" w:hint="eastAsia"/>
          <w:b/>
          <w:bCs/>
          <w:sz w:val="24"/>
          <w:szCs w:val="24"/>
        </w:rPr>
        <w:t>を</w:t>
      </w:r>
      <w:r w:rsidRPr="00E324D0">
        <w:rPr>
          <w:rFonts w:ascii="BIZ UDゴシック" w:eastAsia="BIZ UDゴシック" w:hAnsi="BIZ UDゴシック" w:hint="eastAsia"/>
          <w:b/>
          <w:bCs/>
          <w:sz w:val="24"/>
          <w:szCs w:val="24"/>
        </w:rPr>
        <w:t>採用すべきか</w:t>
      </w:r>
      <w:r w:rsidR="00AC1491">
        <w:rPr>
          <w:rFonts w:ascii="BIZ UDゴシック" w:eastAsia="BIZ UDゴシック" w:hAnsi="BIZ UDゴシック" w:hint="eastAsia"/>
          <w:b/>
          <w:bCs/>
          <w:sz w:val="24"/>
          <w:szCs w:val="24"/>
        </w:rPr>
        <w:t>？</w:t>
      </w:r>
      <w:r w:rsidRPr="00E324D0">
        <w:rPr>
          <w:rFonts w:ascii="BIZ UDゴシック" w:eastAsia="BIZ UDゴシック" w:hAnsi="BIZ UDゴシック" w:hint="eastAsia"/>
          <w:b/>
          <w:bCs/>
          <w:sz w:val="24"/>
          <w:szCs w:val="24"/>
        </w:rPr>
        <w:t>例えば、前文、定義、一般原則、一般的義務、具体的権利、および実施規定を含めるべきか</w:t>
      </w:r>
      <w:r w:rsidR="00AC1491">
        <w:rPr>
          <w:rFonts w:ascii="BIZ UDゴシック" w:eastAsia="BIZ UDゴシック" w:hAnsi="BIZ UDゴシック" w:hint="eastAsia"/>
          <w:b/>
          <w:bCs/>
          <w:sz w:val="24"/>
          <w:szCs w:val="24"/>
        </w:rPr>
        <w:t>？</w:t>
      </w:r>
    </w:p>
    <w:p w14:paraId="4B0A99DD" w14:textId="77777777" w:rsidR="00424A8B" w:rsidRPr="00E324D0" w:rsidRDefault="00424A8B">
      <w:pPr>
        <w:rPr>
          <w:rFonts w:ascii="Times New Roman" w:eastAsia="ＭＳ ゴシック" w:hAnsi="Times New Roman"/>
          <w:sz w:val="24"/>
          <w:szCs w:val="24"/>
        </w:rPr>
      </w:pPr>
    </w:p>
    <w:p w14:paraId="4E6FAF58" w14:textId="2AA248FC" w:rsidR="000D4D56" w:rsidRPr="00E324D0" w:rsidRDefault="000D4D56" w:rsidP="009E7BFC">
      <w:pPr>
        <w:rPr>
          <w:rFonts w:ascii="Times New Roman" w:eastAsia="ＭＳ ゴシック" w:hAnsi="Times New Roman"/>
          <w:b/>
          <w:sz w:val="24"/>
          <w:szCs w:val="24"/>
        </w:rPr>
      </w:pPr>
      <w:r w:rsidRPr="00E324D0">
        <w:rPr>
          <w:rFonts w:ascii="Times New Roman" w:eastAsia="ＭＳ ゴシック" w:hAnsi="Times New Roman"/>
          <w:b/>
          <w:sz w:val="24"/>
          <w:szCs w:val="24"/>
        </w:rPr>
        <w:t xml:space="preserve">Question </w:t>
      </w:r>
      <w:r w:rsidR="009E7BFC" w:rsidRPr="00E324D0">
        <w:rPr>
          <w:rFonts w:ascii="Times New Roman" w:eastAsia="ＭＳ ゴシック" w:hAnsi="Times New Roman"/>
          <w:b/>
          <w:sz w:val="24"/>
          <w:szCs w:val="24"/>
        </w:rPr>
        <w:t>3. What overall</w:t>
      </w:r>
      <w:bookmarkStart w:id="0" w:name="_Hlk229743383"/>
      <w:r w:rsidR="009E7BFC" w:rsidRPr="00E324D0">
        <w:rPr>
          <w:rFonts w:ascii="Times New Roman" w:eastAsia="ＭＳ ゴシック" w:hAnsi="Times New Roman"/>
          <w:b/>
          <w:sz w:val="24"/>
          <w:szCs w:val="24"/>
        </w:rPr>
        <w:t xml:space="preserve"> structure</w:t>
      </w:r>
      <w:bookmarkEnd w:id="0"/>
      <w:r w:rsidR="009E7BFC" w:rsidRPr="00E324D0">
        <w:rPr>
          <w:rFonts w:ascii="Times New Roman" w:eastAsia="ＭＳ ゴシック" w:hAnsi="Times New Roman"/>
          <w:b/>
          <w:sz w:val="24"/>
          <w:szCs w:val="24"/>
        </w:rPr>
        <w:t xml:space="preserve"> or </w:t>
      </w:r>
      <w:bookmarkStart w:id="1" w:name="_Hlk229743403"/>
      <w:r w:rsidR="009E7BFC" w:rsidRPr="00E324D0">
        <w:rPr>
          <w:rFonts w:ascii="Times New Roman" w:eastAsia="ＭＳ ゴシック" w:hAnsi="Times New Roman"/>
          <w:b/>
          <w:sz w:val="24"/>
          <w:szCs w:val="24"/>
        </w:rPr>
        <w:t>architecture</w:t>
      </w:r>
      <w:bookmarkEnd w:id="1"/>
      <w:r w:rsidR="009E7BFC" w:rsidRPr="00E324D0">
        <w:rPr>
          <w:rFonts w:ascii="Times New Roman" w:eastAsia="ＭＳ ゴシック" w:hAnsi="Times New Roman"/>
          <w:b/>
          <w:sz w:val="24"/>
          <w:szCs w:val="24"/>
        </w:rPr>
        <w:t xml:space="preserve"> should the legally binding instrument adopt to</w:t>
      </w:r>
      <w:r w:rsidR="00BD212F" w:rsidRPr="00E324D0">
        <w:rPr>
          <w:rFonts w:ascii="Times New Roman" w:eastAsia="ＭＳ ゴシック" w:hAnsi="Times New Roman"/>
          <w:b/>
          <w:sz w:val="24"/>
          <w:szCs w:val="24"/>
        </w:rPr>
        <w:t xml:space="preserve"> </w:t>
      </w:r>
      <w:r w:rsidR="009E7BFC" w:rsidRPr="00E324D0">
        <w:rPr>
          <w:rFonts w:ascii="Times New Roman" w:eastAsia="ＭＳ ゴシック" w:hAnsi="Times New Roman"/>
          <w:b/>
          <w:sz w:val="24"/>
          <w:szCs w:val="24"/>
        </w:rPr>
        <w:t>ensure clarity and effectiveness? For example</w:t>
      </w:r>
      <w:r w:rsidR="00132984" w:rsidRPr="00E324D0">
        <w:rPr>
          <w:rFonts w:ascii="Times New Roman" w:eastAsia="ＭＳ ゴシック" w:hAnsi="Times New Roman"/>
          <w:b/>
          <w:sz w:val="24"/>
          <w:szCs w:val="24"/>
        </w:rPr>
        <w:t>,</w:t>
      </w:r>
      <w:r w:rsidR="009E7BFC" w:rsidRPr="00E324D0">
        <w:rPr>
          <w:rFonts w:ascii="Times New Roman" w:eastAsia="ＭＳ ゴシック" w:hAnsi="Times New Roman"/>
          <w:b/>
          <w:sz w:val="24"/>
          <w:szCs w:val="24"/>
        </w:rPr>
        <w:t xml:space="preserve"> should it include a preamble</w:t>
      </w:r>
      <w:r w:rsidR="00132984" w:rsidRPr="00E324D0">
        <w:rPr>
          <w:rFonts w:ascii="Times New Roman" w:eastAsia="ＭＳ ゴシック" w:hAnsi="Times New Roman"/>
          <w:b/>
          <w:sz w:val="24"/>
          <w:szCs w:val="24"/>
        </w:rPr>
        <w:t>,</w:t>
      </w:r>
      <w:r w:rsidR="00BD212F" w:rsidRPr="00E324D0">
        <w:rPr>
          <w:rFonts w:ascii="Times New Roman" w:eastAsia="ＭＳ ゴシック" w:hAnsi="Times New Roman"/>
          <w:b/>
          <w:sz w:val="24"/>
          <w:szCs w:val="24"/>
        </w:rPr>
        <w:t xml:space="preserve"> </w:t>
      </w:r>
      <w:r w:rsidR="009E7BFC" w:rsidRPr="00E324D0">
        <w:rPr>
          <w:rFonts w:ascii="Times New Roman" w:eastAsia="ＭＳ ゴシック" w:hAnsi="Times New Roman"/>
          <w:b/>
          <w:sz w:val="24"/>
          <w:szCs w:val="24"/>
        </w:rPr>
        <w:t>definitions</w:t>
      </w:r>
      <w:r w:rsidR="00EB5D40" w:rsidRPr="00E324D0">
        <w:rPr>
          <w:rFonts w:ascii="Times New Roman" w:eastAsia="ＭＳ ゴシック" w:hAnsi="Times New Roman"/>
          <w:b/>
          <w:sz w:val="24"/>
          <w:szCs w:val="24"/>
        </w:rPr>
        <w:t>,</w:t>
      </w:r>
      <w:r w:rsidR="009E7BFC" w:rsidRPr="00E324D0">
        <w:rPr>
          <w:rFonts w:ascii="Times New Roman" w:eastAsia="ＭＳ ゴシック" w:hAnsi="Times New Roman"/>
          <w:b/>
          <w:sz w:val="24"/>
          <w:szCs w:val="24"/>
        </w:rPr>
        <w:t xml:space="preserve"> general principles</w:t>
      </w:r>
      <w:r w:rsidR="00EB5D40" w:rsidRPr="00E324D0">
        <w:rPr>
          <w:rFonts w:ascii="Times New Roman" w:eastAsia="ＭＳ ゴシック" w:hAnsi="Times New Roman"/>
          <w:b/>
          <w:sz w:val="24"/>
          <w:szCs w:val="24"/>
        </w:rPr>
        <w:t>,</w:t>
      </w:r>
      <w:r w:rsidR="009E7BFC" w:rsidRPr="00E324D0">
        <w:rPr>
          <w:rFonts w:ascii="Times New Roman" w:eastAsia="ＭＳ ゴシック" w:hAnsi="Times New Roman"/>
          <w:b/>
          <w:sz w:val="24"/>
          <w:szCs w:val="24"/>
        </w:rPr>
        <w:t xml:space="preserve"> general obligations</w:t>
      </w:r>
      <w:r w:rsidR="00EB5D40" w:rsidRPr="00E324D0">
        <w:rPr>
          <w:rFonts w:ascii="Times New Roman" w:eastAsia="ＭＳ ゴシック" w:hAnsi="Times New Roman"/>
          <w:b/>
          <w:sz w:val="24"/>
          <w:szCs w:val="24"/>
        </w:rPr>
        <w:t>,</w:t>
      </w:r>
      <w:r w:rsidR="009E7BFC" w:rsidRPr="00E324D0">
        <w:rPr>
          <w:rFonts w:ascii="Times New Roman" w:eastAsia="ＭＳ ゴシック" w:hAnsi="Times New Roman"/>
          <w:b/>
          <w:sz w:val="24"/>
          <w:szCs w:val="24"/>
        </w:rPr>
        <w:t xml:space="preserve"> specific rights</w:t>
      </w:r>
      <w:r w:rsidR="00EB5D40" w:rsidRPr="00E324D0">
        <w:rPr>
          <w:rFonts w:ascii="Times New Roman" w:eastAsia="ＭＳ ゴシック" w:hAnsi="Times New Roman"/>
          <w:b/>
          <w:sz w:val="24"/>
          <w:szCs w:val="24"/>
        </w:rPr>
        <w:t>,</w:t>
      </w:r>
      <w:r w:rsidR="009E7BFC" w:rsidRPr="00E324D0">
        <w:rPr>
          <w:rFonts w:ascii="Times New Roman" w:eastAsia="ＭＳ ゴシック" w:hAnsi="Times New Roman"/>
          <w:b/>
          <w:sz w:val="24"/>
          <w:szCs w:val="24"/>
        </w:rPr>
        <w:t xml:space="preserve"> and implementation</w:t>
      </w:r>
      <w:r w:rsidR="00BD212F" w:rsidRPr="00E324D0">
        <w:rPr>
          <w:rFonts w:ascii="Times New Roman" w:eastAsia="ＭＳ ゴシック" w:hAnsi="Times New Roman"/>
          <w:b/>
          <w:sz w:val="24"/>
          <w:szCs w:val="24"/>
        </w:rPr>
        <w:t xml:space="preserve"> </w:t>
      </w:r>
      <w:r w:rsidR="009E7BFC" w:rsidRPr="00E324D0">
        <w:rPr>
          <w:rFonts w:ascii="Times New Roman" w:eastAsia="ＭＳ ゴシック" w:hAnsi="Times New Roman"/>
          <w:b/>
          <w:sz w:val="24"/>
          <w:szCs w:val="24"/>
        </w:rPr>
        <w:t>provisions?</w:t>
      </w:r>
    </w:p>
    <w:p w14:paraId="6B8A067D" w14:textId="77777777" w:rsidR="009E7BFC" w:rsidRPr="00E324D0" w:rsidRDefault="009E7BFC" w:rsidP="009E7BFC">
      <w:pPr>
        <w:rPr>
          <w:rFonts w:ascii="Times New Roman" w:eastAsia="ＭＳ ゴシック" w:hAnsi="Times New Roman"/>
          <w:sz w:val="24"/>
          <w:szCs w:val="24"/>
        </w:rPr>
      </w:pPr>
    </w:p>
    <w:p w14:paraId="1E3CEE3C" w14:textId="4AC16793" w:rsidR="003407BC" w:rsidRPr="006A0048" w:rsidRDefault="003407BC" w:rsidP="00424A8B">
      <w:pPr>
        <w:autoSpaceDE w:val="0"/>
        <w:autoSpaceDN w:val="0"/>
        <w:adjustRightInd w:val="0"/>
        <w:jc w:val="left"/>
        <w:rPr>
          <w:rFonts w:ascii="ＭＳ ゴシック" w:eastAsia="ＭＳ ゴシック" w:cs="ＭＳ ゴシック"/>
          <w:color w:val="000000" w:themeColor="text1"/>
          <w:kern w:val="0"/>
          <w:sz w:val="24"/>
          <w:szCs w:val="24"/>
        </w:rPr>
      </w:pPr>
    </w:p>
    <w:sectPr w:rsidR="003407BC" w:rsidRPr="006A0048" w:rsidSect="0055654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002ED" w14:textId="77777777" w:rsidR="00D75514" w:rsidRDefault="00D75514" w:rsidP="008D6774">
      <w:r>
        <w:separator/>
      </w:r>
    </w:p>
  </w:endnote>
  <w:endnote w:type="continuationSeparator" w:id="0">
    <w:p w14:paraId="4172DC5C" w14:textId="77777777" w:rsidR="00D75514" w:rsidRDefault="00D75514" w:rsidP="008D6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95EAD" w14:textId="77777777" w:rsidR="00D75514" w:rsidRDefault="00D75514" w:rsidP="008D6774">
      <w:r>
        <w:separator/>
      </w:r>
    </w:p>
  </w:footnote>
  <w:footnote w:type="continuationSeparator" w:id="0">
    <w:p w14:paraId="2E457B85" w14:textId="77777777" w:rsidR="00D75514" w:rsidRDefault="00D75514" w:rsidP="008D67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886F7E"/>
    <w:multiLevelType w:val="multilevel"/>
    <w:tmpl w:val="F34E9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6309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hyphenationZone w:val="4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D56"/>
    <w:rsid w:val="0000315B"/>
    <w:rsid w:val="00013CAB"/>
    <w:rsid w:val="00027B68"/>
    <w:rsid w:val="00034653"/>
    <w:rsid w:val="000428A5"/>
    <w:rsid w:val="000473D6"/>
    <w:rsid w:val="00054A49"/>
    <w:rsid w:val="000600B7"/>
    <w:rsid w:val="0006383C"/>
    <w:rsid w:val="00064EBF"/>
    <w:rsid w:val="0006592E"/>
    <w:rsid w:val="00065F58"/>
    <w:rsid w:val="00070EC5"/>
    <w:rsid w:val="000725D0"/>
    <w:rsid w:val="00077DC4"/>
    <w:rsid w:val="00094EAC"/>
    <w:rsid w:val="000964F6"/>
    <w:rsid w:val="000A4720"/>
    <w:rsid w:val="000C31F9"/>
    <w:rsid w:val="000D154A"/>
    <w:rsid w:val="000D4D56"/>
    <w:rsid w:val="000D6A13"/>
    <w:rsid w:val="000E744F"/>
    <w:rsid w:val="000F4171"/>
    <w:rsid w:val="001011B6"/>
    <w:rsid w:val="00103260"/>
    <w:rsid w:val="00115CEF"/>
    <w:rsid w:val="00120D1E"/>
    <w:rsid w:val="00123F60"/>
    <w:rsid w:val="00132984"/>
    <w:rsid w:val="00135CE5"/>
    <w:rsid w:val="00141B4A"/>
    <w:rsid w:val="001546CE"/>
    <w:rsid w:val="00160075"/>
    <w:rsid w:val="0016134C"/>
    <w:rsid w:val="00166D05"/>
    <w:rsid w:val="001815FE"/>
    <w:rsid w:val="0018310F"/>
    <w:rsid w:val="00186474"/>
    <w:rsid w:val="001873B5"/>
    <w:rsid w:val="0018741B"/>
    <w:rsid w:val="001878C3"/>
    <w:rsid w:val="00191A62"/>
    <w:rsid w:val="001961C9"/>
    <w:rsid w:val="001A1307"/>
    <w:rsid w:val="001C3DB0"/>
    <w:rsid w:val="001C7A8A"/>
    <w:rsid w:val="001D083D"/>
    <w:rsid w:val="001D60EF"/>
    <w:rsid w:val="001E0BCB"/>
    <w:rsid w:val="001E2DF2"/>
    <w:rsid w:val="002028C6"/>
    <w:rsid w:val="002131C5"/>
    <w:rsid w:val="002149B6"/>
    <w:rsid w:val="002219B5"/>
    <w:rsid w:val="00226800"/>
    <w:rsid w:val="00235C50"/>
    <w:rsid w:val="00240177"/>
    <w:rsid w:val="00244FBD"/>
    <w:rsid w:val="002511C3"/>
    <w:rsid w:val="00251F70"/>
    <w:rsid w:val="002540A5"/>
    <w:rsid w:val="002642AB"/>
    <w:rsid w:val="00270357"/>
    <w:rsid w:val="002771F0"/>
    <w:rsid w:val="002821B9"/>
    <w:rsid w:val="00294D78"/>
    <w:rsid w:val="002A3E0C"/>
    <w:rsid w:val="002B31C2"/>
    <w:rsid w:val="002D32E9"/>
    <w:rsid w:val="002E086E"/>
    <w:rsid w:val="002E3E16"/>
    <w:rsid w:val="00305A82"/>
    <w:rsid w:val="003067F0"/>
    <w:rsid w:val="0032147D"/>
    <w:rsid w:val="003260E5"/>
    <w:rsid w:val="00334EA0"/>
    <w:rsid w:val="00335106"/>
    <w:rsid w:val="003407BC"/>
    <w:rsid w:val="00342477"/>
    <w:rsid w:val="003579E6"/>
    <w:rsid w:val="00357EEC"/>
    <w:rsid w:val="003648A5"/>
    <w:rsid w:val="00370602"/>
    <w:rsid w:val="00375349"/>
    <w:rsid w:val="003818BE"/>
    <w:rsid w:val="00382B4A"/>
    <w:rsid w:val="003952CA"/>
    <w:rsid w:val="003B2A78"/>
    <w:rsid w:val="003B3C49"/>
    <w:rsid w:val="003C7CC9"/>
    <w:rsid w:val="003E1A51"/>
    <w:rsid w:val="003E2510"/>
    <w:rsid w:val="003E568E"/>
    <w:rsid w:val="003F7881"/>
    <w:rsid w:val="004239DE"/>
    <w:rsid w:val="004240AC"/>
    <w:rsid w:val="00424A8B"/>
    <w:rsid w:val="00425A38"/>
    <w:rsid w:val="00444A47"/>
    <w:rsid w:val="00450E92"/>
    <w:rsid w:val="0045343F"/>
    <w:rsid w:val="004608EC"/>
    <w:rsid w:val="00461048"/>
    <w:rsid w:val="004623D4"/>
    <w:rsid w:val="00466C24"/>
    <w:rsid w:val="004732F8"/>
    <w:rsid w:val="00475404"/>
    <w:rsid w:val="004770E5"/>
    <w:rsid w:val="004910B4"/>
    <w:rsid w:val="00492A38"/>
    <w:rsid w:val="00492E23"/>
    <w:rsid w:val="004B3897"/>
    <w:rsid w:val="004B4524"/>
    <w:rsid w:val="004C0B9E"/>
    <w:rsid w:val="004C1B9E"/>
    <w:rsid w:val="004D0F68"/>
    <w:rsid w:val="004E0441"/>
    <w:rsid w:val="004E4BF2"/>
    <w:rsid w:val="004E6048"/>
    <w:rsid w:val="004F7A28"/>
    <w:rsid w:val="00503B5E"/>
    <w:rsid w:val="005108EB"/>
    <w:rsid w:val="00517BD3"/>
    <w:rsid w:val="00521532"/>
    <w:rsid w:val="00525E95"/>
    <w:rsid w:val="005313CA"/>
    <w:rsid w:val="00544217"/>
    <w:rsid w:val="00556542"/>
    <w:rsid w:val="00560716"/>
    <w:rsid w:val="00562238"/>
    <w:rsid w:val="00562860"/>
    <w:rsid w:val="00562A7D"/>
    <w:rsid w:val="00564FA8"/>
    <w:rsid w:val="0056583D"/>
    <w:rsid w:val="0056780D"/>
    <w:rsid w:val="005701A7"/>
    <w:rsid w:val="00572D26"/>
    <w:rsid w:val="005774ED"/>
    <w:rsid w:val="00577F77"/>
    <w:rsid w:val="005A1571"/>
    <w:rsid w:val="005A5A96"/>
    <w:rsid w:val="005B2EAC"/>
    <w:rsid w:val="005B68D8"/>
    <w:rsid w:val="005C18EE"/>
    <w:rsid w:val="005C709C"/>
    <w:rsid w:val="005D01FC"/>
    <w:rsid w:val="005D2666"/>
    <w:rsid w:val="005D4017"/>
    <w:rsid w:val="005F68D5"/>
    <w:rsid w:val="00601C1D"/>
    <w:rsid w:val="00601F35"/>
    <w:rsid w:val="006153EA"/>
    <w:rsid w:val="006249B9"/>
    <w:rsid w:val="00627E15"/>
    <w:rsid w:val="0065072D"/>
    <w:rsid w:val="00655B31"/>
    <w:rsid w:val="00656969"/>
    <w:rsid w:val="00656A3F"/>
    <w:rsid w:val="00671B6F"/>
    <w:rsid w:val="00680FBC"/>
    <w:rsid w:val="006841F1"/>
    <w:rsid w:val="006900A3"/>
    <w:rsid w:val="00690439"/>
    <w:rsid w:val="00692B2F"/>
    <w:rsid w:val="006A0048"/>
    <w:rsid w:val="006C0AAB"/>
    <w:rsid w:val="006E7ADA"/>
    <w:rsid w:val="006F3A6F"/>
    <w:rsid w:val="00702529"/>
    <w:rsid w:val="00702B61"/>
    <w:rsid w:val="00707E83"/>
    <w:rsid w:val="00712858"/>
    <w:rsid w:val="00735866"/>
    <w:rsid w:val="00735CE8"/>
    <w:rsid w:val="00737673"/>
    <w:rsid w:val="00743FAB"/>
    <w:rsid w:val="0074714B"/>
    <w:rsid w:val="00751415"/>
    <w:rsid w:val="00754811"/>
    <w:rsid w:val="00755FE0"/>
    <w:rsid w:val="007568F3"/>
    <w:rsid w:val="00767DBB"/>
    <w:rsid w:val="00773E0A"/>
    <w:rsid w:val="00774C47"/>
    <w:rsid w:val="00775FA1"/>
    <w:rsid w:val="00777A49"/>
    <w:rsid w:val="00777D52"/>
    <w:rsid w:val="007A0209"/>
    <w:rsid w:val="007A0FAC"/>
    <w:rsid w:val="007A16F5"/>
    <w:rsid w:val="007A3863"/>
    <w:rsid w:val="007E038D"/>
    <w:rsid w:val="007E1611"/>
    <w:rsid w:val="007F1BAF"/>
    <w:rsid w:val="007F4688"/>
    <w:rsid w:val="007F58F7"/>
    <w:rsid w:val="00803C14"/>
    <w:rsid w:val="00806E8A"/>
    <w:rsid w:val="00815B3C"/>
    <w:rsid w:val="00817C5C"/>
    <w:rsid w:val="00824EBB"/>
    <w:rsid w:val="00831946"/>
    <w:rsid w:val="008432D6"/>
    <w:rsid w:val="00843E06"/>
    <w:rsid w:val="00847C97"/>
    <w:rsid w:val="00850C88"/>
    <w:rsid w:val="00853DA8"/>
    <w:rsid w:val="00862CAD"/>
    <w:rsid w:val="00865031"/>
    <w:rsid w:val="00866D0D"/>
    <w:rsid w:val="00874F40"/>
    <w:rsid w:val="00882A03"/>
    <w:rsid w:val="00885310"/>
    <w:rsid w:val="00896467"/>
    <w:rsid w:val="008968D4"/>
    <w:rsid w:val="008A3A9B"/>
    <w:rsid w:val="008A5A5E"/>
    <w:rsid w:val="008C17CA"/>
    <w:rsid w:val="008D6774"/>
    <w:rsid w:val="008E151A"/>
    <w:rsid w:val="008F44C7"/>
    <w:rsid w:val="009055D6"/>
    <w:rsid w:val="00921EDF"/>
    <w:rsid w:val="00923796"/>
    <w:rsid w:val="00926E92"/>
    <w:rsid w:val="00931A52"/>
    <w:rsid w:val="00936AD4"/>
    <w:rsid w:val="00950DE6"/>
    <w:rsid w:val="00960986"/>
    <w:rsid w:val="00966035"/>
    <w:rsid w:val="009758C7"/>
    <w:rsid w:val="00976481"/>
    <w:rsid w:val="00976DF1"/>
    <w:rsid w:val="00980C97"/>
    <w:rsid w:val="009872EF"/>
    <w:rsid w:val="00996660"/>
    <w:rsid w:val="0099737A"/>
    <w:rsid w:val="009A5A87"/>
    <w:rsid w:val="009B2424"/>
    <w:rsid w:val="009B58F7"/>
    <w:rsid w:val="009C5109"/>
    <w:rsid w:val="009D1F11"/>
    <w:rsid w:val="009D3FBC"/>
    <w:rsid w:val="009D5EA5"/>
    <w:rsid w:val="009D68AF"/>
    <w:rsid w:val="009E7BFC"/>
    <w:rsid w:val="009F7F51"/>
    <w:rsid w:val="00A02857"/>
    <w:rsid w:val="00A079C9"/>
    <w:rsid w:val="00A1025B"/>
    <w:rsid w:val="00A11C26"/>
    <w:rsid w:val="00A132F5"/>
    <w:rsid w:val="00A1376C"/>
    <w:rsid w:val="00A17409"/>
    <w:rsid w:val="00A21A58"/>
    <w:rsid w:val="00A23B9B"/>
    <w:rsid w:val="00A31261"/>
    <w:rsid w:val="00A32126"/>
    <w:rsid w:val="00A416F6"/>
    <w:rsid w:val="00A45D36"/>
    <w:rsid w:val="00A505EC"/>
    <w:rsid w:val="00A70569"/>
    <w:rsid w:val="00A7355C"/>
    <w:rsid w:val="00A73A3E"/>
    <w:rsid w:val="00A73D01"/>
    <w:rsid w:val="00A7619B"/>
    <w:rsid w:val="00A8246C"/>
    <w:rsid w:val="00A929B2"/>
    <w:rsid w:val="00A9530F"/>
    <w:rsid w:val="00A97799"/>
    <w:rsid w:val="00AA4C1C"/>
    <w:rsid w:val="00AB1F2D"/>
    <w:rsid w:val="00AB6937"/>
    <w:rsid w:val="00AB69F3"/>
    <w:rsid w:val="00AC1491"/>
    <w:rsid w:val="00AE15CF"/>
    <w:rsid w:val="00AE654A"/>
    <w:rsid w:val="00AF5A8C"/>
    <w:rsid w:val="00AF73AF"/>
    <w:rsid w:val="00B12D45"/>
    <w:rsid w:val="00B2333F"/>
    <w:rsid w:val="00B45554"/>
    <w:rsid w:val="00B559A0"/>
    <w:rsid w:val="00B60034"/>
    <w:rsid w:val="00B6262B"/>
    <w:rsid w:val="00B63014"/>
    <w:rsid w:val="00B63BD7"/>
    <w:rsid w:val="00B7264A"/>
    <w:rsid w:val="00B77C20"/>
    <w:rsid w:val="00B9108F"/>
    <w:rsid w:val="00BA55B4"/>
    <w:rsid w:val="00BA5975"/>
    <w:rsid w:val="00BA739D"/>
    <w:rsid w:val="00BB12BC"/>
    <w:rsid w:val="00BB6F2A"/>
    <w:rsid w:val="00BB729F"/>
    <w:rsid w:val="00BB7BC2"/>
    <w:rsid w:val="00BD031A"/>
    <w:rsid w:val="00BD212F"/>
    <w:rsid w:val="00BE10E9"/>
    <w:rsid w:val="00BF0A8E"/>
    <w:rsid w:val="00BF2A4F"/>
    <w:rsid w:val="00C0062C"/>
    <w:rsid w:val="00C048DF"/>
    <w:rsid w:val="00C13F86"/>
    <w:rsid w:val="00C16662"/>
    <w:rsid w:val="00C2169A"/>
    <w:rsid w:val="00C275D0"/>
    <w:rsid w:val="00C34FBE"/>
    <w:rsid w:val="00C36FE9"/>
    <w:rsid w:val="00C37864"/>
    <w:rsid w:val="00C465A4"/>
    <w:rsid w:val="00C528C5"/>
    <w:rsid w:val="00C62A79"/>
    <w:rsid w:val="00C65367"/>
    <w:rsid w:val="00C73EAE"/>
    <w:rsid w:val="00C91555"/>
    <w:rsid w:val="00C95478"/>
    <w:rsid w:val="00C95889"/>
    <w:rsid w:val="00C970BE"/>
    <w:rsid w:val="00CA04A1"/>
    <w:rsid w:val="00CA6122"/>
    <w:rsid w:val="00CA712C"/>
    <w:rsid w:val="00CB226C"/>
    <w:rsid w:val="00CB3465"/>
    <w:rsid w:val="00CB769F"/>
    <w:rsid w:val="00CC1FB3"/>
    <w:rsid w:val="00CC53E0"/>
    <w:rsid w:val="00D11249"/>
    <w:rsid w:val="00D13CF1"/>
    <w:rsid w:val="00D2618B"/>
    <w:rsid w:val="00D43C73"/>
    <w:rsid w:val="00D5033F"/>
    <w:rsid w:val="00D53572"/>
    <w:rsid w:val="00D61491"/>
    <w:rsid w:val="00D62072"/>
    <w:rsid w:val="00D7344D"/>
    <w:rsid w:val="00D75514"/>
    <w:rsid w:val="00D82818"/>
    <w:rsid w:val="00D940AA"/>
    <w:rsid w:val="00DA0AB6"/>
    <w:rsid w:val="00DA15F7"/>
    <w:rsid w:val="00DA1B4D"/>
    <w:rsid w:val="00DA2F24"/>
    <w:rsid w:val="00DB3D7A"/>
    <w:rsid w:val="00DB4247"/>
    <w:rsid w:val="00DB4640"/>
    <w:rsid w:val="00DB66FF"/>
    <w:rsid w:val="00DC6C0A"/>
    <w:rsid w:val="00DC739D"/>
    <w:rsid w:val="00DD3D3B"/>
    <w:rsid w:val="00DE02D8"/>
    <w:rsid w:val="00E0326E"/>
    <w:rsid w:val="00E13A31"/>
    <w:rsid w:val="00E324D0"/>
    <w:rsid w:val="00E458BA"/>
    <w:rsid w:val="00E46A2C"/>
    <w:rsid w:val="00E66C4A"/>
    <w:rsid w:val="00E713F8"/>
    <w:rsid w:val="00E757E7"/>
    <w:rsid w:val="00E7786C"/>
    <w:rsid w:val="00E8004B"/>
    <w:rsid w:val="00E85D13"/>
    <w:rsid w:val="00E85D6A"/>
    <w:rsid w:val="00E8690E"/>
    <w:rsid w:val="00E935E7"/>
    <w:rsid w:val="00E95851"/>
    <w:rsid w:val="00EB5D40"/>
    <w:rsid w:val="00EB7CBB"/>
    <w:rsid w:val="00EC2444"/>
    <w:rsid w:val="00EC7824"/>
    <w:rsid w:val="00ED1191"/>
    <w:rsid w:val="00ED44BB"/>
    <w:rsid w:val="00EF694C"/>
    <w:rsid w:val="00F04711"/>
    <w:rsid w:val="00F12D26"/>
    <w:rsid w:val="00F17E01"/>
    <w:rsid w:val="00F17F82"/>
    <w:rsid w:val="00F266AC"/>
    <w:rsid w:val="00F33E8E"/>
    <w:rsid w:val="00F4126E"/>
    <w:rsid w:val="00F47B39"/>
    <w:rsid w:val="00F57A20"/>
    <w:rsid w:val="00F75B49"/>
    <w:rsid w:val="00F76D17"/>
    <w:rsid w:val="00F87936"/>
    <w:rsid w:val="00F87D74"/>
    <w:rsid w:val="00FA1B50"/>
    <w:rsid w:val="00FB0174"/>
    <w:rsid w:val="00FB6378"/>
    <w:rsid w:val="00FD0BA6"/>
    <w:rsid w:val="00FE033D"/>
    <w:rsid w:val="018C4F15"/>
    <w:rsid w:val="04E9E773"/>
    <w:rsid w:val="06E48C76"/>
    <w:rsid w:val="074E1E2E"/>
    <w:rsid w:val="0FA66592"/>
    <w:rsid w:val="101720B1"/>
    <w:rsid w:val="14EE72CE"/>
    <w:rsid w:val="1531956B"/>
    <w:rsid w:val="170888B6"/>
    <w:rsid w:val="1C5B885F"/>
    <w:rsid w:val="1CF8FEAD"/>
    <w:rsid w:val="1F44F66E"/>
    <w:rsid w:val="21689FE1"/>
    <w:rsid w:val="2648EBE4"/>
    <w:rsid w:val="351434F6"/>
    <w:rsid w:val="384E6CD3"/>
    <w:rsid w:val="3868418F"/>
    <w:rsid w:val="38B74638"/>
    <w:rsid w:val="3A25C837"/>
    <w:rsid w:val="3E99DEF5"/>
    <w:rsid w:val="43D66AB2"/>
    <w:rsid w:val="45BD9716"/>
    <w:rsid w:val="4BA0257C"/>
    <w:rsid w:val="4F566CD4"/>
    <w:rsid w:val="4F7D2DB9"/>
    <w:rsid w:val="577F07DE"/>
    <w:rsid w:val="5C66B5D0"/>
    <w:rsid w:val="5C724649"/>
    <w:rsid w:val="5F2B45A5"/>
    <w:rsid w:val="6020B008"/>
    <w:rsid w:val="676FCEBF"/>
    <w:rsid w:val="6EE1A594"/>
    <w:rsid w:val="6F1EB7CA"/>
    <w:rsid w:val="704221B7"/>
    <w:rsid w:val="72A16F15"/>
    <w:rsid w:val="7C1144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060C62"/>
  <w15:chartTrackingRefBased/>
  <w15:docId w15:val="{E2AB7CDF-6F05-45EC-9B44-9A311EB82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11B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6774"/>
    <w:pPr>
      <w:tabs>
        <w:tab w:val="center" w:pos="4252"/>
        <w:tab w:val="right" w:pos="8504"/>
      </w:tabs>
      <w:snapToGrid w:val="0"/>
    </w:pPr>
  </w:style>
  <w:style w:type="character" w:customStyle="1" w:styleId="a4">
    <w:name w:val="ヘッダー (文字)"/>
    <w:basedOn w:val="a0"/>
    <w:link w:val="a3"/>
    <w:uiPriority w:val="99"/>
    <w:rsid w:val="008D6774"/>
  </w:style>
  <w:style w:type="paragraph" w:styleId="a5">
    <w:name w:val="footer"/>
    <w:basedOn w:val="a"/>
    <w:link w:val="a6"/>
    <w:uiPriority w:val="99"/>
    <w:unhideWhenUsed/>
    <w:rsid w:val="008D6774"/>
    <w:pPr>
      <w:tabs>
        <w:tab w:val="center" w:pos="4252"/>
        <w:tab w:val="right" w:pos="8504"/>
      </w:tabs>
      <w:snapToGrid w:val="0"/>
    </w:pPr>
  </w:style>
  <w:style w:type="character" w:customStyle="1" w:styleId="a6">
    <w:name w:val="フッター (文字)"/>
    <w:basedOn w:val="a0"/>
    <w:link w:val="a5"/>
    <w:uiPriority w:val="99"/>
    <w:rsid w:val="008D6774"/>
  </w:style>
  <w:style w:type="character" w:styleId="a7">
    <w:name w:val="Hyperlink"/>
    <w:uiPriority w:val="99"/>
    <w:unhideWhenUsed/>
    <w:rsid w:val="00F87936"/>
    <w:rPr>
      <w:color w:val="0000FF"/>
      <w:u w:val="single"/>
    </w:rPr>
  </w:style>
  <w:style w:type="paragraph" w:styleId="a8">
    <w:name w:val="Plain Text"/>
    <w:basedOn w:val="a"/>
    <w:link w:val="a9"/>
    <w:uiPriority w:val="99"/>
    <w:semiHidden/>
    <w:unhideWhenUsed/>
    <w:rsid w:val="00F87936"/>
    <w:pPr>
      <w:jc w:val="left"/>
    </w:pPr>
    <w:rPr>
      <w:rFonts w:ascii="ＭＳ ゴシック" w:eastAsia="ＭＳ ゴシック" w:hAnsi="Courier New" w:cs="Courier New"/>
      <w:sz w:val="20"/>
      <w:szCs w:val="21"/>
    </w:rPr>
  </w:style>
  <w:style w:type="character" w:customStyle="1" w:styleId="a9">
    <w:name w:val="書式なし (文字)"/>
    <w:link w:val="a8"/>
    <w:uiPriority w:val="99"/>
    <w:semiHidden/>
    <w:rsid w:val="00F87936"/>
    <w:rPr>
      <w:rFonts w:ascii="ＭＳ ゴシック" w:eastAsia="ＭＳ ゴシック" w:hAnsi="Courier New" w:cs="Courier New"/>
      <w:sz w:val="20"/>
      <w:szCs w:val="21"/>
    </w:rPr>
  </w:style>
  <w:style w:type="paragraph" w:styleId="aa">
    <w:name w:val="Balloon Text"/>
    <w:basedOn w:val="a"/>
    <w:link w:val="ab"/>
    <w:uiPriority w:val="99"/>
    <w:semiHidden/>
    <w:unhideWhenUsed/>
    <w:rsid w:val="00F87936"/>
    <w:rPr>
      <w:rFonts w:ascii="Arial" w:eastAsia="ＭＳ ゴシック" w:hAnsi="Arial"/>
      <w:sz w:val="18"/>
      <w:szCs w:val="18"/>
    </w:rPr>
  </w:style>
  <w:style w:type="character" w:customStyle="1" w:styleId="ab">
    <w:name w:val="吹き出し (文字)"/>
    <w:link w:val="aa"/>
    <w:uiPriority w:val="99"/>
    <w:semiHidden/>
    <w:rsid w:val="00F87936"/>
    <w:rPr>
      <w:rFonts w:ascii="Arial" w:eastAsia="ＭＳ ゴシック" w:hAnsi="Arial" w:cs="Times New Roman"/>
      <w:sz w:val="18"/>
      <w:szCs w:val="18"/>
    </w:rPr>
  </w:style>
  <w:style w:type="paragraph" w:customStyle="1" w:styleId="Default">
    <w:name w:val="Default"/>
    <w:rsid w:val="003407BC"/>
    <w:pPr>
      <w:widowControl w:val="0"/>
      <w:autoSpaceDE w:val="0"/>
      <w:autoSpaceDN w:val="0"/>
      <w:adjustRightInd w:val="0"/>
    </w:pPr>
    <w:rPr>
      <w:rFonts w:ascii="Times New Roman" w:hAnsi="Times New Roman"/>
      <w:color w:val="000000"/>
      <w:sz w:val="24"/>
      <w:szCs w:val="24"/>
    </w:rPr>
  </w:style>
  <w:style w:type="character" w:styleId="ac">
    <w:name w:val="annotation reference"/>
    <w:uiPriority w:val="99"/>
    <w:semiHidden/>
    <w:unhideWhenUsed/>
    <w:rsid w:val="00BA5975"/>
    <w:rPr>
      <w:sz w:val="18"/>
      <w:szCs w:val="18"/>
    </w:rPr>
  </w:style>
  <w:style w:type="paragraph" w:styleId="ad">
    <w:name w:val="annotation text"/>
    <w:basedOn w:val="a"/>
    <w:link w:val="ae"/>
    <w:uiPriority w:val="99"/>
    <w:unhideWhenUsed/>
    <w:rsid w:val="00BA5975"/>
    <w:pPr>
      <w:jc w:val="left"/>
    </w:pPr>
  </w:style>
  <w:style w:type="character" w:customStyle="1" w:styleId="ae">
    <w:name w:val="コメント文字列 (文字)"/>
    <w:link w:val="ad"/>
    <w:uiPriority w:val="99"/>
    <w:rsid w:val="00BA5975"/>
    <w:rPr>
      <w:kern w:val="2"/>
      <w:sz w:val="21"/>
      <w:szCs w:val="22"/>
    </w:rPr>
  </w:style>
  <w:style w:type="paragraph" w:styleId="af">
    <w:name w:val="annotation subject"/>
    <w:basedOn w:val="ad"/>
    <w:next w:val="ad"/>
    <w:link w:val="af0"/>
    <w:uiPriority w:val="99"/>
    <w:semiHidden/>
    <w:unhideWhenUsed/>
    <w:rsid w:val="00BA5975"/>
    <w:rPr>
      <w:b/>
      <w:bCs/>
    </w:rPr>
  </w:style>
  <w:style w:type="character" w:customStyle="1" w:styleId="af0">
    <w:name w:val="コメント内容 (文字)"/>
    <w:link w:val="af"/>
    <w:uiPriority w:val="99"/>
    <w:semiHidden/>
    <w:rsid w:val="00BA5975"/>
    <w:rPr>
      <w:b/>
      <w:bCs/>
      <w:kern w:val="2"/>
      <w:sz w:val="21"/>
      <w:szCs w:val="22"/>
    </w:rPr>
  </w:style>
  <w:style w:type="character" w:styleId="af1">
    <w:name w:val="Unresolved Mention"/>
    <w:uiPriority w:val="99"/>
    <w:semiHidden/>
    <w:unhideWhenUsed/>
    <w:rsid w:val="00BA5975"/>
    <w:rPr>
      <w:color w:val="605E5C"/>
      <w:shd w:val="clear" w:color="auto" w:fill="E1DFDD"/>
    </w:rPr>
  </w:style>
  <w:style w:type="paragraph" w:styleId="af2">
    <w:name w:val="Revision"/>
    <w:hidden/>
    <w:uiPriority w:val="99"/>
    <w:semiHidden/>
    <w:rsid w:val="00D62072"/>
    <w:rPr>
      <w:kern w:val="2"/>
      <w:sz w:val="21"/>
      <w:szCs w:val="22"/>
    </w:rPr>
  </w:style>
  <w:style w:type="character" w:styleId="af3">
    <w:name w:val="Mention"/>
    <w:basedOn w:val="a0"/>
    <w:uiPriority w:val="99"/>
    <w:unhideWhenUsed/>
    <w:rsid w:val="00ED11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207</Words>
  <Characters>1184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1389</CharactersWithSpaces>
  <SharedDoc>false</SharedDoc>
  <HLinks>
    <vt:vector size="18" baseType="variant">
      <vt:variant>
        <vt:i4>2490481</vt:i4>
      </vt:variant>
      <vt:variant>
        <vt:i4>6</vt:i4>
      </vt:variant>
      <vt:variant>
        <vt:i4>0</vt:i4>
      </vt:variant>
      <vt:variant>
        <vt:i4>5</vt:i4>
      </vt:variant>
      <vt:variant>
        <vt:lpwstr>https://www.cambridge.org/core/journals/leiden-journal-of-international-law/article/inflation-of-human-rights-a-deconstruction/6F2E581DFB5CFB2D3532F26F3BC05F90</vt:lpwstr>
      </vt:variant>
      <vt:variant>
        <vt:lpwstr/>
      </vt:variant>
      <vt:variant>
        <vt:i4>2556007</vt:i4>
      </vt:variant>
      <vt:variant>
        <vt:i4>3</vt:i4>
      </vt:variant>
      <vt:variant>
        <vt:i4>0</vt:i4>
      </vt:variant>
      <vt:variant>
        <vt:i4>5</vt:i4>
      </vt:variant>
      <vt:variant>
        <vt:lpwstr>https://www.europarl.europa.eu/RegData/etudes/STUD/2018/603865/EXPO_STU(2018)603865_EN.pdf</vt:lpwstr>
      </vt:variant>
      <vt:variant>
        <vt:lpwstr/>
      </vt:variant>
      <vt:variant>
        <vt:i4>8192025</vt:i4>
      </vt:variant>
      <vt:variant>
        <vt:i4>0</vt:i4>
      </vt:variant>
      <vt:variant>
        <vt:i4>0</vt:i4>
      </vt:variant>
      <vt:variant>
        <vt:i4>5</vt:i4>
      </vt:variant>
      <vt:variant>
        <vt:lpwstr>mailto:a30300@open.mofa.go.jp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久夫 佐藤</dc:creator>
  <cp:keywords/>
  <cp:lastModifiedBy>久夫 佐藤</cp:lastModifiedBy>
  <cp:revision>2</cp:revision>
  <dcterms:created xsi:type="dcterms:W3CDTF">2026-07-12T11:43:00Z</dcterms:created>
  <dcterms:modified xsi:type="dcterms:W3CDTF">2026-07-12T11:43:00Z</dcterms:modified>
</cp:coreProperties>
</file>