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D67586C" w14:textId="77777777" w:rsidR="00106C02" w:rsidRDefault="00F57C07">
      <w:r>
        <w:rPr>
          <w:noProof/>
        </w:rPr>
        <w:drawing>
          <wp:anchor distT="114300" distB="114300" distL="114300" distR="114300" simplePos="0" relativeHeight="251658240" behindDoc="0" locked="0" layoutInCell="1" hidden="0" allowOverlap="1" wp14:anchorId="40704456" wp14:editId="6AA322F7">
            <wp:simplePos x="0" y="0"/>
            <wp:positionH relativeFrom="column">
              <wp:posOffset>1500505</wp:posOffset>
            </wp:positionH>
            <wp:positionV relativeFrom="paragraph">
              <wp:posOffset>137160</wp:posOffset>
            </wp:positionV>
            <wp:extent cx="2674620" cy="998220"/>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t="12238" b="12237"/>
                    <a:stretch>
                      <a:fillRect/>
                    </a:stretch>
                  </pic:blipFill>
                  <pic:spPr>
                    <a:xfrm>
                      <a:off x="0" y="0"/>
                      <a:ext cx="2674620" cy="998220"/>
                    </a:xfrm>
                    <a:prstGeom prst="rect">
                      <a:avLst/>
                    </a:prstGeom>
                    <a:ln/>
                  </pic:spPr>
                </pic:pic>
              </a:graphicData>
            </a:graphic>
            <wp14:sizeRelH relativeFrom="margin">
              <wp14:pctWidth>0</wp14:pctWidth>
            </wp14:sizeRelH>
            <wp14:sizeRelV relativeFrom="margin">
              <wp14:pctHeight>0</wp14:pctHeight>
            </wp14:sizeRelV>
          </wp:anchor>
        </w:drawing>
      </w:r>
    </w:p>
    <w:p w14:paraId="30B81442" w14:textId="77777777" w:rsidR="00106C02" w:rsidRDefault="00106C02"/>
    <w:p w14:paraId="20EDE68B" w14:textId="77777777" w:rsidR="00106C02" w:rsidRDefault="00106C02"/>
    <w:p w14:paraId="61B22FAC" w14:textId="77777777" w:rsidR="00106C02" w:rsidRDefault="00106C02"/>
    <w:p w14:paraId="0BDBB6C6" w14:textId="77777777" w:rsidR="00106C02" w:rsidRDefault="00106C02"/>
    <w:p w14:paraId="06FF82E1" w14:textId="77777777" w:rsidR="00106C02" w:rsidRDefault="00106C02"/>
    <w:p w14:paraId="134CA704" w14:textId="77777777" w:rsidR="00106C02" w:rsidRDefault="00106C02"/>
    <w:p w14:paraId="5DEED9F8" w14:textId="77777777" w:rsidR="00551A65" w:rsidRDefault="00551A65">
      <w:pPr>
        <w:rPr>
          <w:rFonts w:hint="eastAsia"/>
        </w:rPr>
      </w:pPr>
    </w:p>
    <w:p w14:paraId="698D77D6" w14:textId="00DCEA12" w:rsidR="00551A65" w:rsidRDefault="00006AEE">
      <w:pPr>
        <w:jc w:val="center"/>
        <w:rPr>
          <w:b/>
          <w:bCs/>
        </w:rPr>
      </w:pPr>
      <w:r>
        <w:rPr>
          <w:rFonts w:hint="eastAsia"/>
          <w:b/>
          <w:bCs/>
        </w:rPr>
        <w:t>025</w:t>
      </w:r>
      <w:r>
        <w:rPr>
          <w:rFonts w:hint="eastAsia"/>
          <w:b/>
          <w:bCs/>
        </w:rPr>
        <w:t xml:space="preserve">　</w:t>
      </w:r>
      <w:r w:rsidR="00551A65">
        <w:rPr>
          <w:rFonts w:hint="eastAsia"/>
          <w:b/>
          <w:bCs/>
        </w:rPr>
        <w:t>フィリピン人権委員会</w:t>
      </w:r>
    </w:p>
    <w:p w14:paraId="565A9575" w14:textId="77777777" w:rsidR="00551A65" w:rsidRDefault="00F57C07">
      <w:pPr>
        <w:jc w:val="center"/>
        <w:rPr>
          <w:b/>
          <w:bCs/>
        </w:rPr>
      </w:pPr>
      <w:r>
        <w:rPr>
          <w:b/>
          <w:bCs/>
        </w:rPr>
        <w:t>高齢者の人権に関する法的拘束力のある文書の</w:t>
      </w:r>
    </w:p>
    <w:p w14:paraId="7EE3FC90" w14:textId="7C0B3E1B" w:rsidR="00106C02" w:rsidRDefault="00551A65">
      <w:pPr>
        <w:jc w:val="center"/>
        <w:rPr>
          <w:b/>
          <w:bCs/>
        </w:rPr>
      </w:pPr>
      <w:r>
        <w:rPr>
          <w:rFonts w:hint="eastAsia"/>
          <w:b/>
          <w:bCs/>
        </w:rPr>
        <w:t>全体的枠組み</w:t>
      </w:r>
      <w:r w:rsidR="00F57C07">
        <w:rPr>
          <w:b/>
          <w:bCs/>
        </w:rPr>
        <w:t>、構成、および指針</w:t>
      </w:r>
      <w:r>
        <w:rPr>
          <w:rFonts w:hint="eastAsia"/>
          <w:b/>
          <w:bCs/>
        </w:rPr>
        <w:t>となる</w:t>
      </w:r>
      <w:r w:rsidR="00F57C07">
        <w:rPr>
          <w:b/>
          <w:bCs/>
        </w:rPr>
        <w:t>原則に関する意見</w:t>
      </w:r>
    </w:p>
    <w:p w14:paraId="10CEC198" w14:textId="77777777" w:rsidR="00106C02" w:rsidRDefault="00F57C07">
      <w:pPr>
        <w:jc w:val="center"/>
        <w:rPr>
          <w:b/>
          <w:bCs/>
        </w:rPr>
      </w:pPr>
      <w:r>
        <w:rPr>
          <w:b/>
          <w:bCs/>
        </w:rPr>
        <w:t>2026</w:t>
      </w:r>
      <w:r>
        <w:rPr>
          <w:b/>
          <w:bCs/>
        </w:rPr>
        <w:t>年</w:t>
      </w:r>
      <w:r>
        <w:rPr>
          <w:b/>
          <w:bCs/>
        </w:rPr>
        <w:t>4</w:t>
      </w:r>
      <w:r>
        <w:rPr>
          <w:b/>
          <w:bCs/>
        </w:rPr>
        <w:t>月</w:t>
      </w:r>
      <w:r>
        <w:rPr>
          <w:b/>
          <w:bCs/>
        </w:rPr>
        <w:t>30</w:t>
      </w:r>
      <w:r>
        <w:rPr>
          <w:b/>
          <w:bCs/>
        </w:rPr>
        <w:t>日</w:t>
      </w:r>
    </w:p>
    <w:p w14:paraId="66E5A1CF" w14:textId="77777777" w:rsidR="00106C02" w:rsidRDefault="00106C02">
      <w:pPr>
        <w:jc w:val="center"/>
        <w:rPr>
          <w:b/>
          <w:bCs/>
        </w:rPr>
      </w:pPr>
    </w:p>
    <w:p w14:paraId="127D67E1" w14:textId="77777777" w:rsidR="00106C02" w:rsidRDefault="00F57C07">
      <w:pPr>
        <w:jc w:val="both"/>
        <w:rPr>
          <w:b/>
          <w:bCs/>
        </w:rPr>
      </w:pPr>
      <w:r>
        <w:rPr>
          <w:b/>
          <w:bCs/>
        </w:rPr>
        <w:t>はじめに</w:t>
      </w:r>
    </w:p>
    <w:p w14:paraId="7006E8DE" w14:textId="77777777" w:rsidR="00106C02" w:rsidRDefault="00106C02">
      <w:pPr>
        <w:jc w:val="both"/>
        <w:rPr>
          <w:b/>
          <w:bCs/>
        </w:rPr>
      </w:pPr>
    </w:p>
    <w:p w14:paraId="54208D73" w14:textId="73FF17EE" w:rsidR="00106C02" w:rsidRDefault="00F57C07">
      <w:pPr>
        <w:numPr>
          <w:ilvl w:val="0"/>
          <w:numId w:val="2"/>
        </w:numPr>
        <w:jc w:val="both"/>
      </w:pPr>
      <w:r w:rsidRPr="001370EC">
        <w:t>フィリピン人権委員会</w:t>
      </w:r>
      <w:r w:rsidRPr="001370EC">
        <w:rPr>
          <w:vertAlign w:val="superscript"/>
        </w:rPr>
        <w:footnoteReference w:id="1"/>
      </w:r>
      <w:r w:rsidR="00551A65" w:rsidRPr="001370EC">
        <w:rPr>
          <w:rFonts w:hint="eastAsia"/>
        </w:rPr>
        <w:t>（</w:t>
      </w:r>
      <w:r w:rsidRPr="001370EC">
        <w:t>以下「委員会」または「</w:t>
      </w:r>
      <w:r w:rsidRPr="001370EC">
        <w:t>CHRP</w:t>
      </w:r>
      <w:r w:rsidRPr="001370EC">
        <w:t>」）は、高齢者の人権の促進と保護に関</w:t>
      </w:r>
      <w:r>
        <w:t>する法的拘束力のある文書の策定に向けた無期限政府間作業部会（</w:t>
      </w:r>
      <w:r>
        <w:t>IGWG</w:t>
      </w:r>
      <w:r>
        <w:t>）に対し、意見を提出する。</w:t>
      </w:r>
      <w:r>
        <w:t>CHRP</w:t>
      </w:r>
      <w:r>
        <w:t>は、全国高齢者委員会と協力し、</w:t>
      </w:r>
      <w:r>
        <w:t>2026</w:t>
      </w:r>
      <w:r>
        <w:t>年</w:t>
      </w:r>
      <w:r>
        <w:t>4</w:t>
      </w:r>
      <w:r>
        <w:t>月</w:t>
      </w:r>
      <w:r>
        <w:t>29</w:t>
      </w:r>
      <w:r>
        <w:t>日から</w:t>
      </w:r>
      <w:r>
        <w:t>30</w:t>
      </w:r>
      <w:r>
        <w:t>日にかけて、フィリピンのケソン市およびオンライン（</w:t>
      </w:r>
      <w:r>
        <w:t>Zoom</w:t>
      </w:r>
      <w:r>
        <w:t>）にて、高齢者、市民社会組織、学界、および国家政府機関との協議</w:t>
      </w:r>
      <w:r>
        <w:rPr>
          <w:vertAlign w:val="superscript"/>
        </w:rPr>
        <w:footnoteReference w:id="2"/>
      </w:r>
      <w:r>
        <w:t xml:space="preserve"> </w:t>
      </w:r>
      <w:r>
        <w:t>を開催した。</w:t>
      </w:r>
      <w:r>
        <w:t>本協議は、高齢者の人権に関する国際的な法的拘束力のある文書（</w:t>
      </w:r>
      <w:r>
        <w:t>LBI</w:t>
      </w:r>
      <w:r>
        <w:t>）の構成要素に関する提言について、高齢者、その代表組織、市民社会、および政府との間で、構造化され、包括的かつ有意義な参加と対話を実現するものであった。</w:t>
      </w:r>
      <w:r>
        <w:t xml:space="preserve"> </w:t>
      </w:r>
    </w:p>
    <w:p w14:paraId="7FDF57E7" w14:textId="77777777" w:rsidR="00106C02" w:rsidRDefault="00106C02">
      <w:pPr>
        <w:ind w:left="720"/>
        <w:jc w:val="both"/>
      </w:pPr>
    </w:p>
    <w:p w14:paraId="363C4509" w14:textId="66AFEA91" w:rsidR="00106C02" w:rsidRDefault="00F57C07">
      <w:pPr>
        <w:numPr>
          <w:ilvl w:val="0"/>
          <w:numId w:val="2"/>
        </w:numPr>
        <w:jc w:val="both"/>
      </w:pPr>
      <w:r>
        <w:t>本協議の成果、および委員会の関連声明、論文、報告書、</w:t>
      </w:r>
      <w:r w:rsidR="00551A65">
        <w:rPr>
          <w:rFonts w:hint="eastAsia"/>
        </w:rPr>
        <w:t>提言</w:t>
      </w:r>
      <w:r>
        <w:t>は、</w:t>
      </w:r>
      <w:r>
        <w:t>IGWG</w:t>
      </w:r>
      <w:r>
        <w:t>への本提出文書の主要な情報源である。後続の各節に反映された提言は、本協議の要約であり、完全な文書は適宜公開される予定である。</w:t>
      </w:r>
      <w:r>
        <w:t>本協議の完全な記録およびその</w:t>
      </w:r>
      <w:r>
        <w:t>議事録は、委員会が提示した</w:t>
      </w:r>
      <w:r>
        <w:t>LBI</w:t>
      </w:r>
      <w:r>
        <w:t>の要素についてさらに説明するために必要な</w:t>
      </w:r>
      <w:r>
        <w:rPr>
          <w:i/>
          <w:iCs/>
        </w:rPr>
        <w:t>、</w:t>
      </w:r>
      <w:r>
        <w:t>委員会の内部作業文書</w:t>
      </w:r>
      <w:r>
        <w:t>として機能する。</w:t>
      </w:r>
    </w:p>
    <w:p w14:paraId="41313785" w14:textId="77777777" w:rsidR="00106C02" w:rsidRDefault="00106C02">
      <w:pPr>
        <w:ind w:left="720"/>
        <w:jc w:val="both"/>
      </w:pPr>
    </w:p>
    <w:p w14:paraId="637A353A" w14:textId="1EE383A5" w:rsidR="00106C02" w:rsidRDefault="00F57C07" w:rsidP="001370EC">
      <w:pPr>
        <w:numPr>
          <w:ilvl w:val="0"/>
          <w:numId w:val="2"/>
        </w:numPr>
        <w:jc w:val="both"/>
      </w:pPr>
      <w:r>
        <w:t>また、委員会は、</w:t>
      </w:r>
      <w:r>
        <w:t>2026</w:t>
      </w:r>
      <w:r>
        <w:t>年</w:t>
      </w:r>
      <w:r>
        <w:t>4</w:t>
      </w:r>
      <w:r>
        <w:t>月</w:t>
      </w:r>
      <w:r>
        <w:t>22</w:t>
      </w:r>
      <w:r>
        <w:t>日に提出された「国</w:t>
      </w:r>
      <w:r w:rsidR="001370EC">
        <w:rPr>
          <w:rFonts w:hint="eastAsia"/>
        </w:rPr>
        <w:t>内</w:t>
      </w:r>
      <w:r>
        <w:t>人権機関</w:t>
      </w:r>
      <w:r w:rsidR="00551A65">
        <w:rPr>
          <w:rFonts w:hint="eastAsia"/>
        </w:rPr>
        <w:t>世界連合</w:t>
      </w:r>
      <w:r>
        <w:t>（</w:t>
      </w:r>
      <w:r>
        <w:t>GANHRI</w:t>
      </w:r>
      <w:r>
        <w:t>）」の意見書</w:t>
      </w:r>
      <w:r>
        <w:rPr>
          <w:vertAlign w:val="superscript"/>
        </w:rPr>
        <w:footnoteReference w:id="3"/>
      </w:r>
      <w:r>
        <w:t>の作成にも寄与しており、</w:t>
      </w:r>
      <w:r>
        <w:t>高齢者権利</w:t>
      </w:r>
      <w:r w:rsidR="00551A65">
        <w:t>グローバル</w:t>
      </w:r>
      <w:r w:rsidR="00551A65">
        <w:rPr>
          <w:rFonts w:hint="eastAsia"/>
        </w:rPr>
        <w:t>連合</w:t>
      </w:r>
      <w:r>
        <w:t>（</w:t>
      </w:r>
      <w:r>
        <w:t>GAROP</w:t>
      </w:r>
      <w:r>
        <w:t>）が公表した</w:t>
      </w:r>
      <w:r w:rsidRPr="001370EC">
        <w:rPr>
          <w:i/>
          <w:iCs/>
        </w:rPr>
        <w:t>「</w:t>
      </w:r>
      <w:r>
        <w:t>高齢者の人権に関する新たな法的拘束力のある文書（</w:t>
      </w:r>
      <w:r>
        <w:t>LBI</w:t>
      </w:r>
      <w:r w:rsidRPr="001370EC">
        <w:rPr>
          <w:i/>
          <w:iCs/>
        </w:rPr>
        <w:t>）の概念的枠組み</w:t>
      </w:r>
      <w:r w:rsidR="00551A65" w:rsidRPr="001370EC">
        <w:rPr>
          <w:rFonts w:hint="eastAsia"/>
          <w:i/>
          <w:iCs/>
        </w:rPr>
        <w:t>、基礎となる原則</w:t>
      </w:r>
      <w:r w:rsidRPr="001370EC">
        <w:rPr>
          <w:i/>
          <w:iCs/>
        </w:rPr>
        <w:t>および</w:t>
      </w:r>
      <w:r>
        <w:t>想定される</w:t>
      </w:r>
      <w:r>
        <w:lastRenderedPageBreak/>
        <w:t>範囲</w:t>
      </w:r>
      <w:r w:rsidRPr="001370EC">
        <w:rPr>
          <w:i/>
          <w:iCs/>
        </w:rPr>
        <w:t>」</w:t>
      </w:r>
      <w:r>
        <w:rPr>
          <w:vertAlign w:val="superscript"/>
        </w:rPr>
        <w:footnoteReference w:id="4"/>
      </w:r>
      <w:r>
        <w:t xml:space="preserve"> </w:t>
      </w:r>
      <w:r>
        <w:t>を</w:t>
      </w:r>
      <w:r w:rsidRPr="001370EC">
        <w:rPr>
          <w:i/>
          <w:iCs/>
        </w:rPr>
        <w:t>、</w:t>
      </w:r>
      <w:r>
        <w:t>LBI</w:t>
      </w:r>
      <w:r>
        <w:t>の一般的な枠組み、構成、および指針となる原則に関する議論における主要な参照資料と見なしている。</w:t>
      </w:r>
      <w:r>
        <w:t xml:space="preserve"> </w:t>
      </w:r>
    </w:p>
    <w:p w14:paraId="6258CE15" w14:textId="77777777" w:rsidR="00106C02" w:rsidRDefault="00106C02">
      <w:pPr>
        <w:jc w:val="both"/>
      </w:pPr>
    </w:p>
    <w:p w14:paraId="03E6D792" w14:textId="77777777" w:rsidR="00106C02" w:rsidRDefault="00F57C07">
      <w:pPr>
        <w:jc w:val="both"/>
        <w:rPr>
          <w:b/>
          <w:bCs/>
        </w:rPr>
      </w:pPr>
      <w:r>
        <w:rPr>
          <w:b/>
          <w:bCs/>
        </w:rPr>
        <w:t xml:space="preserve">I. </w:t>
      </w:r>
      <w:r>
        <w:rPr>
          <w:b/>
          <w:bCs/>
        </w:rPr>
        <w:t>包括的枠組み</w:t>
      </w:r>
    </w:p>
    <w:p w14:paraId="49E8AAA5" w14:textId="77777777" w:rsidR="00106C02" w:rsidRDefault="00106C02">
      <w:pPr>
        <w:jc w:val="both"/>
      </w:pPr>
    </w:p>
    <w:p w14:paraId="7DE75507" w14:textId="7D80F46A" w:rsidR="00106C02" w:rsidRDefault="00F57C07">
      <w:pPr>
        <w:numPr>
          <w:ilvl w:val="0"/>
          <w:numId w:val="2"/>
        </w:numPr>
        <w:jc w:val="both"/>
      </w:pPr>
      <w:r>
        <w:t>本法的拘束力のある文書（</w:t>
      </w:r>
      <w:r>
        <w:t>LBI</w:t>
      </w:r>
      <w:r>
        <w:t>）は、その策定、実施、監視、評価という全プロセスにおいて、高齢者の参加、その声、および経験を</w:t>
      </w:r>
      <w:r w:rsidR="007D4E3D">
        <w:rPr>
          <w:rFonts w:hint="eastAsia"/>
        </w:rPr>
        <w:t>中心</w:t>
      </w:r>
      <w:r>
        <w:t>とすることを当初から提唱すべきである。</w:t>
      </w:r>
      <w:r>
        <w:t>自律</w:t>
      </w:r>
      <w:r>
        <w:t>を促進し、高齢者を権利保有者として認める</w:t>
      </w:r>
      <w:r w:rsidR="007D4E3D">
        <w:rPr>
          <w:rFonts w:hint="eastAsia"/>
        </w:rPr>
        <w:t>のは、</w:t>
      </w:r>
      <w:r w:rsidR="007D4E3D">
        <w:t>本質的に</w:t>
      </w:r>
      <w:r>
        <w:t>エンパワーメントの枠組みである。高齢者の人権は生来の</w:t>
      </w:r>
      <w:r>
        <w:t>、生まれながらの権利であり、付与されるものでも、インセンティブとして扱われるものでもない</w:t>
      </w:r>
      <w:r>
        <w:rPr>
          <w:vertAlign w:val="superscript"/>
        </w:rPr>
        <w:footnoteReference w:id="5"/>
      </w:r>
      <w:r w:rsidR="007D4E3D">
        <w:t>。</w:t>
      </w:r>
      <w:r>
        <w:t>生活全般に関するあらゆる審議への</w:t>
      </w:r>
      <w:r w:rsidR="007D4E3D">
        <w:t>高齢者の</w:t>
      </w:r>
      <w:r>
        <w:t>参加と包摂は必須である。</w:t>
      </w:r>
      <w:r>
        <w:t xml:space="preserve"> </w:t>
      </w:r>
    </w:p>
    <w:p w14:paraId="2EB5EC9F" w14:textId="77777777" w:rsidR="00106C02" w:rsidRDefault="00106C02">
      <w:pPr>
        <w:jc w:val="both"/>
      </w:pPr>
    </w:p>
    <w:p w14:paraId="14436C00" w14:textId="5F0D8DDE" w:rsidR="00106C02" w:rsidRDefault="00F57C07">
      <w:pPr>
        <w:numPr>
          <w:ilvl w:val="0"/>
          <w:numId w:val="2"/>
        </w:numPr>
        <w:jc w:val="both"/>
      </w:pPr>
      <w:r>
        <w:t>既存の人権および労働権に関する国際条約・基準、ならびに地域的人権条約は、高齢者の人権に関する</w:t>
      </w:r>
      <w:r>
        <w:t>LBI</w:t>
      </w:r>
      <w:r>
        <w:t>の基盤である。</w:t>
      </w:r>
      <w:r>
        <w:t>LBI</w:t>
      </w:r>
      <w:r>
        <w:t>は、これらの国際的・地域的人権条約において既に保障されている権利の保護を縮小</w:t>
      </w:r>
      <w:r w:rsidR="00394F9F">
        <w:rPr>
          <w:rFonts w:hint="eastAsia"/>
        </w:rPr>
        <w:t>してはならない</w:t>
      </w:r>
      <w:r>
        <w:t>が、包括的かつ普遍的なレベルで、その改善や</w:t>
      </w:r>
      <w:r w:rsidR="00394F9F">
        <w:rPr>
          <w:rFonts w:hint="eastAsia"/>
        </w:rPr>
        <w:t>欠落</w:t>
      </w:r>
      <w:r>
        <w:t>・限界への対処</w:t>
      </w:r>
      <w:r w:rsidR="00394F9F">
        <w:rPr>
          <w:rFonts w:hint="eastAsia"/>
        </w:rPr>
        <w:t>は</w:t>
      </w:r>
      <w:r>
        <w:t>可能である。すなわち、</w:t>
      </w:r>
      <w:r>
        <w:t>LBI</w:t>
      </w:r>
      <w:r>
        <w:t>は世界のあらゆる地域にまたがり、すべての高齢者の人権の促進と保護を網羅する</w:t>
      </w:r>
      <w:r>
        <w:t>。</w:t>
      </w:r>
      <w:r>
        <w:t xml:space="preserve"> </w:t>
      </w:r>
    </w:p>
    <w:p w14:paraId="7993067A" w14:textId="77777777" w:rsidR="00106C02" w:rsidRDefault="00106C02">
      <w:pPr>
        <w:ind w:left="720"/>
        <w:jc w:val="both"/>
      </w:pPr>
    </w:p>
    <w:p w14:paraId="186C654B" w14:textId="73E00119" w:rsidR="00106C02" w:rsidRDefault="00F57C07">
      <w:pPr>
        <w:numPr>
          <w:ilvl w:val="0"/>
          <w:numId w:val="2"/>
        </w:numPr>
        <w:jc w:val="both"/>
      </w:pPr>
      <w:r>
        <w:t>この枠組みは、エイジズム（年齢差別）および年齢</w:t>
      </w:r>
      <w:r w:rsidR="00394F9F">
        <w:rPr>
          <w:rFonts w:hint="eastAsia"/>
        </w:rPr>
        <w:t>を理由とする</w:t>
      </w:r>
      <w:r>
        <w:t>差別が、市民的、政治的、経済的、社会的、文化的権利に与える影響を明確に示さなければならない。</w:t>
      </w:r>
      <w:r w:rsidR="00394F9F">
        <w:rPr>
          <w:rFonts w:hint="eastAsia"/>
        </w:rPr>
        <w:t>その権利</w:t>
      </w:r>
      <w:r>
        <w:t>には、生活の質、尊厳、</w:t>
      </w:r>
      <w:r w:rsidR="00394F9F">
        <w:rPr>
          <w:rFonts w:hint="eastAsia"/>
        </w:rPr>
        <w:t>ウェルビーイング</w:t>
      </w:r>
      <w:r>
        <w:t>、権利と自由の完全な享受、デジタル権利、ならびに暴力、虐待、ネグレクトからの保護が含まれる。持続可能な開発への権利、</w:t>
      </w:r>
      <w:r w:rsidR="00394F9F">
        <w:rPr>
          <w:rFonts w:hint="eastAsia"/>
        </w:rPr>
        <w:t>健康</w:t>
      </w:r>
      <w:r>
        <w:t>な環境への権利、人権と気候変動、人道保護といった第三世代の権利も、</w:t>
      </w:r>
      <w:r>
        <w:t>LBI</w:t>
      </w:r>
      <w:r>
        <w:t>に組み込まれるべきである。</w:t>
      </w:r>
      <w:r>
        <w:t xml:space="preserve"> </w:t>
      </w:r>
    </w:p>
    <w:p w14:paraId="1176A22D" w14:textId="77777777" w:rsidR="00106C02" w:rsidRDefault="00106C02">
      <w:pPr>
        <w:jc w:val="both"/>
      </w:pPr>
    </w:p>
    <w:p w14:paraId="0F38471B" w14:textId="355D9954" w:rsidR="00106C02" w:rsidRDefault="00F57C07">
      <w:pPr>
        <w:numPr>
          <w:ilvl w:val="0"/>
          <w:numId w:val="2"/>
        </w:numPr>
        <w:jc w:val="both"/>
      </w:pPr>
      <w:r>
        <w:t>世代間関係または世代間連帯を枠組みの一部に組み込むことが推奨される。異なる「年齢層」間のこの相互支援は、高齢者の人権に対する</w:t>
      </w:r>
      <w:r w:rsidR="00394F9F">
        <w:rPr>
          <w:rFonts w:hint="eastAsia"/>
        </w:rPr>
        <w:t>生涯</w:t>
      </w:r>
      <w:r>
        <w:t>アプローチ</w:t>
      </w:r>
      <w:r w:rsidR="00394F9F">
        <w:rPr>
          <w:rFonts w:hint="eastAsia"/>
        </w:rPr>
        <w:t>（</w:t>
      </w:r>
      <w:r w:rsidR="00394F9F" w:rsidRPr="00394F9F">
        <w:t>life-course approach</w:t>
      </w:r>
      <w:r w:rsidR="00394F9F">
        <w:rPr>
          <w:rFonts w:hint="eastAsia"/>
        </w:rPr>
        <w:t>）</w:t>
      </w:r>
      <w:r>
        <w:t>（「ゆりかごから墓場まで」）および</w:t>
      </w:r>
      <w:r>
        <w:t>PANEL</w:t>
      </w:r>
      <w:r>
        <w:t>原則の論拠を実際に強化し得るからである</w:t>
      </w:r>
      <w:r>
        <w:rPr>
          <w:vertAlign w:val="superscript"/>
        </w:rPr>
        <w:footnoteReference w:id="6"/>
      </w:r>
      <w:r w:rsidR="00394F9F">
        <w:t>。</w:t>
      </w:r>
      <w:r>
        <w:t>高齢者を定義する際には、加齢を</w:t>
      </w:r>
      <w:r>
        <w:t>構築物として捉え、平均余命の差異、態度面、および文脈の違いを考慮すべきである。こ</w:t>
      </w:r>
      <w:r w:rsidR="00394F9F">
        <w:rPr>
          <w:rFonts w:hint="eastAsia"/>
        </w:rPr>
        <w:t>の</w:t>
      </w:r>
      <w:r>
        <w:t>定義は、</w:t>
      </w:r>
      <w:r>
        <w:t>LBI</w:t>
      </w:r>
      <w:r>
        <w:t>の構造や枠組みの下で明確に策定されるべきである。</w:t>
      </w:r>
      <w:r>
        <w:t xml:space="preserve"> </w:t>
      </w:r>
    </w:p>
    <w:p w14:paraId="7D0C9778" w14:textId="77777777" w:rsidR="00106C02" w:rsidRDefault="00106C02">
      <w:pPr>
        <w:ind w:left="720"/>
        <w:jc w:val="both"/>
      </w:pPr>
    </w:p>
    <w:p w14:paraId="671BCD6E" w14:textId="442015D2" w:rsidR="00106C02" w:rsidRDefault="00F57C07">
      <w:pPr>
        <w:numPr>
          <w:ilvl w:val="0"/>
          <w:numId w:val="2"/>
        </w:numPr>
        <w:jc w:val="both"/>
      </w:pPr>
      <w:r>
        <w:t>また、</w:t>
      </w:r>
      <w:r>
        <w:t>LBI</w:t>
      </w:r>
      <w:r>
        <w:t>においては（偏狭な視点ではなく包括的に）交差性</w:t>
      </w:r>
      <w:r>
        <w:t>も認識されるべきであ</w:t>
      </w:r>
      <w:r w:rsidR="00394F9F">
        <w:rPr>
          <w:rFonts w:hint="eastAsia"/>
        </w:rPr>
        <w:t>る。そこでは、</w:t>
      </w:r>
      <w:r w:rsidR="007003CD">
        <w:rPr>
          <w:rFonts w:hint="eastAsia"/>
        </w:rPr>
        <w:t>多様な経験に関するエビデンスを伴った理解の下で高齢者の多様性を認識する。その多様な経験とは、</w:t>
      </w:r>
      <w:r>
        <w:t>人種、先住民としてのアイデンティティ、民族、宗教または信条、政治的またはその他の意見、国籍、民族的または社会的出身、国籍、経済的地位（公式および非公式経済の両方）、</w:t>
      </w:r>
      <w:r>
        <w:t xml:space="preserve"> </w:t>
      </w:r>
      <w:r>
        <w:t>出生その他の身分、性的指向、性自認および性表現、および性徴</w:t>
      </w:r>
      <w:r w:rsidR="007003CD">
        <w:rPr>
          <w:rFonts w:hint="eastAsia"/>
        </w:rPr>
        <w:t>などである。なお、これらは</w:t>
      </w:r>
      <w:r>
        <w:t>差別の根拠となってはならない。</w:t>
      </w:r>
      <w:r>
        <w:t xml:space="preserve"> </w:t>
      </w:r>
    </w:p>
    <w:p w14:paraId="30A4D219" w14:textId="77777777" w:rsidR="00106C02" w:rsidRDefault="00F57C07">
      <w:pPr>
        <w:ind w:left="720"/>
        <w:jc w:val="both"/>
      </w:pPr>
      <w:r>
        <w:t xml:space="preserve"> </w:t>
      </w:r>
    </w:p>
    <w:p w14:paraId="3E1CDA74" w14:textId="77777777" w:rsidR="00106C02" w:rsidRDefault="00106C02">
      <w:pPr>
        <w:jc w:val="both"/>
        <w:rPr>
          <w:b/>
          <w:bCs/>
        </w:rPr>
      </w:pPr>
    </w:p>
    <w:p w14:paraId="73F57804" w14:textId="77777777" w:rsidR="00106C02" w:rsidRDefault="00F57C07">
      <w:pPr>
        <w:jc w:val="both"/>
        <w:rPr>
          <w:b/>
          <w:bCs/>
        </w:rPr>
      </w:pPr>
      <w:r>
        <w:rPr>
          <w:b/>
          <w:bCs/>
        </w:rPr>
        <w:lastRenderedPageBreak/>
        <w:t xml:space="preserve">II. </w:t>
      </w:r>
      <w:r>
        <w:rPr>
          <w:b/>
          <w:bCs/>
        </w:rPr>
        <w:t>基本原則</w:t>
      </w:r>
    </w:p>
    <w:p w14:paraId="2B0A3687" w14:textId="77777777" w:rsidR="00106C02" w:rsidRDefault="00106C02">
      <w:pPr>
        <w:jc w:val="both"/>
      </w:pPr>
    </w:p>
    <w:p w14:paraId="41DAA34C" w14:textId="477373F4" w:rsidR="00106C02" w:rsidRDefault="00F57C07">
      <w:pPr>
        <w:numPr>
          <w:ilvl w:val="0"/>
          <w:numId w:val="2"/>
        </w:numPr>
        <w:jc w:val="both"/>
      </w:pPr>
      <w:r>
        <w:t>差別</w:t>
      </w:r>
      <w:r w:rsidR="007003CD">
        <w:rPr>
          <w:rFonts w:hint="eastAsia"/>
        </w:rPr>
        <w:t>禁止</w:t>
      </w:r>
      <w:r>
        <w:t>は、</w:t>
      </w:r>
      <w:r>
        <w:t>LBI</w:t>
      </w:r>
      <w:r>
        <w:t>の基盤となるべき基本原則である。高齢者にとって、尊厳と自尊心を維持することは不可欠である。なぜなら、社会やコミュニティによって</w:t>
      </w:r>
      <w:r w:rsidR="007003CD">
        <w:rPr>
          <w:rFonts w:hint="eastAsia"/>
        </w:rPr>
        <w:t>（</w:t>
      </w:r>
      <w:r>
        <w:t>あるいはその内部で</w:t>
      </w:r>
      <w:r w:rsidR="007003CD">
        <w:rPr>
          <w:rFonts w:hint="eastAsia"/>
        </w:rPr>
        <w:t>）</w:t>
      </w:r>
      <w:r>
        <w:t>常態化されている差別により、彼らはしばしば主体性の喪失、資源の喪失、そして力の減退を経験してきたからである。</w:t>
      </w:r>
      <w:r>
        <w:t>この</w:t>
      </w:r>
      <w:r>
        <w:t>差別</w:t>
      </w:r>
      <w:r w:rsidR="007003CD">
        <w:rPr>
          <w:rFonts w:hint="eastAsia"/>
        </w:rPr>
        <w:t>禁止</w:t>
      </w:r>
      <w:r>
        <w:t>の原則は、マズローの欲求階層説とも関連している。ある欲求（例：経済的権利）を他の欲求（例：市民的・政治的権利）よりも過度に重視することは、自律</w:t>
      </w:r>
      <w:r>
        <w:t>や</w:t>
      </w:r>
      <w:r w:rsidR="007003CD">
        <w:rPr>
          <w:rFonts w:hint="eastAsia"/>
        </w:rPr>
        <w:t>独</w:t>
      </w:r>
      <w:r>
        <w:t>立といった高齢者の自己実現に影響を及ぼす</w:t>
      </w:r>
      <w:r>
        <w:rPr>
          <w:vertAlign w:val="superscript"/>
        </w:rPr>
        <w:footnoteReference w:id="7"/>
      </w:r>
      <w:r w:rsidR="007003CD">
        <w:t>。</w:t>
      </w:r>
    </w:p>
    <w:p w14:paraId="7BB774AB" w14:textId="77777777" w:rsidR="00106C02" w:rsidRDefault="00106C02">
      <w:pPr>
        <w:ind w:left="720"/>
        <w:jc w:val="both"/>
      </w:pPr>
    </w:p>
    <w:p w14:paraId="4803D110" w14:textId="479C6B20" w:rsidR="00106C02" w:rsidRDefault="00F57C07">
      <w:pPr>
        <w:numPr>
          <w:ilvl w:val="0"/>
          <w:numId w:val="2"/>
        </w:numPr>
        <w:jc w:val="both"/>
      </w:pPr>
      <w:r>
        <w:t>社会</w:t>
      </w:r>
      <w:r w:rsidR="007003CD">
        <w:rPr>
          <w:rFonts w:hint="eastAsia"/>
        </w:rPr>
        <w:t>的保障</w:t>
      </w:r>
      <w:r>
        <w:t>、定年後の就労権、</w:t>
      </w:r>
      <w:r w:rsidR="007003CD">
        <w:rPr>
          <w:rFonts w:hint="eastAsia"/>
        </w:rPr>
        <w:t>組織</w:t>
      </w:r>
      <w:r>
        <w:t>の権利、生涯学習は、</w:t>
      </w:r>
      <w:r>
        <w:t>実質的な権利</w:t>
      </w:r>
      <w:r w:rsidR="007003CD">
        <w:rPr>
          <w:rFonts w:hint="eastAsia"/>
        </w:rPr>
        <w:t>であり、</w:t>
      </w:r>
      <w:r w:rsidR="007003CD">
        <w:t>LBI</w:t>
      </w:r>
      <w:r w:rsidR="007003CD">
        <w:t>に反映されるべき</w:t>
      </w:r>
      <w:r w:rsidR="007003CD">
        <w:rPr>
          <w:rFonts w:hint="eastAsia"/>
        </w:rPr>
        <w:t>であ</w:t>
      </w:r>
      <w:r>
        <w:t>る。現在、各国の法律や政策によって定義される定年年齢に関しては、世界中でばらつきや格差が存在する。</w:t>
      </w:r>
      <w:r>
        <w:t>したがって、</w:t>
      </w:r>
      <w:r>
        <w:t>LBI</w:t>
      </w:r>
      <w:r>
        <w:t>はこれらの差異に対処するための共通の基盤を見出すべきである。労働権に関連して、合理的配慮や</w:t>
      </w:r>
      <w:r w:rsidR="007003CD">
        <w:rPr>
          <w:rFonts w:hint="eastAsia"/>
        </w:rPr>
        <w:t>積極的格差是正措置</w:t>
      </w:r>
      <w:r>
        <w:t>、あるいは雇用機会均等（</w:t>
      </w:r>
      <w:r w:rsidR="007E3F10">
        <w:rPr>
          <w:rFonts w:hint="eastAsia"/>
        </w:rPr>
        <w:t>「</w:t>
      </w:r>
      <w:r>
        <w:t>障害者</w:t>
      </w:r>
      <w:r>
        <w:t>権利</w:t>
      </w:r>
      <w:r>
        <w:t>条約（</w:t>
      </w:r>
      <w:r>
        <w:t>CRPD</w:t>
      </w:r>
      <w:r>
        <w:t>）</w:t>
      </w:r>
      <w:r w:rsidR="007E3F10">
        <w:rPr>
          <w:rFonts w:hint="eastAsia"/>
        </w:rPr>
        <w:t>」</w:t>
      </w:r>
      <w:r>
        <w:rPr>
          <w:vertAlign w:val="superscript"/>
        </w:rPr>
        <w:footnoteReference w:id="8"/>
      </w:r>
      <w:r>
        <w:t xml:space="preserve"> </w:t>
      </w:r>
      <w:r>
        <w:t>から借用</w:t>
      </w:r>
      <w:r w:rsidR="007E3F10">
        <w:rPr>
          <w:rFonts w:hint="eastAsia"/>
        </w:rPr>
        <w:t>し</w:t>
      </w:r>
      <w:r>
        <w:t>た概念）といった概念と実践があり、これらは高齢者の状況にも適用可能である。しかし、労働権に関連するこれらの実質的権利は、高齢者の正規の労働力のみを対象としている。</w:t>
      </w:r>
      <w:r>
        <w:t>したがって、</w:t>
      </w:r>
      <w:r>
        <w:t>LBI</w:t>
      </w:r>
      <w:r>
        <w:t>には、インフォーマル経済における高齢者の権利も盛り込むべきである。高齢者は、契約、固定給与、年金や退職給付を伴う雇用にのみ適用される既存の社会保護メカニズムの対象外であるため、社会的または法的に定義された定年年齢を超えて「拡張された自営業」の状態に留まっている。</w:t>
      </w:r>
    </w:p>
    <w:p w14:paraId="55781FEA" w14:textId="77777777" w:rsidR="00106C02" w:rsidRDefault="00106C02">
      <w:pPr>
        <w:ind w:left="720"/>
        <w:jc w:val="both"/>
      </w:pPr>
    </w:p>
    <w:p w14:paraId="7C6D2A52" w14:textId="3F7854A8" w:rsidR="00106C02" w:rsidRDefault="00F57C07">
      <w:pPr>
        <w:numPr>
          <w:ilvl w:val="0"/>
          <w:numId w:val="2"/>
        </w:numPr>
        <w:jc w:val="both"/>
      </w:pPr>
      <w:r>
        <w:t>アクセシビリティには、保健、福祉プログラムおよびサービス、移動・交通、インフラ、技術</w:t>
      </w:r>
      <w:r w:rsidR="007003CD">
        <w:rPr>
          <w:rFonts w:hint="eastAsia"/>
        </w:rPr>
        <w:t>（機器）</w:t>
      </w:r>
      <w:r>
        <w:t>などが含まれる（これらに限定されない）。例えば、物理的なアクセシビリティには、すべての人へのアクセスを制限しないよう施設を再設計することが必要となる。ここでも</w:t>
      </w:r>
      <w:r>
        <w:t>CRPD</w:t>
      </w:r>
      <w:r>
        <w:t>（障害者権利条約）から</w:t>
      </w:r>
      <w:r>
        <w:rPr>
          <w:i/>
          <w:iCs/>
        </w:rPr>
        <w:t>「</w:t>
      </w:r>
      <w:r>
        <w:t>ユニバーサルデザイン」の概念を借用する。</w:t>
      </w:r>
      <w:r>
        <w:rPr>
          <w:i/>
          <w:iCs/>
        </w:rPr>
        <w:t>これは、「</w:t>
      </w:r>
      <w:r w:rsidR="007003CD">
        <w:rPr>
          <w:rFonts w:hint="eastAsia"/>
          <w:i/>
          <w:iCs/>
        </w:rPr>
        <w:t>調整または</w:t>
      </w:r>
      <w:r>
        <w:rPr>
          <w:i/>
          <w:iCs/>
        </w:rPr>
        <w:t>特別な設計を必要とすることなく、</w:t>
      </w:r>
      <w:r w:rsidR="007003CD">
        <w:rPr>
          <w:rFonts w:hint="eastAsia"/>
          <w:i/>
          <w:iCs/>
        </w:rPr>
        <w:t>最大限可能な範囲で全ての</w:t>
      </w:r>
      <w:r>
        <w:rPr>
          <w:i/>
          <w:iCs/>
        </w:rPr>
        <w:t>人</w:t>
      </w:r>
      <w:r>
        <w:rPr>
          <w:i/>
          <w:iCs/>
        </w:rPr>
        <w:t>が利用</w:t>
      </w:r>
      <w:r w:rsidR="007003CD">
        <w:rPr>
          <w:rFonts w:hint="eastAsia"/>
          <w:i/>
          <w:iCs/>
        </w:rPr>
        <w:t>することのできる</w:t>
      </w:r>
      <w:r>
        <w:rPr>
          <w:i/>
          <w:iCs/>
        </w:rPr>
        <w:t>製品、環境、</w:t>
      </w:r>
      <w:r w:rsidR="007003CD">
        <w:rPr>
          <w:rFonts w:hint="eastAsia"/>
          <w:i/>
          <w:iCs/>
        </w:rPr>
        <w:t>計画及び</w:t>
      </w:r>
      <w:r>
        <w:rPr>
          <w:i/>
          <w:iCs/>
        </w:rPr>
        <w:t>サービス</w:t>
      </w:r>
      <w:r w:rsidR="007003CD">
        <w:rPr>
          <w:rFonts w:hint="eastAsia"/>
          <w:i/>
          <w:iCs/>
        </w:rPr>
        <w:t>の</w:t>
      </w:r>
      <w:r>
        <w:rPr>
          <w:i/>
          <w:iCs/>
        </w:rPr>
        <w:t>設計</w:t>
      </w:r>
      <w:r>
        <w:rPr>
          <w:i/>
          <w:iCs/>
        </w:rPr>
        <w:t>」</w:t>
      </w:r>
      <w:r>
        <w:t>と定義されている</w:t>
      </w:r>
      <w:r>
        <w:rPr>
          <w:vertAlign w:val="superscript"/>
        </w:rPr>
        <w:footnoteReference w:id="9"/>
      </w:r>
      <w:r w:rsidR="007E3F10" w:rsidRPr="007E3F10">
        <w:t>。</w:t>
      </w:r>
      <w:r>
        <w:rPr>
          <w:i/>
          <w:iCs/>
        </w:rPr>
        <w:t xml:space="preserve"> </w:t>
      </w:r>
      <w:r>
        <w:t>LBI</w:t>
      </w:r>
      <w:r>
        <w:t>は、すべての高齢者が障害を持つわけではなく、またすべての障害者が高齢者であるわけではないことを説明すべきである。この文脈において、交差性</w:t>
      </w:r>
      <w:r>
        <w:t>と</w:t>
      </w:r>
      <w:r w:rsidR="007E3F10">
        <w:rPr>
          <w:rFonts w:hint="eastAsia"/>
        </w:rPr>
        <w:t>生涯</w:t>
      </w:r>
      <w:r>
        <w:t>アプローチとの関係は極めて重要である。</w:t>
      </w:r>
      <w:r>
        <w:t xml:space="preserve"> </w:t>
      </w:r>
    </w:p>
    <w:p w14:paraId="02FD9596" w14:textId="77777777" w:rsidR="00106C02" w:rsidRDefault="00106C02">
      <w:pPr>
        <w:ind w:left="720"/>
        <w:jc w:val="both"/>
      </w:pPr>
    </w:p>
    <w:p w14:paraId="55605077" w14:textId="10300443" w:rsidR="00106C02" w:rsidRDefault="00F57C07">
      <w:pPr>
        <w:numPr>
          <w:ilvl w:val="0"/>
          <w:numId w:val="2"/>
        </w:numPr>
        <w:jc w:val="both"/>
      </w:pPr>
      <w:r>
        <w:t>LBI</w:t>
      </w:r>
      <w:r>
        <w:t>では、</w:t>
      </w:r>
      <w:r>
        <w:t>ICESCR</w:t>
      </w:r>
      <w:r>
        <w:t>（経済的、社会的及び文化的権利に関する国際規約）で定義される健康の権利を拡大することについて検討すべきである</w:t>
      </w:r>
      <w:r>
        <w:rPr>
          <w:vertAlign w:val="superscript"/>
        </w:rPr>
        <w:footnoteReference w:id="10"/>
      </w:r>
      <w:r w:rsidR="007E3F10">
        <w:t>。</w:t>
      </w:r>
      <w:r>
        <w:t>健康の権利および医療は、</w:t>
      </w:r>
      <w:r>
        <w:t>AAAQ</w:t>
      </w:r>
      <w:r>
        <w:t>（利用可能性、アクセシビリティ、受容</w:t>
      </w:r>
      <w:r w:rsidR="007E3F10">
        <w:rPr>
          <w:rFonts w:hint="eastAsia"/>
        </w:rPr>
        <w:t>できること</w:t>
      </w:r>
      <w:r>
        <w:t>、質）を確保するだけでなく、人道的で、思いやりがあり、尊厳を保ち、かつ</w:t>
      </w:r>
      <w:r w:rsidR="007E3F10">
        <w:rPr>
          <w:rFonts w:hint="eastAsia"/>
        </w:rPr>
        <w:t>タイムリー</w:t>
      </w:r>
      <w:r>
        <w:t>であるべきである。健康の権利は、長期ケア、緩和ケア、そして尊厳ある死を含むことができる。</w:t>
      </w:r>
      <w:r>
        <w:t xml:space="preserve"> </w:t>
      </w:r>
    </w:p>
    <w:p w14:paraId="6AFBCF2E" w14:textId="77777777" w:rsidR="00106C02" w:rsidRDefault="00106C02">
      <w:pPr>
        <w:ind w:left="720"/>
        <w:jc w:val="both"/>
      </w:pPr>
    </w:p>
    <w:p w14:paraId="59480268" w14:textId="5EA22D58" w:rsidR="00106C02" w:rsidRDefault="00F57C07">
      <w:pPr>
        <w:numPr>
          <w:ilvl w:val="0"/>
          <w:numId w:val="2"/>
        </w:numPr>
        <w:jc w:val="both"/>
      </w:pPr>
      <w:r>
        <w:t>終末期ケアや尊厳ある死は、文化、家族、宗教的信念体系、さらには法律や政策の影響を受けるデリケートなテーマである。高齢者の自律</w:t>
      </w:r>
      <w:r>
        <w:t>は、「最善の利益」の判断よりも優先されるべきであ</w:t>
      </w:r>
      <w:r w:rsidR="007E3F10">
        <w:rPr>
          <w:rFonts w:hint="eastAsia"/>
        </w:rPr>
        <w:lastRenderedPageBreak/>
        <w:t>る。</w:t>
      </w:r>
      <w:r>
        <w:t>こ</w:t>
      </w:r>
      <w:r w:rsidR="007E3F10">
        <w:rPr>
          <w:rFonts w:hint="eastAsia"/>
        </w:rPr>
        <w:t>の「最善の利益」アプローチは</w:t>
      </w:r>
      <w:r>
        <w:t>「</w:t>
      </w:r>
      <w:r w:rsidR="007E3F10">
        <w:rPr>
          <w:rFonts w:hint="eastAsia"/>
        </w:rPr>
        <w:t>子ども</w:t>
      </w:r>
      <w:r>
        <w:t>の権利</w:t>
      </w:r>
      <w:r>
        <w:t>条約（</w:t>
      </w:r>
      <w:r>
        <w:t>CRC</w:t>
      </w:r>
      <w:r>
        <w:t>）」の枠組みと同様である</w:t>
      </w:r>
      <w:r>
        <w:rPr>
          <w:vertAlign w:val="superscript"/>
        </w:rPr>
        <w:footnoteReference w:id="11"/>
      </w:r>
      <w:r w:rsidR="007E3F10">
        <w:t>。</w:t>
      </w:r>
      <w:r>
        <w:t>「最善の利益」の考慮は、自律</w:t>
      </w:r>
      <w:r>
        <w:t>が行使できない場合にのみ適用されるべきであり、「最善の利益」</w:t>
      </w:r>
      <w:r w:rsidR="00B03CDB">
        <w:rPr>
          <w:rFonts w:hint="eastAsia"/>
        </w:rPr>
        <w:t>が選ばれる場合の</w:t>
      </w:r>
      <w:r>
        <w:t>条件は列挙されるべきである。</w:t>
      </w:r>
      <w:r>
        <w:t>生命維持のための「最善の利益」には、末期患者（高齢者だけに限定されない）、精神保健上の配慮、および権利の拡張的解釈</w:t>
      </w:r>
      <w:r w:rsidR="00B03CDB">
        <w:rPr>
          <w:rFonts w:hint="eastAsia"/>
        </w:rPr>
        <w:t>（</w:t>
      </w:r>
      <w:r w:rsidR="00B03CDB" w:rsidRPr="00B03CDB">
        <w:t>progressive reading of rights</w:t>
      </w:r>
      <w:r w:rsidR="00B03CDB">
        <w:rPr>
          <w:rFonts w:hint="eastAsia"/>
        </w:rPr>
        <w:t>）</w:t>
      </w:r>
      <w:r>
        <w:t>が含まれる。生活の質と生命権の維持は依然として中心的な課題である。いずれにせよ、</w:t>
      </w:r>
      <w:r>
        <w:t>LBI</w:t>
      </w:r>
      <w:r>
        <w:t>は、この問題に関する各国の法律や政策の指針となり得る、高齢者の人権に関する最低限の国際基準を確立することができる。</w:t>
      </w:r>
      <w:r>
        <w:t xml:space="preserve"> </w:t>
      </w:r>
    </w:p>
    <w:p w14:paraId="3A9142CC" w14:textId="77777777" w:rsidR="00106C02" w:rsidRDefault="00106C02">
      <w:pPr>
        <w:ind w:left="720"/>
        <w:jc w:val="both"/>
      </w:pPr>
    </w:p>
    <w:p w14:paraId="71BC5EFA" w14:textId="55F64699" w:rsidR="00106C02" w:rsidRDefault="00F57C07">
      <w:pPr>
        <w:numPr>
          <w:ilvl w:val="0"/>
          <w:numId w:val="2"/>
        </w:numPr>
        <w:jc w:val="both"/>
      </w:pPr>
      <w:r>
        <w:t xml:space="preserve">LBI </w:t>
      </w:r>
      <w:r>
        <w:t>は、国家および家族や地域社会を含む非国家</w:t>
      </w:r>
      <w:r>
        <w:t>の義務を規定すべきである。フィリピンなどの一部の国では、</w:t>
      </w:r>
      <w:r>
        <w:t xml:space="preserve">1987 </w:t>
      </w:r>
      <w:r>
        <w:t>年のフィリピン憲法が、高齢者に対する家族の義務を定めている。</w:t>
      </w:r>
      <w:r>
        <w:rPr>
          <w:i/>
          <w:iCs/>
        </w:rPr>
        <w:t>「家族には高齢の家族を養う義務があるが、国家も公正な社会保障プログラムを通じてこれを行うことができる。」</w:t>
      </w:r>
      <w:r>
        <w:rPr>
          <w:vertAlign w:val="superscript"/>
        </w:rPr>
        <w:footnoteReference w:id="12"/>
      </w:r>
      <w:r>
        <w:t xml:space="preserve"> LBI</w:t>
      </w:r>
      <w:r>
        <w:t>は、国家および非国家</w:t>
      </w:r>
      <w:r>
        <w:t>に対し、高齢者の人権を侵害しないよう義務を明示的に定義することで、保障や措置を提供することができる。</w:t>
      </w:r>
      <w:r>
        <w:t xml:space="preserve">  </w:t>
      </w:r>
    </w:p>
    <w:p w14:paraId="629498FA" w14:textId="77777777" w:rsidR="00106C02" w:rsidRDefault="00106C02">
      <w:pPr>
        <w:jc w:val="both"/>
        <w:rPr>
          <w:b/>
          <w:bCs/>
        </w:rPr>
      </w:pPr>
    </w:p>
    <w:p w14:paraId="79BD87E8" w14:textId="77777777" w:rsidR="00106C02" w:rsidRDefault="00F57C07">
      <w:pPr>
        <w:jc w:val="both"/>
        <w:rPr>
          <w:b/>
          <w:bCs/>
        </w:rPr>
      </w:pPr>
      <w:r>
        <w:rPr>
          <w:b/>
          <w:bCs/>
        </w:rPr>
        <w:t xml:space="preserve">III. </w:t>
      </w:r>
      <w:r>
        <w:rPr>
          <w:b/>
          <w:bCs/>
        </w:rPr>
        <w:t>枠組み</w:t>
      </w:r>
    </w:p>
    <w:p w14:paraId="7713CE5B" w14:textId="77777777" w:rsidR="00106C02" w:rsidRDefault="00106C02">
      <w:pPr>
        <w:jc w:val="both"/>
        <w:rPr>
          <w:b/>
          <w:bCs/>
        </w:rPr>
      </w:pPr>
    </w:p>
    <w:p w14:paraId="4DE07BA8" w14:textId="34744AFF" w:rsidR="00106C02" w:rsidRDefault="00F57C07">
      <w:pPr>
        <w:numPr>
          <w:ilvl w:val="0"/>
          <w:numId w:val="2"/>
        </w:numPr>
        <w:jc w:val="both"/>
      </w:pPr>
      <w:r>
        <w:t>LBI</w:t>
      </w:r>
      <w:r>
        <w:t>の前文は、人権の普遍性、不可分性、相互依存性の原則を明言することから始め、これらの原則が高齢者を含むすべての人に適用されることを明記すべきである。</w:t>
      </w:r>
      <w:r>
        <w:t>前文の文言には、</w:t>
      </w:r>
      <w:r w:rsidR="00B03CDB">
        <w:rPr>
          <w:rFonts w:hint="eastAsia"/>
        </w:rPr>
        <w:t>生涯</w:t>
      </w:r>
      <w:r>
        <w:t>アプローチ、高齢者の自律</w:t>
      </w:r>
      <w:r>
        <w:t>、高齢者の人権を保護、尊重、実現する国家の義務、および国家および非国家</w:t>
      </w:r>
      <w:r>
        <w:t>の義務の履行における人権に基づくアプローチ（</w:t>
      </w:r>
      <w:r>
        <w:t>PANEL</w:t>
      </w:r>
      <w:r>
        <w:t>）の活用の認識を含めることができる。</w:t>
      </w:r>
    </w:p>
    <w:p w14:paraId="37F4CCF3" w14:textId="77777777" w:rsidR="00106C02" w:rsidRDefault="00106C02">
      <w:pPr>
        <w:ind w:left="720"/>
        <w:jc w:val="both"/>
      </w:pPr>
    </w:p>
    <w:p w14:paraId="456755DA" w14:textId="3B3A4568" w:rsidR="00106C02" w:rsidRDefault="00F57C07">
      <w:pPr>
        <w:numPr>
          <w:ilvl w:val="0"/>
          <w:numId w:val="2"/>
        </w:numPr>
        <w:jc w:val="both"/>
      </w:pPr>
      <w:r>
        <w:t>LBI</w:t>
      </w:r>
      <w:r>
        <w:t>の前文においては、世界的な人口の高齢化、アクティブで健康的な高齢化を促進するための進展、および高齢者が社会にもたらす積極的な貢献を認めるべきである。こうした肯定的な側面を挙げる一方で、前文では、高齢者の権利の促進と保護を十分に実現するための国際人権法における既存の規範的</w:t>
      </w:r>
      <w:r w:rsidR="00B03CDB">
        <w:rPr>
          <w:rFonts w:hint="eastAsia"/>
        </w:rPr>
        <w:t>欠点</w:t>
      </w:r>
      <w:r>
        <w:t>を認識するとともに、市民的・政治的権利および経済的・社会的・文化的権利に影響を及ぼす、広範なエイジズムや年齢</w:t>
      </w:r>
      <w:r w:rsidR="00B03CDB">
        <w:rPr>
          <w:rFonts w:hint="eastAsia"/>
        </w:rPr>
        <w:t>による</w:t>
      </w:r>
      <w:r>
        <w:t>差別について懸念を表明すべきである。</w:t>
      </w:r>
      <w:r>
        <w:t xml:space="preserve"> LBI</w:t>
      </w:r>
      <w:r>
        <w:t>は、現行の国際人権条約および労働</w:t>
      </w:r>
      <w:r w:rsidR="00B03CDB">
        <w:rPr>
          <w:rFonts w:hint="eastAsia"/>
        </w:rPr>
        <w:t>の</w:t>
      </w:r>
      <w:r>
        <w:t>権利</w:t>
      </w:r>
      <w:r w:rsidR="00B03CDB">
        <w:rPr>
          <w:rFonts w:hint="eastAsia"/>
        </w:rPr>
        <w:t>に関する</w:t>
      </w:r>
      <w:r>
        <w:t>条約</w:t>
      </w:r>
      <w:r>
        <w:rPr>
          <w:vertAlign w:val="superscript"/>
        </w:rPr>
        <w:footnoteReference w:id="13"/>
      </w:r>
      <w:r>
        <w:t>ならびに地域的人権条約を基盤としており、すでに保障されている権利を縮小するものではないが、高齢者の権利の促進と保護に関連する欠落や制限を改善し、補完するものである。</w:t>
      </w:r>
    </w:p>
    <w:p w14:paraId="2855624A" w14:textId="77777777" w:rsidR="00106C02" w:rsidRDefault="00106C02">
      <w:pPr>
        <w:ind w:left="720"/>
        <w:jc w:val="both"/>
      </w:pPr>
    </w:p>
    <w:p w14:paraId="6EA87F68" w14:textId="6E87F9B8" w:rsidR="00106C02" w:rsidRDefault="00F57C07">
      <w:pPr>
        <w:numPr>
          <w:ilvl w:val="0"/>
          <w:numId w:val="2"/>
        </w:numPr>
        <w:jc w:val="both"/>
      </w:pPr>
      <w:r>
        <w:t>包括的枠組みおよび中核的原則</w:t>
      </w:r>
      <w:r w:rsidR="00B03CDB">
        <w:rPr>
          <w:rFonts w:hint="eastAsia"/>
        </w:rPr>
        <w:t>の項</w:t>
      </w:r>
      <w:r>
        <w:t>で言及</w:t>
      </w:r>
      <w:r w:rsidR="00B03CDB">
        <w:rPr>
          <w:rFonts w:hint="eastAsia"/>
        </w:rPr>
        <w:t>した</w:t>
      </w:r>
      <w:r>
        <w:t>ように、前文には、高齢者の多様性、世代間連帯、交差性、および第三世代の権利の台頭（持続可能な開発への権利、</w:t>
      </w:r>
      <w:r w:rsidR="00B03CDB">
        <w:rPr>
          <w:rFonts w:hint="eastAsia"/>
        </w:rPr>
        <w:t>健康</w:t>
      </w:r>
      <w:r>
        <w:t>な環境への権利、気候変動と人権、人道保護）の認識も盛り込むべきである。デジタル領域における権利、ならびに人工知能やバイオテクノロジーにおける技術進歩の影響についても、前文で詳述することができる。</w:t>
      </w:r>
    </w:p>
    <w:p w14:paraId="512CA068" w14:textId="77777777" w:rsidR="00106C02" w:rsidRDefault="00106C02">
      <w:pPr>
        <w:ind w:left="720"/>
        <w:jc w:val="both"/>
      </w:pPr>
    </w:p>
    <w:p w14:paraId="381297B7" w14:textId="7183FED4" w:rsidR="00106C02" w:rsidRDefault="00F57C07">
      <w:pPr>
        <w:numPr>
          <w:ilvl w:val="0"/>
          <w:numId w:val="2"/>
        </w:numPr>
        <w:jc w:val="both"/>
      </w:pPr>
      <w:r>
        <w:t>高齢者、高齢化、エイジズム、年齢</w:t>
      </w:r>
      <w:r w:rsidR="00B03CDB">
        <w:rPr>
          <w:rFonts w:hint="eastAsia"/>
        </w:rPr>
        <w:t>を理由とする</w:t>
      </w:r>
      <w:r>
        <w:t>差別、</w:t>
      </w:r>
      <w:r w:rsidR="00B03CDB">
        <w:rPr>
          <w:rFonts w:hint="eastAsia"/>
        </w:rPr>
        <w:t>ケア</w:t>
      </w:r>
      <w:r>
        <w:t>付き居住、健康で活動的な高齢化、世代間連帯、交差性、および既存の条約から借用・採用される可能性のあるその他の用語の定義</w:t>
      </w:r>
      <w:r>
        <w:lastRenderedPageBreak/>
        <w:t>を明確にする必要がある。</w:t>
      </w:r>
      <w:r>
        <w:t>LBI</w:t>
      </w:r>
      <w:r>
        <w:t>は、これらの定義が単なる医療関連用語にとどまらず、人権の文脈と結びついたものであることを確保しなければならない。</w:t>
      </w:r>
      <w:r>
        <w:t>LBI</w:t>
      </w:r>
      <w:r>
        <w:t>は、虚弱さを連想させる「</w:t>
      </w:r>
      <w:r w:rsidR="00B03CDB">
        <w:rPr>
          <w:rFonts w:hint="eastAsia"/>
        </w:rPr>
        <w:t>年寄り・老人」（</w:t>
      </w:r>
      <w:r>
        <w:t>elderly</w:t>
      </w:r>
      <w:r w:rsidR="00B03CDB">
        <w:rPr>
          <w:rFonts w:hint="eastAsia"/>
        </w:rPr>
        <w:t>）ではなく</w:t>
      </w:r>
      <w:r>
        <w:t>、「</w:t>
      </w:r>
      <w:r w:rsidR="00B03CDB">
        <w:rPr>
          <w:rFonts w:hint="eastAsia"/>
        </w:rPr>
        <w:t>高齢者」（</w:t>
      </w:r>
      <w:r>
        <w:t>older person</w:t>
      </w:r>
      <w:r>
        <w:t>または</w:t>
      </w:r>
      <w:r>
        <w:t>older people</w:t>
      </w:r>
      <w:r w:rsidR="004F64E2">
        <w:rPr>
          <w:rFonts w:hint="eastAsia"/>
        </w:rPr>
        <w:t>）</w:t>
      </w:r>
      <w:r>
        <w:t>を普遍的に使用するための基準を設定することができる。</w:t>
      </w:r>
    </w:p>
    <w:p w14:paraId="3C530A78" w14:textId="77777777" w:rsidR="00106C02" w:rsidRDefault="00106C02">
      <w:pPr>
        <w:ind w:left="720"/>
        <w:jc w:val="both"/>
      </w:pPr>
    </w:p>
    <w:p w14:paraId="58C55FE7" w14:textId="375DE00E" w:rsidR="00106C02" w:rsidRDefault="00F57C07">
      <w:pPr>
        <w:numPr>
          <w:ilvl w:val="0"/>
          <w:numId w:val="2"/>
        </w:numPr>
        <w:jc w:val="both"/>
      </w:pPr>
      <w:r>
        <w:t>国家の義務</w:t>
      </w:r>
      <w:r>
        <w:t>は、</w:t>
      </w:r>
      <w:r>
        <w:t>LBI</w:t>
      </w:r>
      <w:r>
        <w:t>を説明責任の基盤として確立し、各国レベルでの遵守と適用に向けた一般的な指針を伴う国際的な最低基準を規定すべきである。</w:t>
      </w:r>
      <w:r>
        <w:t>LBI</w:t>
      </w:r>
      <w:r>
        <w:t>は、司法へのアクセスに関する強力な規定など、国家および非国家</w:t>
      </w:r>
      <w:r>
        <w:t>双方の義務を定めるべきである。これには、無料または手頃な価格の法的支援を受ける権利、高齢者虐待事件のための専門部署の設置、および高齢者の自律</w:t>
      </w:r>
      <w:r>
        <w:t>を維持するための「支援付き意思決定」枠組みの採用が含まれる。</w:t>
      </w:r>
    </w:p>
    <w:p w14:paraId="26FD179B" w14:textId="77777777" w:rsidR="00106C02" w:rsidRDefault="00106C02">
      <w:pPr>
        <w:ind w:left="720"/>
        <w:jc w:val="both"/>
      </w:pPr>
    </w:p>
    <w:p w14:paraId="567F645B" w14:textId="609F8D85" w:rsidR="00106C02" w:rsidRDefault="00F57C07">
      <w:pPr>
        <w:numPr>
          <w:ilvl w:val="0"/>
          <w:numId w:val="2"/>
        </w:numPr>
        <w:jc w:val="both"/>
      </w:pPr>
      <w:r>
        <w:t>実施、監視、説明責任に関して、</w:t>
      </w:r>
      <w:r>
        <w:t>LBI</w:t>
      </w:r>
      <w:r>
        <w:t>は以下の</w:t>
      </w:r>
      <w:r w:rsidR="004F64E2">
        <w:rPr>
          <w:rFonts w:hint="eastAsia"/>
        </w:rPr>
        <w:t>制度や仕組み</w:t>
      </w:r>
      <w:r>
        <w:t>を検討することができる：</w:t>
      </w:r>
    </w:p>
    <w:p w14:paraId="7039E919" w14:textId="1135594E" w:rsidR="00106C02" w:rsidRDefault="00F57C07">
      <w:pPr>
        <w:numPr>
          <w:ilvl w:val="0"/>
          <w:numId w:val="1"/>
        </w:numPr>
        <w:jc w:val="both"/>
      </w:pPr>
      <w:r>
        <w:t>条約</w:t>
      </w:r>
      <w:r w:rsidR="004F64E2">
        <w:rPr>
          <w:rFonts w:hint="eastAsia"/>
        </w:rPr>
        <w:t>体</w:t>
      </w:r>
      <w:r>
        <w:t>を構成する独立専門家グループによる、各国の遵守状況の審査</w:t>
      </w:r>
    </w:p>
    <w:p w14:paraId="78B04F73" w14:textId="77777777" w:rsidR="00106C02" w:rsidRDefault="00F57C07">
      <w:pPr>
        <w:numPr>
          <w:ilvl w:val="0"/>
          <w:numId w:val="1"/>
        </w:numPr>
        <w:jc w:val="both"/>
      </w:pPr>
      <w:r>
        <w:t>4</w:t>
      </w:r>
      <w:r>
        <w:t>年または</w:t>
      </w:r>
      <w:r>
        <w:t>5</w:t>
      </w:r>
      <w:r>
        <w:t>年ごとの定期報告</w:t>
      </w:r>
    </w:p>
    <w:p w14:paraId="1EE4FA39" w14:textId="27C4FE97" w:rsidR="00106C02" w:rsidRPr="00DB1B2D" w:rsidRDefault="00DB1B2D">
      <w:pPr>
        <w:numPr>
          <w:ilvl w:val="0"/>
          <w:numId w:val="1"/>
        </w:numPr>
        <w:jc w:val="both"/>
      </w:pPr>
      <w:r w:rsidRPr="00DB1B2D">
        <w:rPr>
          <w:rFonts w:hint="eastAsia"/>
        </w:rPr>
        <w:t>国レベルの監視、報告、フォローアップでは指標を設けることができる。とくに、「</w:t>
      </w:r>
      <w:r w:rsidRPr="00DB1B2D">
        <w:t>草の根の状況に対する地方自治体の</w:t>
      </w:r>
      <w:r w:rsidRPr="00DB1B2D">
        <w:rPr>
          <w:rFonts w:hint="eastAsia"/>
        </w:rPr>
        <w:t>理解</w:t>
      </w:r>
      <w:r w:rsidRPr="00DB1B2D">
        <w:rPr>
          <w:rFonts w:hint="eastAsia"/>
        </w:rPr>
        <w:t>度</w:t>
      </w:r>
      <w:r w:rsidRPr="00DB1B2D">
        <w:t>の評価</w:t>
      </w:r>
      <w:r w:rsidRPr="00DB1B2D">
        <w:rPr>
          <w:rFonts w:hint="eastAsia"/>
        </w:rPr>
        <w:t>」や「</w:t>
      </w:r>
      <w:r w:rsidRPr="00DB1B2D">
        <w:t>高齢者</w:t>
      </w:r>
      <w:r w:rsidRPr="00DB1B2D">
        <w:rPr>
          <w:rFonts w:hint="eastAsia"/>
        </w:rPr>
        <w:t>による監視</w:t>
      </w:r>
      <w:r w:rsidRPr="00DB1B2D">
        <w:t>評議会</w:t>
      </w:r>
      <w:r w:rsidRPr="00DB1B2D">
        <w:rPr>
          <w:rFonts w:hint="eastAsia"/>
        </w:rPr>
        <w:t>」</w:t>
      </w:r>
      <w:r w:rsidRPr="00DB1B2D">
        <w:t>など</w:t>
      </w:r>
      <w:r w:rsidR="00F57C07" w:rsidRPr="00DB1B2D">
        <w:t>地域社会に根差した</w:t>
      </w:r>
      <w:r w:rsidRPr="00DB1B2D">
        <w:rPr>
          <w:rFonts w:hint="eastAsia"/>
        </w:rPr>
        <w:t>監視の</w:t>
      </w:r>
      <w:r w:rsidR="00F57C07" w:rsidRPr="00DB1B2D">
        <w:t>指標を設定できる</w:t>
      </w:r>
      <w:r w:rsidRPr="00DB1B2D">
        <w:rPr>
          <w:rFonts w:hint="eastAsia"/>
        </w:rPr>
        <w:t>。</w:t>
      </w:r>
      <w:r w:rsidR="00F57C07" w:rsidRPr="00DB1B2D">
        <w:t>また、</w:t>
      </w:r>
      <w:r w:rsidRPr="00DB1B2D">
        <w:rPr>
          <w:rFonts w:hint="eastAsia"/>
        </w:rPr>
        <w:t>地域社会</w:t>
      </w:r>
      <w:r w:rsidR="00F57C07" w:rsidRPr="00DB1B2D">
        <w:t>由来のデータ</w:t>
      </w:r>
      <w:r w:rsidRPr="00DB1B2D">
        <w:rPr>
          <w:rFonts w:hint="eastAsia"/>
        </w:rPr>
        <w:t>の重要性</w:t>
      </w:r>
      <w:r w:rsidR="00F57C07" w:rsidRPr="00DB1B2D">
        <w:t>、および中央政府の統計に加え、市民が作成したデータを公式データとして認めること</w:t>
      </w:r>
      <w:r w:rsidRPr="00DB1B2D">
        <w:rPr>
          <w:rFonts w:hint="eastAsia"/>
        </w:rPr>
        <w:t>など</w:t>
      </w:r>
      <w:r w:rsidR="00F57C07" w:rsidRPr="00DB1B2D">
        <w:t>。</w:t>
      </w:r>
    </w:p>
    <w:p w14:paraId="51601188" w14:textId="5881DDD3" w:rsidR="00106C02" w:rsidRDefault="00F57C07">
      <w:pPr>
        <w:numPr>
          <w:ilvl w:val="0"/>
          <w:numId w:val="1"/>
        </w:numPr>
        <w:jc w:val="both"/>
      </w:pPr>
      <w:r>
        <w:t>高齢者</w:t>
      </w:r>
      <w:r w:rsidR="004F64E2">
        <w:rPr>
          <w:rFonts w:hint="eastAsia"/>
        </w:rPr>
        <w:t>の</w:t>
      </w:r>
      <w:r>
        <w:t>権利に関する国家委員会の特定の任務に関連する、国内人権機関の役割</w:t>
      </w:r>
    </w:p>
    <w:p w14:paraId="6D8D6A6A" w14:textId="77777777" w:rsidR="00106C02" w:rsidRDefault="00F57C07">
      <w:pPr>
        <w:numPr>
          <w:ilvl w:val="0"/>
          <w:numId w:val="1"/>
        </w:numPr>
        <w:jc w:val="both"/>
      </w:pPr>
      <w:r>
        <w:t xml:space="preserve">LBI </w:t>
      </w:r>
      <w:r>
        <w:t>および国家レベルでの実施のための資金源を含む行政上の事項</w:t>
      </w:r>
    </w:p>
    <w:p w14:paraId="653866CE" w14:textId="77777777" w:rsidR="00106C02" w:rsidRDefault="00F57C07">
      <w:pPr>
        <w:numPr>
          <w:ilvl w:val="0"/>
          <w:numId w:val="1"/>
        </w:numPr>
        <w:jc w:val="both"/>
      </w:pPr>
      <w:r>
        <w:t>国連への資金提供を含む国際協力</w:t>
      </w:r>
      <w:r>
        <w:t xml:space="preserve"> </w:t>
      </w:r>
    </w:p>
    <w:p w14:paraId="3FCCE83E" w14:textId="77777777" w:rsidR="00106C02" w:rsidRDefault="00106C02">
      <w:pPr>
        <w:ind w:left="1440"/>
        <w:jc w:val="both"/>
      </w:pPr>
    </w:p>
    <w:p w14:paraId="32F67295" w14:textId="77777777" w:rsidR="00106C02" w:rsidRDefault="00F57C07">
      <w:pPr>
        <w:jc w:val="both"/>
        <w:rPr>
          <w:b/>
          <w:bCs/>
        </w:rPr>
      </w:pPr>
      <w:r>
        <w:rPr>
          <w:b/>
          <w:bCs/>
        </w:rPr>
        <w:t xml:space="preserve">IV. </w:t>
      </w:r>
      <w:r>
        <w:rPr>
          <w:b/>
          <w:bCs/>
        </w:rPr>
        <w:t>結論</w:t>
      </w:r>
    </w:p>
    <w:p w14:paraId="339692B9" w14:textId="77777777" w:rsidR="00106C02" w:rsidRDefault="00106C02">
      <w:pPr>
        <w:jc w:val="both"/>
        <w:rPr>
          <w:b/>
          <w:bCs/>
        </w:rPr>
      </w:pPr>
    </w:p>
    <w:p w14:paraId="32879FD2" w14:textId="6235CFE1" w:rsidR="00106C02" w:rsidRDefault="004F64E2">
      <w:pPr>
        <w:numPr>
          <w:ilvl w:val="0"/>
          <w:numId w:val="2"/>
        </w:numPr>
        <w:jc w:val="both"/>
      </w:pPr>
      <w:r>
        <w:rPr>
          <w:rFonts w:hint="eastAsia"/>
        </w:rPr>
        <w:t>当</w:t>
      </w:r>
      <w:r w:rsidR="00F57C07">
        <w:t>委員会は、</w:t>
      </w:r>
      <w:r>
        <w:rPr>
          <w:rFonts w:hint="eastAsia"/>
        </w:rPr>
        <w:t>人権理事会決議（</w:t>
      </w:r>
      <w:r w:rsidR="00F57C07">
        <w:t>HRC 58/13</w:t>
      </w:r>
      <w:r>
        <w:rPr>
          <w:rFonts w:hint="eastAsia"/>
        </w:rPr>
        <w:t>）</w:t>
      </w:r>
      <w:r w:rsidR="00F57C07">
        <w:t>を実施するために、加盟国、高齢者、市民社会組織、国内人権機関、国連機関、およびその他の</w:t>
      </w:r>
      <w:r>
        <w:rPr>
          <w:rFonts w:hint="eastAsia"/>
        </w:rPr>
        <w:t>関係者</w:t>
      </w:r>
      <w:r w:rsidR="00F57C07">
        <w:t>間の調整において、</w:t>
      </w:r>
      <w:r w:rsidR="00F57C07">
        <w:t xml:space="preserve">OHCHR </w:t>
      </w:r>
      <w:r w:rsidR="00F57C07">
        <w:t>事務局が果たした</w:t>
      </w:r>
      <w:r w:rsidR="00F57C07">
        <w:t>重要な役割を認める。意見募集のプロセス、およびその後のすべての書面提出物の編集と要約は、途方もな</w:t>
      </w:r>
      <w:r>
        <w:rPr>
          <w:rFonts w:hint="eastAsia"/>
        </w:rPr>
        <w:t>く大きな仕事</w:t>
      </w:r>
      <w:r w:rsidR="00F57C07">
        <w:t>である。</w:t>
      </w:r>
      <w:r w:rsidR="00F57C07">
        <w:t xml:space="preserve"> </w:t>
      </w:r>
    </w:p>
    <w:p w14:paraId="180B0240" w14:textId="77777777" w:rsidR="00106C02" w:rsidRDefault="00106C02">
      <w:pPr>
        <w:ind w:left="720"/>
        <w:jc w:val="both"/>
      </w:pPr>
    </w:p>
    <w:p w14:paraId="7962053F" w14:textId="5243F437" w:rsidR="00106C02" w:rsidRDefault="004F64E2">
      <w:pPr>
        <w:numPr>
          <w:ilvl w:val="0"/>
          <w:numId w:val="2"/>
        </w:numPr>
        <w:jc w:val="both"/>
      </w:pPr>
      <w:r>
        <w:rPr>
          <w:rFonts w:hint="eastAsia"/>
        </w:rPr>
        <w:t>当委員会</w:t>
      </w:r>
      <w:r w:rsidR="00F57C07">
        <w:t>などの国内人権機関は、その監視および助言の任務を通じて支援を行っている。今後の意見募集にあたっては、高齢者とのより広範で、慌ただしくなく、参加型かつ</w:t>
      </w:r>
      <w:r>
        <w:rPr>
          <w:rFonts w:hint="eastAsia"/>
        </w:rPr>
        <w:t>包摂</w:t>
      </w:r>
      <w:r w:rsidR="00F57C07">
        <w:t>的な協議を行うため、募集の発表から提出期限までの間に十分な期間を設けるよう要請する。また、委員会は今後の協議において、草の根レベルの参加者が議論をより理解しやすいよう、国連の高度に専門的な言葉や用語を平易な言葉に翻訳することを確保する。</w:t>
      </w:r>
      <w:r w:rsidR="00F57C07">
        <w:t xml:space="preserve"> </w:t>
      </w:r>
    </w:p>
    <w:p w14:paraId="63030A58" w14:textId="77777777" w:rsidR="004F64E2" w:rsidRDefault="004F64E2" w:rsidP="004F64E2">
      <w:pPr>
        <w:jc w:val="both"/>
      </w:pPr>
    </w:p>
    <w:p w14:paraId="479E5D9D" w14:textId="6C927654" w:rsidR="004F64E2" w:rsidRDefault="004F64E2" w:rsidP="004F64E2">
      <w:pPr>
        <w:jc w:val="right"/>
        <w:rPr>
          <w:rFonts w:hint="eastAsia"/>
        </w:rPr>
      </w:pPr>
      <w:r>
        <w:rPr>
          <w:rFonts w:hint="eastAsia"/>
        </w:rPr>
        <w:t>（翻訳・佐藤久夫、　　　　）</w:t>
      </w:r>
    </w:p>
    <w:sectPr w:rsidR="004F64E2">
      <w:footerReference w:type="default" r:id="rId11"/>
      <w:pgSz w:w="11906" w:h="16838"/>
      <w:pgMar w:top="1440" w:right="793" w:bottom="1440" w:left="79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84959" w14:textId="77777777" w:rsidR="00815242" w:rsidRDefault="00815242">
      <w:pPr>
        <w:spacing w:line="240" w:lineRule="auto"/>
      </w:pPr>
      <w:r>
        <w:separator/>
      </w:r>
    </w:p>
  </w:endnote>
  <w:endnote w:type="continuationSeparator" w:id="0">
    <w:p w14:paraId="6B355A31" w14:textId="77777777" w:rsidR="00815242" w:rsidRDefault="008152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elvetica Neue">
    <w:charset w:val="00"/>
    <w:family w:val="auto"/>
    <w:pitch w:val="default"/>
    <w:embedRegular r:id="rId1" w:fontKey="{B71E3134-587D-4402-A094-31AB081AE69F}"/>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2" w:fontKey="{91044EFD-25E6-414E-99EA-A85C93D2BD5F}"/>
  </w:font>
  <w:font w:name="Cambria">
    <w:panose1 w:val="02040503050406030204"/>
    <w:charset w:val="00"/>
    <w:family w:val="roman"/>
    <w:pitch w:val="variable"/>
    <w:sig w:usb0="E00006FF" w:usb1="420024FF" w:usb2="02000000" w:usb3="00000000" w:csb0="0000019F" w:csb1="00000000"/>
    <w:embedRegular r:id="rId3" w:fontKey="{0A83D1DE-0D8A-4282-BE62-CC54C83897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B320" w14:textId="77777777" w:rsidR="00106C02" w:rsidRDefault="00F57C07">
    <w:pPr>
      <w:jc w:val="right"/>
    </w:pPr>
    <w:r>
      <w:fldChar w:fldCharType="begin"/>
    </w:r>
    <w:r>
      <w:instrText>PAGE</w:instrText>
    </w:r>
    <w:r>
      <w:fldChar w:fldCharType="separate"/>
    </w:r>
    <w:r w:rsidR="00006AE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FC5A6" w14:textId="77777777" w:rsidR="00815242" w:rsidRDefault="00815242">
      <w:pPr>
        <w:spacing w:line="240" w:lineRule="auto"/>
      </w:pPr>
      <w:r>
        <w:separator/>
      </w:r>
    </w:p>
  </w:footnote>
  <w:footnote w:type="continuationSeparator" w:id="0">
    <w:p w14:paraId="049B70BD" w14:textId="77777777" w:rsidR="00815242" w:rsidRDefault="00815242">
      <w:pPr>
        <w:spacing w:line="240" w:lineRule="auto"/>
      </w:pPr>
      <w:r>
        <w:continuationSeparator/>
      </w:r>
    </w:p>
  </w:footnote>
  <w:footnote w:id="1">
    <w:p w14:paraId="61BE99B1" w14:textId="2E2BAFFD" w:rsidR="00106C02" w:rsidRDefault="00F57C07">
      <w:pPr>
        <w:spacing w:line="240" w:lineRule="auto"/>
        <w:jc w:val="both"/>
        <w:rPr>
          <w:rFonts w:ascii="Helvetica Neue" w:eastAsia="Helvetica Neue" w:hAnsi="Helvetica Neue" w:cs="Helvetica Neue"/>
          <w:sz w:val="16"/>
          <w:szCs w:val="16"/>
        </w:rPr>
      </w:pPr>
      <w:r>
        <w:rPr>
          <w:vertAlign w:val="superscript"/>
        </w:rPr>
        <w:footnoteRef/>
      </w:r>
      <w:r>
        <w:rPr>
          <w:sz w:val="20"/>
          <w:szCs w:val="20"/>
        </w:rPr>
        <w:t xml:space="preserve"> </w:t>
      </w:r>
      <w:r>
        <w:rPr>
          <w:rFonts w:ascii="Helvetica Neue" w:eastAsia="Helvetica Neue" w:hAnsi="Helvetica Neue" w:cs="Helvetica Neue"/>
          <w:sz w:val="16"/>
          <w:szCs w:val="16"/>
        </w:rPr>
        <w:t>フィリピンの国</w:t>
      </w:r>
      <w:r w:rsidR="00551A65">
        <w:rPr>
          <w:rFonts w:ascii="ＭＳ 明朝" w:eastAsia="ＭＳ 明朝" w:hAnsi="ＭＳ 明朝" w:cs="ＭＳ 明朝" w:hint="eastAsia"/>
          <w:sz w:val="16"/>
          <w:szCs w:val="16"/>
        </w:rPr>
        <w:t>内</w:t>
      </w:r>
      <w:r>
        <w:rPr>
          <w:rFonts w:ascii="Helvetica Neue" w:eastAsia="Helvetica Neue" w:hAnsi="Helvetica Neue" w:cs="Helvetica Neue"/>
          <w:sz w:val="16"/>
          <w:szCs w:val="16"/>
        </w:rPr>
        <w:t>人権機関（</w:t>
      </w:r>
      <w:r>
        <w:rPr>
          <w:rFonts w:ascii="Helvetica Neue" w:eastAsia="Helvetica Neue" w:hAnsi="Helvetica Neue" w:cs="Helvetica Neue"/>
          <w:sz w:val="16"/>
          <w:szCs w:val="16"/>
        </w:rPr>
        <w:t>NHRI</w:t>
      </w:r>
      <w:r>
        <w:rPr>
          <w:rFonts w:ascii="Helvetica Neue" w:eastAsia="Helvetica Neue" w:hAnsi="Helvetica Neue" w:cs="Helvetica Neue"/>
          <w:sz w:val="16"/>
          <w:szCs w:val="16"/>
        </w:rPr>
        <w:t>）として、当委員会は、</w:t>
      </w:r>
      <w:r>
        <w:rPr>
          <w:rFonts w:ascii="Helvetica Neue" w:eastAsia="Helvetica Neue" w:hAnsi="Helvetica Neue" w:cs="Helvetica Neue"/>
          <w:sz w:val="16"/>
          <w:szCs w:val="16"/>
        </w:rPr>
        <w:t>1987</w:t>
      </w:r>
      <w:r>
        <w:rPr>
          <w:rFonts w:ascii="Helvetica Neue" w:eastAsia="Helvetica Neue" w:hAnsi="Helvetica Neue" w:cs="Helvetica Neue"/>
          <w:sz w:val="16"/>
          <w:szCs w:val="16"/>
        </w:rPr>
        <w:t>年フィリピン憲法およびその他の法律に基づき、国内外のすべてのフィリピン人の人権と人間の尊厳を保護・促進するという使命を付与されてい</w:t>
      </w:r>
      <w:r w:rsidR="00551A65">
        <w:rPr>
          <w:rFonts w:ascii="ＭＳ 明朝" w:eastAsia="ＭＳ 明朝" w:hAnsi="ＭＳ 明朝" w:cs="ＭＳ 明朝" w:hint="eastAsia"/>
          <w:sz w:val="16"/>
          <w:szCs w:val="16"/>
        </w:rPr>
        <w:t>る</w:t>
      </w:r>
      <w:r>
        <w:rPr>
          <w:rFonts w:ascii="Helvetica Neue" w:eastAsia="Helvetica Neue" w:hAnsi="Helvetica Neue" w:cs="Helvetica Neue"/>
          <w:sz w:val="16"/>
          <w:szCs w:val="16"/>
        </w:rPr>
        <w:t>。</w:t>
      </w:r>
      <w:r>
        <w:rPr>
          <w:rFonts w:ascii="Helvetica Neue" w:eastAsia="Helvetica Neue" w:hAnsi="Helvetica Neue" w:cs="Helvetica Neue"/>
          <w:sz w:val="16"/>
          <w:szCs w:val="16"/>
        </w:rPr>
        <w:t xml:space="preserve"> </w:t>
      </w:r>
      <w:r>
        <w:rPr>
          <w:rFonts w:ascii="Helvetica Neue" w:eastAsia="Helvetica Neue" w:hAnsi="Helvetica Neue" w:cs="Helvetica Neue"/>
          <w:sz w:val="16"/>
          <w:szCs w:val="16"/>
        </w:rPr>
        <w:t>パリ原則は、</w:t>
      </w:r>
      <w:r>
        <w:rPr>
          <w:rFonts w:ascii="Helvetica Neue" w:eastAsia="Helvetica Neue" w:hAnsi="Helvetica Neue" w:cs="Helvetica Neue"/>
          <w:sz w:val="16"/>
          <w:szCs w:val="16"/>
        </w:rPr>
        <w:t>NHRI</w:t>
      </w:r>
      <w:r>
        <w:rPr>
          <w:rFonts w:ascii="Helvetica Neue" w:eastAsia="Helvetica Neue" w:hAnsi="Helvetica Neue" w:cs="Helvetica Neue"/>
          <w:sz w:val="16"/>
          <w:szCs w:val="16"/>
        </w:rPr>
        <w:t>に対し、これらの機能を遂行するための権限を付与するとともに、人権状況や侵害を定期的に監視し、これについて報告を行い、すべての人々の人権の実現と尊厳を促進するための措置を提言する責任を負うことを求めてい</w:t>
      </w:r>
      <w:r w:rsidR="00551A65">
        <w:rPr>
          <w:rFonts w:ascii="ＭＳ 明朝" w:eastAsia="ＭＳ 明朝" w:hAnsi="ＭＳ 明朝" w:cs="ＭＳ 明朝" w:hint="eastAsia"/>
          <w:sz w:val="16"/>
          <w:szCs w:val="16"/>
        </w:rPr>
        <w:t>る</w:t>
      </w:r>
      <w:r>
        <w:rPr>
          <w:rFonts w:ascii="Helvetica Neue" w:eastAsia="Helvetica Neue" w:hAnsi="Helvetica Neue" w:cs="Helvetica Neue"/>
          <w:sz w:val="16"/>
          <w:szCs w:val="16"/>
        </w:rPr>
        <w:t>。当委員会は、国</w:t>
      </w:r>
      <w:r w:rsidR="00551A65">
        <w:rPr>
          <w:rFonts w:ascii="ＭＳ 明朝" w:eastAsia="ＭＳ 明朝" w:hAnsi="ＭＳ 明朝" w:cs="ＭＳ 明朝" w:hint="eastAsia"/>
          <w:sz w:val="16"/>
          <w:szCs w:val="16"/>
        </w:rPr>
        <w:t>内</w:t>
      </w:r>
      <w:r>
        <w:rPr>
          <w:rFonts w:ascii="Helvetica Neue" w:eastAsia="Helvetica Neue" w:hAnsi="Helvetica Neue" w:cs="Helvetica Neue"/>
          <w:sz w:val="16"/>
          <w:szCs w:val="16"/>
        </w:rPr>
        <w:t>人権機関</w:t>
      </w:r>
      <w:r w:rsidR="00551A65">
        <w:rPr>
          <w:rFonts w:ascii="ＭＳ 明朝" w:eastAsia="ＭＳ 明朝" w:hAnsi="ＭＳ 明朝" w:cs="ＭＳ 明朝" w:hint="eastAsia"/>
          <w:sz w:val="16"/>
          <w:szCs w:val="16"/>
        </w:rPr>
        <w:t>世界連合</w:t>
      </w:r>
      <w:r>
        <w:rPr>
          <w:rFonts w:ascii="Helvetica Neue" w:eastAsia="Helvetica Neue" w:hAnsi="Helvetica Neue" w:cs="Helvetica Neue"/>
          <w:sz w:val="16"/>
          <w:szCs w:val="16"/>
        </w:rPr>
        <w:t>（</w:t>
      </w:r>
      <w:r>
        <w:rPr>
          <w:rFonts w:ascii="Helvetica Neue" w:eastAsia="Helvetica Neue" w:hAnsi="Helvetica Neue" w:cs="Helvetica Neue"/>
          <w:sz w:val="16"/>
          <w:szCs w:val="16"/>
        </w:rPr>
        <w:t>GANHRI</w:t>
      </w:r>
      <w:r>
        <w:rPr>
          <w:rFonts w:ascii="Helvetica Neue" w:eastAsia="Helvetica Neue" w:hAnsi="Helvetica Neue" w:cs="Helvetica Neue"/>
          <w:sz w:val="16"/>
          <w:szCs w:val="16"/>
        </w:rPr>
        <w:t>）の認定小委員会から「</w:t>
      </w:r>
      <w:r>
        <w:rPr>
          <w:rFonts w:ascii="Helvetica Neue" w:eastAsia="Helvetica Neue" w:hAnsi="Helvetica Neue" w:cs="Helvetica Neue"/>
          <w:sz w:val="16"/>
          <w:szCs w:val="16"/>
        </w:rPr>
        <w:t>A</w:t>
      </w:r>
      <w:r>
        <w:rPr>
          <w:rFonts w:ascii="Helvetica Neue" w:eastAsia="Helvetica Neue" w:hAnsi="Helvetica Neue" w:cs="Helvetica Neue"/>
          <w:sz w:val="16"/>
          <w:szCs w:val="16"/>
        </w:rPr>
        <w:t>」ランクの認定を受けてい</w:t>
      </w:r>
      <w:r w:rsidR="00551A65">
        <w:rPr>
          <w:rFonts w:ascii="ＭＳ 明朝" w:eastAsia="ＭＳ 明朝" w:hAnsi="ＭＳ 明朝" w:cs="ＭＳ 明朝" w:hint="eastAsia"/>
          <w:sz w:val="16"/>
          <w:szCs w:val="16"/>
        </w:rPr>
        <w:t>る</w:t>
      </w:r>
      <w:r>
        <w:rPr>
          <w:rFonts w:ascii="Helvetica Neue" w:eastAsia="Helvetica Neue" w:hAnsi="Helvetica Neue" w:cs="Helvetica Neue"/>
          <w:sz w:val="16"/>
          <w:szCs w:val="16"/>
        </w:rPr>
        <w:t>。</w:t>
      </w:r>
    </w:p>
  </w:footnote>
  <w:footnote w:id="2">
    <w:p w14:paraId="681B070C" w14:textId="549F8935" w:rsidR="00106C02" w:rsidRDefault="00F57C07">
      <w:pPr>
        <w:spacing w:line="240" w:lineRule="auto"/>
        <w:jc w:val="both"/>
        <w:rPr>
          <w:rFonts w:ascii="Helvetica Neue" w:eastAsia="Helvetica Neue" w:hAnsi="Helvetica Neue" w:cs="Helvetica Neue"/>
          <w:sz w:val="16"/>
          <w:szCs w:val="16"/>
        </w:rPr>
      </w:pPr>
      <w:r>
        <w:rPr>
          <w:vertAlign w:val="superscript"/>
        </w:rPr>
        <w:footnoteRef/>
      </w:r>
      <w:r>
        <w:rPr>
          <w:rFonts w:ascii="Helvetica Neue" w:eastAsia="Helvetica Neue" w:hAnsi="Helvetica Neue" w:cs="Helvetica Neue"/>
          <w:sz w:val="16"/>
          <w:szCs w:val="16"/>
        </w:rPr>
        <w:t xml:space="preserve"> </w:t>
      </w:r>
      <w:r>
        <w:rPr>
          <w:rFonts w:ascii="Helvetica Neue" w:eastAsia="Helvetica Neue" w:hAnsi="Helvetica Neue" w:cs="Helvetica Neue"/>
          <w:sz w:val="16"/>
          <w:szCs w:val="16"/>
          <w:u w:val="single"/>
        </w:rPr>
        <w:t>高齢者および市民社会組織：</w:t>
      </w:r>
      <w:r>
        <w:rPr>
          <w:rFonts w:ascii="Helvetica Neue" w:eastAsia="Helvetica Neue" w:hAnsi="Helvetica Neue" w:cs="Helvetica Neue"/>
          <w:sz w:val="16"/>
          <w:szCs w:val="16"/>
        </w:rPr>
        <w:t>移住者支援センター（</w:t>
      </w:r>
      <w:r>
        <w:rPr>
          <w:rFonts w:ascii="Helvetica Neue" w:eastAsia="Helvetica Neue" w:hAnsi="Helvetica Neue" w:cs="Helvetica Neue"/>
          <w:sz w:val="16"/>
          <w:szCs w:val="16"/>
        </w:rPr>
        <w:t>Center for Migrant Advocacy</w:t>
      </w:r>
      <w:r>
        <w:rPr>
          <w:rFonts w:ascii="Helvetica Neue" w:eastAsia="Helvetica Neue" w:hAnsi="Helvetica Neue" w:cs="Helvetica Neue"/>
          <w:sz w:val="16"/>
          <w:szCs w:val="16"/>
        </w:rPr>
        <w:t>）；高齢者サービス連合（</w:t>
      </w:r>
      <w:r>
        <w:rPr>
          <w:rFonts w:ascii="Helvetica Neue" w:eastAsia="Helvetica Neue" w:hAnsi="Helvetica Neue" w:cs="Helvetica Neue"/>
          <w:sz w:val="16"/>
          <w:szCs w:val="16"/>
        </w:rPr>
        <w:t>Coalition of Services of the Elderly, Inc. (COSE)</w:t>
      </w:r>
      <w:r>
        <w:rPr>
          <w:rFonts w:ascii="Helvetica Neue" w:eastAsia="Helvetica Neue" w:hAnsi="Helvetica Neue" w:cs="Helvetica Neue"/>
          <w:sz w:val="16"/>
          <w:szCs w:val="16"/>
        </w:rPr>
        <w:t>）；フィリピン高齢者協会連合（</w:t>
      </w:r>
      <w:r>
        <w:rPr>
          <w:rFonts w:ascii="Helvetica Neue" w:eastAsia="Helvetica Neue" w:hAnsi="Helvetica Neue" w:cs="Helvetica Neue"/>
          <w:sz w:val="16"/>
          <w:szCs w:val="16"/>
        </w:rPr>
        <w:t>Confederation of Older Persons Associations of the Philippines (COPAP)</w:t>
      </w:r>
      <w:r>
        <w:rPr>
          <w:rFonts w:ascii="Helvetica Neue" w:eastAsia="Helvetica Neue" w:hAnsi="Helvetica Neue" w:cs="Helvetica Neue"/>
          <w:sz w:val="16"/>
          <w:szCs w:val="16"/>
        </w:rPr>
        <w:t>）；元フィリピン人権委員会（</w:t>
      </w:r>
      <w:r>
        <w:rPr>
          <w:rFonts w:ascii="Helvetica Neue" w:eastAsia="Helvetica Neue" w:hAnsi="Helvetica Neue" w:cs="Helvetica Neue"/>
          <w:sz w:val="16"/>
          <w:szCs w:val="16"/>
        </w:rPr>
        <w:t>CHRP</w:t>
      </w:r>
      <w:r>
        <w:rPr>
          <w:rFonts w:ascii="Helvetica Neue" w:eastAsia="Helvetica Neue" w:hAnsi="Helvetica Neue" w:cs="Helvetica Neue"/>
          <w:sz w:val="16"/>
          <w:szCs w:val="16"/>
        </w:rPr>
        <w:t>）委員カレン・</w:t>
      </w:r>
      <w:r>
        <w:rPr>
          <w:rFonts w:ascii="Helvetica Neue" w:eastAsia="Helvetica Neue" w:hAnsi="Helvetica Neue" w:cs="Helvetica Neue"/>
          <w:sz w:val="16"/>
          <w:szCs w:val="16"/>
        </w:rPr>
        <w:t>S</w:t>
      </w:r>
      <w:r>
        <w:rPr>
          <w:rFonts w:ascii="Helvetica Neue" w:eastAsia="Helvetica Neue" w:hAnsi="Helvetica Neue" w:cs="Helvetica Neue"/>
          <w:sz w:val="16"/>
          <w:szCs w:val="16"/>
        </w:rPr>
        <w:t>・ゴメス＝ダンピット氏；国立衛生研究所（フィリピン大学マニラ校）高齢化研究所；</w:t>
      </w:r>
      <w:r>
        <w:rPr>
          <w:rFonts w:ascii="Helvetica Neue" w:eastAsia="Helvetica Neue" w:hAnsi="Helvetica Neue" w:cs="Helvetica Neue"/>
          <w:sz w:val="16"/>
          <w:szCs w:val="16"/>
        </w:rPr>
        <w:t xml:space="preserve"> </w:t>
      </w:r>
      <w:r>
        <w:rPr>
          <w:rFonts w:ascii="Helvetica Neue" w:eastAsia="Helvetica Neue" w:hAnsi="Helvetica Neue" w:cs="Helvetica Neue"/>
          <w:sz w:val="16"/>
          <w:szCs w:val="16"/>
        </w:rPr>
        <w:t>正義と開発のための全国高齢者問題協議会；フィリピン人権擁護者同盟（</w:t>
      </w:r>
      <w:r>
        <w:rPr>
          <w:rFonts w:ascii="Helvetica Neue" w:eastAsia="Helvetica Neue" w:hAnsi="Helvetica Neue" w:cs="Helvetica Neue"/>
          <w:sz w:val="16"/>
          <w:szCs w:val="16"/>
        </w:rPr>
        <w:t>PAHRA</w:t>
      </w:r>
      <w:r>
        <w:rPr>
          <w:rFonts w:ascii="Helvetica Neue" w:eastAsia="Helvetica Neue" w:hAnsi="Helvetica Neue" w:cs="Helvetica Neue"/>
          <w:sz w:val="16"/>
          <w:szCs w:val="16"/>
        </w:rPr>
        <w:t>）；社会の周縁化された層の権利と平等を推進する会（</w:t>
      </w:r>
      <w:r>
        <w:rPr>
          <w:rFonts w:ascii="Helvetica Neue" w:eastAsia="Helvetica Neue" w:hAnsi="Helvetica Neue" w:cs="Helvetica Neue"/>
          <w:sz w:val="16"/>
          <w:szCs w:val="16"/>
        </w:rPr>
        <w:t>PRISM</w:t>
      </w:r>
      <w:r>
        <w:rPr>
          <w:rFonts w:ascii="Helvetica Neue" w:eastAsia="Helvetica Neue" w:hAnsi="Helvetica Neue" w:cs="Helvetica Neue"/>
          <w:sz w:val="16"/>
          <w:szCs w:val="16"/>
        </w:rPr>
        <w:t>）；</w:t>
      </w:r>
      <w:r w:rsidR="00551A65">
        <w:rPr>
          <w:rFonts w:ascii="ＭＳ 明朝" w:eastAsia="ＭＳ 明朝" w:hAnsi="ＭＳ 明朝" w:cs="ＭＳ 明朝" w:hint="eastAsia"/>
          <w:sz w:val="16"/>
          <w:szCs w:val="16"/>
        </w:rPr>
        <w:t>高齢者のための高齢者協会</w:t>
      </w:r>
      <w:r>
        <w:rPr>
          <w:rFonts w:ascii="Helvetica Neue" w:eastAsia="Helvetica Neue" w:hAnsi="Helvetica Neue" w:cs="Helvetica Neue"/>
          <w:sz w:val="16"/>
          <w:szCs w:val="16"/>
        </w:rPr>
        <w:t>；</w:t>
      </w:r>
      <w:r w:rsidR="00551A65">
        <w:rPr>
          <w:rFonts w:ascii="ＭＳ 明朝" w:eastAsia="ＭＳ 明朝" w:hAnsi="ＭＳ 明朝" w:cs="ＭＳ 明朝" w:hint="eastAsia"/>
          <w:sz w:val="16"/>
          <w:szCs w:val="16"/>
        </w:rPr>
        <w:t>動く高齢者協会</w:t>
      </w:r>
      <w:r>
        <w:rPr>
          <w:rFonts w:ascii="Helvetica Neue" w:eastAsia="Helvetica Neue" w:hAnsi="Helvetica Neue" w:cs="Helvetica Neue"/>
          <w:sz w:val="16"/>
          <w:szCs w:val="16"/>
        </w:rPr>
        <w:t>；</w:t>
      </w:r>
      <w:r>
        <w:rPr>
          <w:rFonts w:ascii="Helvetica Neue" w:eastAsia="Helvetica Neue" w:hAnsi="Helvetica Neue" w:cs="Helvetica Neue"/>
          <w:sz w:val="16"/>
          <w:szCs w:val="16"/>
        </w:rPr>
        <w:t>パラ・サ・バヤン</w:t>
      </w:r>
      <w:r w:rsidR="00551A65">
        <w:rPr>
          <w:rFonts w:ascii="ＭＳ 明朝" w:eastAsia="ＭＳ 明朝" w:hAnsi="ＭＳ 明朝" w:cs="ＭＳ 明朝" w:hint="eastAsia"/>
          <w:sz w:val="16"/>
          <w:szCs w:val="16"/>
        </w:rPr>
        <w:t>高齢者協会</w:t>
      </w:r>
      <w:r>
        <w:rPr>
          <w:rFonts w:ascii="Helvetica Neue" w:eastAsia="Helvetica Neue" w:hAnsi="Helvetica Neue" w:cs="Helvetica Neue"/>
          <w:sz w:val="16"/>
          <w:szCs w:val="16"/>
        </w:rPr>
        <w:t>；団結と進歩的労働者センター（</w:t>
      </w:r>
      <w:r>
        <w:rPr>
          <w:rFonts w:ascii="Helvetica Neue" w:eastAsia="Helvetica Neue" w:hAnsi="Helvetica Neue" w:cs="Helvetica Neue"/>
          <w:sz w:val="16"/>
          <w:szCs w:val="16"/>
        </w:rPr>
        <w:t>SENTRO</w:t>
      </w:r>
      <w:r>
        <w:rPr>
          <w:rFonts w:ascii="Helvetica Neue" w:eastAsia="Helvetica Neue" w:hAnsi="Helvetica Neue" w:cs="Helvetica Neue"/>
          <w:sz w:val="16"/>
          <w:szCs w:val="16"/>
        </w:rPr>
        <w:t>）；</w:t>
      </w:r>
      <w:r>
        <w:rPr>
          <w:rFonts w:ascii="Helvetica Neue" w:eastAsia="Helvetica Neue" w:hAnsi="Helvetica Neue" w:cs="Helvetica Neue"/>
          <w:sz w:val="16"/>
          <w:szCs w:val="16"/>
        </w:rPr>
        <w:t xml:space="preserve"> </w:t>
      </w:r>
      <w:r>
        <w:rPr>
          <w:rFonts w:ascii="Helvetica Neue" w:eastAsia="Helvetica Neue" w:hAnsi="Helvetica Neue" w:cs="Helvetica Neue"/>
          <w:sz w:val="16"/>
          <w:szCs w:val="16"/>
        </w:rPr>
        <w:t>聖アルノルド・ヤンセン平信徒協会（</w:t>
      </w:r>
      <w:r>
        <w:rPr>
          <w:rFonts w:ascii="Helvetica Neue" w:eastAsia="Helvetica Neue" w:hAnsi="Helvetica Neue" w:cs="Helvetica Neue"/>
          <w:sz w:val="16"/>
          <w:szCs w:val="16"/>
        </w:rPr>
        <w:t>LSSAJ</w:t>
      </w:r>
      <w:r>
        <w:rPr>
          <w:rFonts w:ascii="Helvetica Neue" w:eastAsia="Helvetica Neue" w:hAnsi="Helvetica Neue" w:cs="Helvetica Neue"/>
          <w:sz w:val="16"/>
          <w:szCs w:val="16"/>
        </w:rPr>
        <w:t>）；フィリピン大学人権研究所；ルクセンブルク大学からの客員博士研究員、非正規雇用</w:t>
      </w:r>
      <w:r w:rsidR="007D4E3D">
        <w:rPr>
          <w:rFonts w:ascii="ＭＳ 明朝" w:eastAsia="ＭＳ 明朝" w:hAnsi="ＭＳ 明朝" w:cs="ＭＳ 明朝" w:hint="eastAsia"/>
          <w:sz w:val="16"/>
          <w:szCs w:val="16"/>
        </w:rPr>
        <w:t>の</w:t>
      </w:r>
      <w:r>
        <w:rPr>
          <w:rFonts w:ascii="Helvetica Neue" w:eastAsia="Helvetica Neue" w:hAnsi="Helvetica Neue" w:cs="Helvetica Neue"/>
          <w:sz w:val="16"/>
          <w:szCs w:val="16"/>
        </w:rPr>
        <w:t>女性：グローバル化と組織化</w:t>
      </w:r>
      <w:r w:rsidR="007D4E3D">
        <w:rPr>
          <w:rFonts w:ascii="ＭＳ 明朝" w:eastAsia="ＭＳ 明朝" w:hAnsi="ＭＳ 明朝" w:cs="ＭＳ 明朝" w:hint="eastAsia"/>
          <w:sz w:val="16"/>
          <w:szCs w:val="16"/>
        </w:rPr>
        <w:t>協会</w:t>
      </w:r>
      <w:r>
        <w:rPr>
          <w:rFonts w:ascii="Helvetica Neue" w:eastAsia="Helvetica Neue" w:hAnsi="Helvetica Neue" w:cs="Helvetica Neue"/>
          <w:sz w:val="16"/>
          <w:szCs w:val="16"/>
        </w:rPr>
        <w:t>（</w:t>
      </w:r>
      <w:r>
        <w:rPr>
          <w:rFonts w:ascii="Helvetica Neue" w:eastAsia="Helvetica Neue" w:hAnsi="Helvetica Neue" w:cs="Helvetica Neue"/>
          <w:sz w:val="16"/>
          <w:szCs w:val="16"/>
        </w:rPr>
        <w:t>WIEGO</w:t>
      </w:r>
      <w:r>
        <w:rPr>
          <w:rFonts w:ascii="Helvetica Neue" w:eastAsia="Helvetica Neue" w:hAnsi="Helvetica Neue" w:cs="Helvetica Neue"/>
          <w:sz w:val="16"/>
          <w:szCs w:val="16"/>
        </w:rPr>
        <w:t>）</w:t>
      </w:r>
    </w:p>
    <w:p w14:paraId="5A9DD4C3" w14:textId="77777777" w:rsidR="007D4E3D" w:rsidRDefault="00F57C07">
      <w:pPr>
        <w:spacing w:line="240" w:lineRule="auto"/>
        <w:jc w:val="both"/>
        <w:rPr>
          <w:rFonts w:ascii="Helvetica Neue" w:hAnsi="Helvetica Neue" w:cs="Helvetica Neue"/>
          <w:sz w:val="16"/>
          <w:szCs w:val="16"/>
        </w:rPr>
      </w:pPr>
      <w:r>
        <w:rPr>
          <w:rFonts w:ascii="Helvetica Neue" w:eastAsia="Helvetica Neue" w:hAnsi="Helvetica Neue" w:cs="Helvetica Neue"/>
          <w:sz w:val="16"/>
          <w:szCs w:val="16"/>
          <w:u w:val="single"/>
        </w:rPr>
        <w:t>行政機関／国家政府機関：</w:t>
      </w:r>
      <w:r>
        <w:rPr>
          <w:rFonts w:ascii="Helvetica Neue" w:eastAsia="Helvetica Neue" w:hAnsi="Helvetica Neue" w:cs="Helvetica Neue"/>
          <w:sz w:val="16"/>
          <w:szCs w:val="16"/>
        </w:rPr>
        <w:t>公務員委員会（</w:t>
      </w:r>
      <w:r>
        <w:rPr>
          <w:rFonts w:ascii="Helvetica Neue" w:eastAsia="Helvetica Neue" w:hAnsi="Helvetica Neue" w:cs="Helvetica Neue"/>
          <w:sz w:val="16"/>
          <w:szCs w:val="16"/>
        </w:rPr>
        <w:t>CSC</w:t>
      </w:r>
      <w:r>
        <w:rPr>
          <w:rFonts w:ascii="Helvetica Neue" w:eastAsia="Helvetica Neue" w:hAnsi="Helvetica Neue" w:cs="Helvetica Neue"/>
          <w:sz w:val="16"/>
          <w:szCs w:val="16"/>
        </w:rPr>
        <w:t>）；保健省（</w:t>
      </w:r>
      <w:r>
        <w:rPr>
          <w:rFonts w:ascii="Helvetica Neue" w:eastAsia="Helvetica Neue" w:hAnsi="Helvetica Neue" w:cs="Helvetica Neue"/>
          <w:sz w:val="16"/>
          <w:szCs w:val="16"/>
        </w:rPr>
        <w:t>DOH</w:t>
      </w:r>
      <w:r>
        <w:rPr>
          <w:rFonts w:ascii="Helvetica Neue" w:eastAsia="Helvetica Neue" w:hAnsi="Helvetica Neue" w:cs="Helvetica Neue"/>
          <w:sz w:val="16"/>
          <w:szCs w:val="16"/>
        </w:rPr>
        <w:t>）；内務地方自治省（</w:t>
      </w:r>
      <w:r>
        <w:rPr>
          <w:rFonts w:ascii="Helvetica Neue" w:eastAsia="Helvetica Neue" w:hAnsi="Helvetica Neue" w:cs="Helvetica Neue"/>
          <w:sz w:val="16"/>
          <w:szCs w:val="16"/>
        </w:rPr>
        <w:t>DILG</w:t>
      </w:r>
      <w:r>
        <w:rPr>
          <w:rFonts w:ascii="Helvetica Neue" w:eastAsia="Helvetica Neue" w:hAnsi="Helvetica Neue" w:cs="Helvetica Neue"/>
          <w:sz w:val="16"/>
          <w:szCs w:val="16"/>
        </w:rPr>
        <w:t>）；法務省（</w:t>
      </w:r>
      <w:r>
        <w:rPr>
          <w:rFonts w:ascii="Helvetica Neue" w:eastAsia="Helvetica Neue" w:hAnsi="Helvetica Neue" w:cs="Helvetica Neue"/>
          <w:sz w:val="16"/>
          <w:szCs w:val="16"/>
        </w:rPr>
        <w:t>DOJ</w:t>
      </w:r>
      <w:r>
        <w:rPr>
          <w:rFonts w:ascii="Helvetica Neue" w:eastAsia="Helvetica Neue" w:hAnsi="Helvetica Neue" w:cs="Helvetica Neue"/>
          <w:sz w:val="16"/>
          <w:szCs w:val="16"/>
        </w:rPr>
        <w:t>）；労働雇用省（</w:t>
      </w:r>
      <w:r>
        <w:rPr>
          <w:rFonts w:ascii="Helvetica Neue" w:eastAsia="Helvetica Neue" w:hAnsi="Helvetica Neue" w:cs="Helvetica Neue"/>
          <w:sz w:val="16"/>
          <w:szCs w:val="16"/>
        </w:rPr>
        <w:t>DOLE</w:t>
      </w:r>
      <w:r>
        <w:rPr>
          <w:rFonts w:ascii="Helvetica Neue" w:eastAsia="Helvetica Neue" w:hAnsi="Helvetica Neue" w:cs="Helvetica Neue"/>
          <w:sz w:val="16"/>
          <w:szCs w:val="16"/>
        </w:rPr>
        <w:t>）；</w:t>
      </w:r>
      <w:r w:rsidR="007D4E3D">
        <w:rPr>
          <w:rFonts w:ascii="ＭＳ 明朝" w:eastAsia="ＭＳ 明朝" w:hAnsi="ＭＳ 明朝" w:cs="ＭＳ 明朝" w:hint="eastAsia"/>
          <w:sz w:val="16"/>
          <w:szCs w:val="16"/>
        </w:rPr>
        <w:t>移民</w:t>
      </w:r>
      <w:r>
        <w:rPr>
          <w:rFonts w:ascii="Helvetica Neue" w:eastAsia="Helvetica Neue" w:hAnsi="Helvetica Neue" w:cs="Helvetica Neue"/>
          <w:sz w:val="16"/>
          <w:szCs w:val="16"/>
        </w:rPr>
        <w:t>労働</w:t>
      </w:r>
      <w:r>
        <w:rPr>
          <w:rFonts w:ascii="Helvetica Neue" w:eastAsia="Helvetica Neue" w:hAnsi="Helvetica Neue" w:cs="Helvetica Neue"/>
          <w:sz w:val="16"/>
          <w:szCs w:val="16"/>
        </w:rPr>
        <w:t>省（</w:t>
      </w:r>
      <w:r>
        <w:rPr>
          <w:rFonts w:ascii="Helvetica Neue" w:eastAsia="Helvetica Neue" w:hAnsi="Helvetica Neue" w:cs="Helvetica Neue"/>
          <w:sz w:val="16"/>
          <w:szCs w:val="16"/>
        </w:rPr>
        <w:t>DMW</w:t>
      </w:r>
      <w:r>
        <w:rPr>
          <w:rFonts w:ascii="Helvetica Neue" w:eastAsia="Helvetica Neue" w:hAnsi="Helvetica Neue" w:cs="Helvetica Neue"/>
          <w:sz w:val="16"/>
          <w:szCs w:val="16"/>
        </w:rPr>
        <w:t>）；通商産業省（</w:t>
      </w:r>
      <w:r>
        <w:rPr>
          <w:rFonts w:ascii="Helvetica Neue" w:eastAsia="Helvetica Neue" w:hAnsi="Helvetica Neue" w:cs="Helvetica Neue"/>
          <w:sz w:val="16"/>
          <w:szCs w:val="16"/>
        </w:rPr>
        <w:t>DTI</w:t>
      </w:r>
      <w:r>
        <w:rPr>
          <w:rFonts w:ascii="Helvetica Neue" w:eastAsia="Helvetica Neue" w:hAnsi="Helvetica Neue" w:cs="Helvetica Neue"/>
          <w:sz w:val="16"/>
          <w:szCs w:val="16"/>
        </w:rPr>
        <w:t>）；</w:t>
      </w:r>
      <w:r>
        <w:rPr>
          <w:rFonts w:ascii="Helvetica Neue" w:eastAsia="Helvetica Neue" w:hAnsi="Helvetica Neue" w:cs="Helvetica Neue"/>
          <w:sz w:val="16"/>
          <w:szCs w:val="16"/>
        </w:rPr>
        <w:t xml:space="preserve"> </w:t>
      </w:r>
      <w:r>
        <w:rPr>
          <w:rFonts w:ascii="Helvetica Neue" w:eastAsia="Helvetica Neue" w:hAnsi="Helvetica Neue" w:cs="Helvetica Neue"/>
          <w:sz w:val="16"/>
          <w:szCs w:val="16"/>
        </w:rPr>
        <w:t>国家貧困対策委員会（</w:t>
      </w:r>
      <w:r>
        <w:rPr>
          <w:rFonts w:ascii="Helvetica Neue" w:eastAsia="Helvetica Neue" w:hAnsi="Helvetica Neue" w:cs="Helvetica Neue"/>
          <w:sz w:val="16"/>
          <w:szCs w:val="16"/>
        </w:rPr>
        <w:t>NAPC</w:t>
      </w:r>
      <w:r>
        <w:rPr>
          <w:rFonts w:ascii="Helvetica Neue" w:eastAsia="Helvetica Neue" w:hAnsi="Helvetica Neue" w:cs="Helvetica Neue"/>
          <w:sz w:val="16"/>
          <w:szCs w:val="16"/>
        </w:rPr>
        <w:t>）－高齢者部門代表；国家先住民委員会（</w:t>
      </w:r>
      <w:r>
        <w:rPr>
          <w:rFonts w:ascii="Helvetica Neue" w:eastAsia="Helvetica Neue" w:hAnsi="Helvetica Neue" w:cs="Helvetica Neue"/>
          <w:sz w:val="16"/>
          <w:szCs w:val="16"/>
        </w:rPr>
        <w:t>NCIP</w:t>
      </w:r>
      <w:r>
        <w:rPr>
          <w:rFonts w:ascii="Helvetica Neue" w:eastAsia="Helvetica Neue" w:hAnsi="Helvetica Neue" w:cs="Helvetica Neue"/>
          <w:sz w:val="16"/>
          <w:szCs w:val="16"/>
        </w:rPr>
        <w:t>）；</w:t>
      </w:r>
    </w:p>
    <w:p w14:paraId="6FEA38D7" w14:textId="465C3659" w:rsidR="00106C02" w:rsidRDefault="00F57C07">
      <w:pPr>
        <w:spacing w:line="240" w:lineRule="auto"/>
        <w:jc w:val="both"/>
        <w:rPr>
          <w:rFonts w:ascii="Helvetica Neue" w:eastAsia="Helvetica Neue" w:hAnsi="Helvetica Neue" w:cs="Helvetica Neue"/>
          <w:sz w:val="16"/>
          <w:szCs w:val="16"/>
        </w:rPr>
      </w:pPr>
      <w:r>
        <w:rPr>
          <w:rFonts w:ascii="Helvetica Neue" w:eastAsia="Helvetica Neue" w:hAnsi="Helvetica Neue" w:cs="Helvetica Neue"/>
          <w:sz w:val="16"/>
          <w:szCs w:val="16"/>
        </w:rPr>
        <w:t>国家障害者問題評議会（</w:t>
      </w:r>
      <w:r>
        <w:rPr>
          <w:rFonts w:ascii="Helvetica Neue" w:eastAsia="Helvetica Neue" w:hAnsi="Helvetica Neue" w:cs="Helvetica Neue"/>
          <w:sz w:val="16"/>
          <w:szCs w:val="16"/>
        </w:rPr>
        <w:t>NCDA</w:t>
      </w:r>
      <w:r>
        <w:rPr>
          <w:rFonts w:ascii="Helvetica Neue" w:eastAsia="Helvetica Neue" w:hAnsi="Helvetica Neue" w:cs="Helvetica Neue"/>
          <w:sz w:val="16"/>
          <w:szCs w:val="16"/>
        </w:rPr>
        <w:t>）；外務省（</w:t>
      </w:r>
      <w:r>
        <w:rPr>
          <w:rFonts w:ascii="Helvetica Neue" w:eastAsia="Helvetica Neue" w:hAnsi="Helvetica Neue" w:cs="Helvetica Neue"/>
          <w:sz w:val="16"/>
          <w:szCs w:val="16"/>
        </w:rPr>
        <w:t>DFA</w:t>
      </w:r>
      <w:r>
        <w:rPr>
          <w:rFonts w:ascii="Helvetica Neue" w:eastAsia="Helvetica Neue" w:hAnsi="Helvetica Neue" w:cs="Helvetica Neue"/>
          <w:sz w:val="16"/>
          <w:szCs w:val="16"/>
        </w:rPr>
        <w:t>）；フィリピン女性委員会（</w:t>
      </w:r>
      <w:r>
        <w:rPr>
          <w:rFonts w:ascii="Helvetica Neue" w:eastAsia="Helvetica Neue" w:hAnsi="Helvetica Neue" w:cs="Helvetica Neue"/>
          <w:sz w:val="16"/>
          <w:szCs w:val="16"/>
        </w:rPr>
        <w:t>PCW</w:t>
      </w:r>
      <w:r>
        <w:rPr>
          <w:rFonts w:ascii="Helvetica Neue" w:eastAsia="Helvetica Neue" w:hAnsi="Helvetica Neue" w:cs="Helvetica Neue"/>
          <w:sz w:val="16"/>
          <w:szCs w:val="16"/>
        </w:rPr>
        <w:t>）；大統領人権委員会事務局（</w:t>
      </w:r>
      <w:r>
        <w:rPr>
          <w:rFonts w:ascii="Helvetica Neue" w:eastAsia="Helvetica Neue" w:hAnsi="Helvetica Neue" w:cs="Helvetica Neue"/>
          <w:sz w:val="16"/>
          <w:szCs w:val="16"/>
        </w:rPr>
        <w:t>PHRCS</w:t>
      </w:r>
      <w:r>
        <w:rPr>
          <w:rFonts w:ascii="Helvetica Neue" w:eastAsia="Helvetica Neue" w:hAnsi="Helvetica Neue" w:cs="Helvetica Neue"/>
          <w:sz w:val="16"/>
          <w:szCs w:val="16"/>
        </w:rPr>
        <w:t>）；</w:t>
      </w:r>
      <w:r>
        <w:rPr>
          <w:rFonts w:ascii="Helvetica Neue" w:eastAsia="Helvetica Neue" w:hAnsi="Helvetica Neue" w:cs="Helvetica Neue"/>
          <w:sz w:val="16"/>
          <w:szCs w:val="16"/>
        </w:rPr>
        <w:t xml:space="preserve"> </w:t>
      </w:r>
    </w:p>
    <w:p w14:paraId="07937603" w14:textId="3E2707FB" w:rsidR="00106C02" w:rsidRDefault="00F57C07">
      <w:pPr>
        <w:spacing w:line="240" w:lineRule="auto"/>
        <w:jc w:val="both"/>
        <w:rPr>
          <w:rFonts w:ascii="Helvetica Neue" w:eastAsia="Helvetica Neue" w:hAnsi="Helvetica Neue" w:cs="Helvetica Neue"/>
          <w:sz w:val="16"/>
          <w:szCs w:val="16"/>
        </w:rPr>
      </w:pPr>
      <w:r>
        <w:rPr>
          <w:rFonts w:ascii="Helvetica Neue" w:eastAsia="Helvetica Neue" w:hAnsi="Helvetica Neue" w:cs="Helvetica Neue"/>
          <w:sz w:val="16"/>
          <w:szCs w:val="16"/>
          <w:u w:val="single"/>
        </w:rPr>
        <w:t>立法府：</w:t>
      </w:r>
      <w:r>
        <w:rPr>
          <w:rFonts w:ascii="Helvetica Neue" w:eastAsia="Helvetica Neue" w:hAnsi="Helvetica Neue" w:cs="Helvetica Neue"/>
          <w:sz w:val="16"/>
          <w:szCs w:val="16"/>
        </w:rPr>
        <w:t>ミラグロス・マグサイサイ下院議員（</w:t>
      </w:r>
      <w:r w:rsidR="007D4E3D">
        <w:rPr>
          <w:rFonts w:ascii="ＭＳ 明朝" w:eastAsia="ＭＳ 明朝" w:hAnsi="ＭＳ 明朝" w:cs="ＭＳ 明朝" w:hint="eastAsia"/>
          <w:sz w:val="16"/>
          <w:szCs w:val="16"/>
        </w:rPr>
        <w:t>連帯する高齢者党候補者</w:t>
      </w:r>
      <w:r>
        <w:rPr>
          <w:rFonts w:ascii="Helvetica Neue" w:eastAsia="Helvetica Neue" w:hAnsi="Helvetica Neue" w:cs="Helvetica Neue"/>
          <w:sz w:val="16"/>
          <w:szCs w:val="16"/>
        </w:rPr>
        <w:t>）</w:t>
      </w:r>
    </w:p>
  </w:footnote>
  <w:footnote w:id="3">
    <w:p w14:paraId="3F2305C4" w14:textId="77777777" w:rsidR="00106C02" w:rsidRDefault="00F57C07">
      <w:pPr>
        <w:spacing w:line="240" w:lineRule="auto"/>
        <w:jc w:val="both"/>
        <w:rPr>
          <w:rFonts w:ascii="Helvetica Neue" w:eastAsia="Helvetica Neue" w:hAnsi="Helvetica Neue" w:cs="Helvetica Neue"/>
          <w:sz w:val="16"/>
          <w:szCs w:val="16"/>
        </w:rPr>
      </w:pPr>
      <w:r>
        <w:rPr>
          <w:vertAlign w:val="superscript"/>
        </w:rPr>
        <w:footnoteRef/>
      </w:r>
      <w:r>
        <w:rPr>
          <w:rFonts w:ascii="Helvetica Neue" w:eastAsia="Helvetica Neue" w:hAnsi="Helvetica Neue" w:cs="Helvetica Neue"/>
          <w:sz w:val="16"/>
          <w:szCs w:val="16"/>
        </w:rPr>
        <w:t xml:space="preserve"> </w:t>
      </w:r>
      <w:r>
        <w:rPr>
          <w:rFonts w:ascii="Helvetica Neue" w:eastAsia="Helvetica Neue" w:hAnsi="Helvetica Neue" w:cs="Helvetica Neue"/>
          <w:sz w:val="16"/>
          <w:szCs w:val="16"/>
        </w:rPr>
        <w:t>各国人権機関グローバル・アライアンス（</w:t>
      </w:r>
      <w:r>
        <w:rPr>
          <w:rFonts w:ascii="Helvetica Neue" w:eastAsia="Helvetica Neue" w:hAnsi="Helvetica Neue" w:cs="Helvetica Neue"/>
          <w:sz w:val="16"/>
          <w:szCs w:val="16"/>
        </w:rPr>
        <w:t>GANHRI</w:t>
      </w:r>
      <w:r>
        <w:rPr>
          <w:rFonts w:ascii="Helvetica Neue" w:eastAsia="Helvetica Neue" w:hAnsi="Helvetica Neue" w:cs="Helvetica Neue"/>
          <w:sz w:val="16"/>
          <w:szCs w:val="16"/>
        </w:rPr>
        <w:t>）による人権擁護官制度（</w:t>
      </w:r>
      <w:r>
        <w:rPr>
          <w:rFonts w:ascii="Helvetica Neue" w:eastAsia="Helvetica Neue" w:hAnsi="Helvetica Neue" w:cs="Helvetica Neue"/>
          <w:sz w:val="16"/>
          <w:szCs w:val="16"/>
        </w:rPr>
        <w:t>HROP</w:t>
      </w:r>
      <w:r>
        <w:rPr>
          <w:rFonts w:ascii="Helvetica Neue" w:eastAsia="Helvetica Neue" w:hAnsi="Helvetica Neue" w:cs="Helvetica Neue"/>
          <w:sz w:val="16"/>
          <w:szCs w:val="16"/>
        </w:rPr>
        <w:t>）に関する</w:t>
      </w:r>
      <w:r>
        <w:rPr>
          <w:rFonts w:ascii="Helvetica Neue" w:eastAsia="Helvetica Neue" w:hAnsi="Helvetica Neue" w:cs="Helvetica Neue"/>
          <w:sz w:val="16"/>
          <w:szCs w:val="16"/>
        </w:rPr>
        <w:t>IGWG</w:t>
      </w:r>
      <w:r>
        <w:rPr>
          <w:rFonts w:ascii="Helvetica Neue" w:eastAsia="Helvetica Neue" w:hAnsi="Helvetica Neue" w:cs="Helvetica Neue"/>
          <w:sz w:val="16"/>
          <w:szCs w:val="16"/>
        </w:rPr>
        <w:t>への意見書（</w:t>
      </w:r>
      <w:r>
        <w:rPr>
          <w:rFonts w:ascii="Helvetica Neue" w:eastAsia="Helvetica Neue" w:hAnsi="Helvetica Neue" w:cs="Helvetica Neue"/>
          <w:sz w:val="16"/>
          <w:szCs w:val="16"/>
        </w:rPr>
        <w:t>2026</w:t>
      </w:r>
      <w:r>
        <w:rPr>
          <w:rFonts w:ascii="Helvetica Neue" w:eastAsia="Helvetica Neue" w:hAnsi="Helvetica Neue" w:cs="Helvetica Neue"/>
          <w:sz w:val="16"/>
          <w:szCs w:val="16"/>
        </w:rPr>
        <w:t>年</w:t>
      </w:r>
      <w:r>
        <w:rPr>
          <w:rFonts w:ascii="Helvetica Neue" w:eastAsia="Helvetica Neue" w:hAnsi="Helvetica Neue" w:cs="Helvetica Neue"/>
          <w:sz w:val="16"/>
          <w:szCs w:val="16"/>
        </w:rPr>
        <w:t>4</w:t>
      </w:r>
      <w:r>
        <w:rPr>
          <w:rFonts w:ascii="Helvetica Neue" w:eastAsia="Helvetica Neue" w:hAnsi="Helvetica Neue" w:cs="Helvetica Neue"/>
          <w:sz w:val="16"/>
          <w:szCs w:val="16"/>
        </w:rPr>
        <w:t>月）、</w:t>
      </w:r>
      <w:hyperlink r:id="rId1">
        <w:r>
          <w:rPr>
            <w:rFonts w:ascii="Helvetica Neue" w:eastAsia="Helvetica Neue" w:hAnsi="Helvetica Neue" w:cs="Helvetica Neue"/>
            <w:color w:val="1155CC"/>
            <w:sz w:val="16"/>
            <w:szCs w:val="16"/>
            <w:u w:val="single"/>
          </w:rPr>
          <w:t>https://ganhri.org/wp-content/uploads/2026/04/GANHRI-Input-IGWG-on-HROP_April-2026.pdf</w:t>
        </w:r>
      </w:hyperlink>
      <w:r>
        <w:rPr>
          <w:rFonts w:ascii="Helvetica Neue" w:eastAsia="Helvetica Neue" w:hAnsi="Helvetica Neue" w:cs="Helvetica Neue"/>
          <w:sz w:val="16"/>
          <w:szCs w:val="16"/>
        </w:rPr>
        <w:t xml:space="preserve"> </w:t>
      </w:r>
    </w:p>
  </w:footnote>
  <w:footnote w:id="4">
    <w:p w14:paraId="3DA0FE47" w14:textId="41CA4C17" w:rsidR="00106C02" w:rsidRDefault="00F57C07">
      <w:pPr>
        <w:spacing w:line="240" w:lineRule="auto"/>
        <w:jc w:val="both"/>
        <w:rPr>
          <w:rFonts w:ascii="Helvetica Neue" w:eastAsia="Helvetica Neue" w:hAnsi="Helvetica Neue" w:cs="Helvetica Neue"/>
          <w:sz w:val="16"/>
          <w:szCs w:val="16"/>
        </w:rPr>
      </w:pPr>
      <w:r>
        <w:rPr>
          <w:vertAlign w:val="superscript"/>
        </w:rPr>
        <w:footnoteRef/>
      </w:r>
      <w:r>
        <w:rPr>
          <w:sz w:val="20"/>
          <w:szCs w:val="20"/>
        </w:rPr>
        <w:t xml:space="preserve"> </w:t>
      </w:r>
      <w:r>
        <w:rPr>
          <w:rFonts w:ascii="Helvetica Neue" w:eastAsia="Helvetica Neue" w:hAnsi="Helvetica Neue" w:cs="Helvetica Neue"/>
          <w:sz w:val="16"/>
          <w:szCs w:val="16"/>
        </w:rPr>
        <w:t>GAROP</w:t>
      </w:r>
      <w:r>
        <w:rPr>
          <w:rFonts w:ascii="Helvetica Neue" w:eastAsia="Helvetica Neue" w:hAnsi="Helvetica Neue" w:cs="Helvetica Neue"/>
          <w:sz w:val="16"/>
          <w:szCs w:val="16"/>
        </w:rPr>
        <w:t>、概念的基礎と範囲に関する</w:t>
      </w:r>
      <w:r w:rsidR="007D4E3D">
        <w:rPr>
          <w:rFonts w:ascii="ＭＳ 明朝" w:eastAsia="ＭＳ 明朝" w:hAnsi="ＭＳ 明朝" w:cs="ＭＳ 明朝" w:hint="eastAsia"/>
          <w:sz w:val="16"/>
          <w:szCs w:val="16"/>
        </w:rPr>
        <w:t>討議資料</w:t>
      </w:r>
      <w:r>
        <w:rPr>
          <w:rFonts w:ascii="Helvetica Neue" w:eastAsia="Helvetica Neue" w:hAnsi="Helvetica Neue" w:cs="Helvetica Neue"/>
          <w:sz w:val="16"/>
          <w:szCs w:val="16"/>
        </w:rPr>
        <w:t>（</w:t>
      </w:r>
      <w:r>
        <w:rPr>
          <w:rFonts w:ascii="Helvetica Neue" w:eastAsia="Helvetica Neue" w:hAnsi="Helvetica Neue" w:cs="Helvetica Neue"/>
          <w:sz w:val="16"/>
          <w:szCs w:val="16"/>
        </w:rPr>
        <w:t>2026</w:t>
      </w:r>
      <w:r>
        <w:rPr>
          <w:rFonts w:ascii="Helvetica Neue" w:eastAsia="Helvetica Neue" w:hAnsi="Helvetica Neue" w:cs="Helvetica Neue"/>
          <w:sz w:val="16"/>
          <w:szCs w:val="16"/>
        </w:rPr>
        <w:t>年</w:t>
      </w:r>
      <w:r>
        <w:rPr>
          <w:rFonts w:ascii="Helvetica Neue" w:eastAsia="Helvetica Neue" w:hAnsi="Helvetica Neue" w:cs="Helvetica Neue"/>
          <w:sz w:val="16"/>
          <w:szCs w:val="16"/>
        </w:rPr>
        <w:t>1</w:t>
      </w:r>
      <w:r>
        <w:rPr>
          <w:rFonts w:ascii="Helvetica Neue" w:eastAsia="Helvetica Neue" w:hAnsi="Helvetica Neue" w:cs="Helvetica Neue"/>
          <w:sz w:val="16"/>
          <w:szCs w:val="16"/>
        </w:rPr>
        <w:t>月）、</w:t>
      </w:r>
      <w:hyperlink r:id="rId2">
        <w:r>
          <w:rPr>
            <w:rFonts w:ascii="Helvetica Neue" w:eastAsia="Helvetica Neue" w:hAnsi="Helvetica Neue" w:cs="Helvetica Neue"/>
            <w:color w:val="1155CC"/>
            <w:sz w:val="16"/>
            <w:szCs w:val="16"/>
            <w:u w:val="single"/>
          </w:rPr>
          <w:t>https://rightsofolderpeople.org/wp-content/uploads/2026/02/GAROP-DISCUSSION-PAPER-on-CONCEPTUAL-BASIS-AND-SCOPE-FINAL-30-Jan-2026.pdf</w:t>
        </w:r>
      </w:hyperlink>
      <w:r>
        <w:rPr>
          <w:rFonts w:ascii="Helvetica Neue" w:eastAsia="Helvetica Neue" w:hAnsi="Helvetica Neue" w:cs="Helvetica Neue"/>
          <w:sz w:val="16"/>
          <w:szCs w:val="16"/>
        </w:rPr>
        <w:t xml:space="preserve"> </w:t>
      </w:r>
    </w:p>
  </w:footnote>
  <w:footnote w:id="5">
    <w:p w14:paraId="6447CDF8" w14:textId="77777777" w:rsidR="00106C02" w:rsidRDefault="00F57C07">
      <w:pPr>
        <w:spacing w:line="240" w:lineRule="auto"/>
        <w:jc w:val="both"/>
        <w:rPr>
          <w:rFonts w:ascii="Helvetica Neue" w:eastAsia="Helvetica Neue" w:hAnsi="Helvetica Neue" w:cs="Helvetica Neue"/>
          <w:sz w:val="16"/>
          <w:szCs w:val="16"/>
        </w:rPr>
      </w:pPr>
      <w:r>
        <w:rPr>
          <w:vertAlign w:val="superscript"/>
        </w:rPr>
        <w:footnoteRef/>
      </w:r>
      <w:r>
        <w:rPr>
          <w:rFonts w:ascii="Helvetica Neue" w:eastAsia="Helvetica Neue" w:hAnsi="Helvetica Neue" w:cs="Helvetica Neue"/>
          <w:sz w:val="16"/>
          <w:szCs w:val="16"/>
        </w:rPr>
        <w:t xml:space="preserve"> </w:t>
      </w:r>
      <w:r>
        <w:rPr>
          <w:rFonts w:ascii="Helvetica Neue" w:eastAsia="Helvetica Neue" w:hAnsi="Helvetica Neue" w:cs="Helvetica Neue"/>
          <w:sz w:val="16"/>
          <w:szCs w:val="16"/>
        </w:rPr>
        <w:t>高齢者や権利擁護活動家たちは、フィリピンにおける社会福祉プログラムやサービス（現地では「アユダ」と呼ばれる）の現在の配分システムに対して批判的である。なぜなら、高齢者や援助を受ける人々は単なる「受給者」として扱われ、政府が支援を提供してくれることに感謝すべきであるかのように見なされているが、実際には、これは国家の基本的な義務だからである。これらの福祉プログラムやサービスのための財源は、納税者の税金から賄われている。</w:t>
      </w:r>
      <w:r>
        <w:rPr>
          <w:rFonts w:ascii="Helvetica Neue" w:eastAsia="Helvetica Neue" w:hAnsi="Helvetica Neue" w:cs="Helvetica Neue"/>
          <w:sz w:val="16"/>
          <w:szCs w:val="16"/>
        </w:rPr>
        <w:t xml:space="preserve"> </w:t>
      </w:r>
    </w:p>
  </w:footnote>
  <w:footnote w:id="6">
    <w:p w14:paraId="31B59DAD" w14:textId="3B4DE1FA" w:rsidR="00106C02" w:rsidRDefault="00F57C07">
      <w:pPr>
        <w:spacing w:line="240" w:lineRule="auto"/>
        <w:rPr>
          <w:rFonts w:ascii="Helvetica Neue" w:eastAsia="Helvetica Neue" w:hAnsi="Helvetica Neue" w:cs="Helvetica Neue"/>
          <w:sz w:val="16"/>
          <w:szCs w:val="16"/>
        </w:rPr>
      </w:pPr>
      <w:r>
        <w:rPr>
          <w:vertAlign w:val="superscript"/>
        </w:rPr>
        <w:footnoteRef/>
      </w:r>
      <w:r>
        <w:rPr>
          <w:rFonts w:ascii="Helvetica Neue" w:eastAsia="Helvetica Neue" w:hAnsi="Helvetica Neue" w:cs="Helvetica Neue"/>
          <w:sz w:val="16"/>
          <w:szCs w:val="16"/>
        </w:rPr>
        <w:t xml:space="preserve"> </w:t>
      </w:r>
      <w:r>
        <w:rPr>
          <w:rFonts w:ascii="Helvetica Neue" w:eastAsia="Helvetica Neue" w:hAnsi="Helvetica Neue" w:cs="Helvetica Neue"/>
          <w:sz w:val="16"/>
          <w:szCs w:val="16"/>
        </w:rPr>
        <w:t>協議の参加者たちはまた、</w:t>
      </w:r>
      <w:r>
        <w:rPr>
          <w:rFonts w:ascii="Helvetica Neue" w:eastAsia="Helvetica Neue" w:hAnsi="Helvetica Neue" w:cs="Helvetica Neue"/>
          <w:sz w:val="16"/>
          <w:szCs w:val="16"/>
        </w:rPr>
        <w:t>PANEL</w:t>
      </w:r>
      <w:r>
        <w:rPr>
          <w:rFonts w:ascii="Helvetica Neue" w:eastAsia="Helvetica Neue" w:hAnsi="Helvetica Neue" w:cs="Helvetica Neue"/>
          <w:sz w:val="16"/>
          <w:szCs w:val="16"/>
        </w:rPr>
        <w:t>の原則、すなわち「参加（</w:t>
      </w:r>
      <w:r>
        <w:rPr>
          <w:rFonts w:ascii="Helvetica Neue" w:eastAsia="Helvetica Neue" w:hAnsi="Helvetica Neue" w:cs="Helvetica Neue"/>
          <w:sz w:val="16"/>
          <w:szCs w:val="16"/>
        </w:rPr>
        <w:t>Participation</w:t>
      </w:r>
      <w:r>
        <w:rPr>
          <w:rFonts w:ascii="Helvetica Neue" w:eastAsia="Helvetica Neue" w:hAnsi="Helvetica Neue" w:cs="Helvetica Neue"/>
          <w:sz w:val="16"/>
          <w:szCs w:val="16"/>
        </w:rPr>
        <w:t>）」「説明責任（</w:t>
      </w:r>
      <w:r>
        <w:rPr>
          <w:rFonts w:ascii="Helvetica Neue" w:eastAsia="Helvetica Neue" w:hAnsi="Helvetica Neue" w:cs="Helvetica Neue"/>
          <w:sz w:val="16"/>
          <w:szCs w:val="16"/>
        </w:rPr>
        <w:t>Accountability</w:t>
      </w:r>
      <w:r>
        <w:rPr>
          <w:rFonts w:ascii="Helvetica Neue" w:eastAsia="Helvetica Neue" w:hAnsi="Helvetica Neue" w:cs="Helvetica Neue"/>
          <w:sz w:val="16"/>
          <w:szCs w:val="16"/>
        </w:rPr>
        <w:t>）」「</w:t>
      </w:r>
      <w:r w:rsidR="007D4E3D">
        <w:rPr>
          <w:rFonts w:ascii="ＭＳ 明朝" w:eastAsia="ＭＳ 明朝" w:hAnsi="ＭＳ 明朝" w:cs="ＭＳ 明朝" w:hint="eastAsia"/>
          <w:sz w:val="16"/>
          <w:szCs w:val="16"/>
        </w:rPr>
        <w:t>無</w:t>
      </w:r>
      <w:r>
        <w:rPr>
          <w:rFonts w:ascii="Helvetica Neue" w:eastAsia="Helvetica Neue" w:hAnsi="Helvetica Neue" w:cs="Helvetica Neue"/>
          <w:sz w:val="16"/>
          <w:szCs w:val="16"/>
        </w:rPr>
        <w:t>差別と平等（</w:t>
      </w:r>
      <w:r>
        <w:rPr>
          <w:rFonts w:ascii="Helvetica Neue" w:eastAsia="Helvetica Neue" w:hAnsi="Helvetica Neue" w:cs="Helvetica Neue"/>
          <w:sz w:val="16"/>
          <w:szCs w:val="16"/>
        </w:rPr>
        <w:t>Non-discrimination and equality</w:t>
      </w:r>
      <w:r>
        <w:rPr>
          <w:rFonts w:ascii="Helvetica Neue" w:eastAsia="Helvetica Neue" w:hAnsi="Helvetica Neue" w:cs="Helvetica Neue"/>
          <w:sz w:val="16"/>
          <w:szCs w:val="16"/>
        </w:rPr>
        <w:t>）」「エンパワーメント（</w:t>
      </w:r>
      <w:r>
        <w:rPr>
          <w:rFonts w:ascii="Helvetica Neue" w:eastAsia="Helvetica Neue" w:hAnsi="Helvetica Neue" w:cs="Helvetica Neue"/>
          <w:sz w:val="16"/>
          <w:szCs w:val="16"/>
        </w:rPr>
        <w:t>Empowerment</w:t>
      </w:r>
      <w:r>
        <w:rPr>
          <w:rFonts w:ascii="Helvetica Neue" w:eastAsia="Helvetica Neue" w:hAnsi="Helvetica Neue" w:cs="Helvetica Neue"/>
          <w:sz w:val="16"/>
          <w:szCs w:val="16"/>
        </w:rPr>
        <w:t>）」「合法性（</w:t>
      </w:r>
      <w:r>
        <w:rPr>
          <w:rFonts w:ascii="Helvetica Neue" w:eastAsia="Helvetica Neue" w:hAnsi="Helvetica Neue" w:cs="Helvetica Neue"/>
          <w:sz w:val="16"/>
          <w:szCs w:val="16"/>
        </w:rPr>
        <w:t>Legality</w:t>
      </w:r>
      <w:r>
        <w:rPr>
          <w:rFonts w:ascii="Helvetica Neue" w:eastAsia="Helvetica Neue" w:hAnsi="Helvetica Neue" w:cs="Helvetica Neue"/>
          <w:sz w:val="16"/>
          <w:szCs w:val="16"/>
        </w:rPr>
        <w:t>）」を挙げた。</w:t>
      </w:r>
      <w:r>
        <w:rPr>
          <w:rFonts w:ascii="Helvetica Neue" w:eastAsia="Helvetica Neue" w:hAnsi="Helvetica Neue" w:cs="Helvetica Neue"/>
          <w:sz w:val="16"/>
          <w:szCs w:val="16"/>
        </w:rPr>
        <w:t xml:space="preserve"> </w:t>
      </w:r>
    </w:p>
  </w:footnote>
  <w:footnote w:id="7">
    <w:p w14:paraId="1F6ED5FC" w14:textId="77777777" w:rsidR="00106C02" w:rsidRDefault="00F57C07">
      <w:pPr>
        <w:spacing w:line="240" w:lineRule="auto"/>
        <w:jc w:val="both"/>
        <w:rPr>
          <w:rFonts w:ascii="Helvetica Neue" w:eastAsia="Helvetica Neue" w:hAnsi="Helvetica Neue" w:cs="Helvetica Neue"/>
          <w:sz w:val="16"/>
          <w:szCs w:val="16"/>
        </w:rPr>
      </w:pPr>
      <w:r>
        <w:rPr>
          <w:vertAlign w:val="superscript"/>
        </w:rPr>
        <w:footnoteRef/>
      </w:r>
      <w:r>
        <w:rPr>
          <w:rFonts w:ascii="Helvetica Neue" w:eastAsia="Helvetica Neue" w:hAnsi="Helvetica Neue" w:cs="Helvetica Neue"/>
          <w:sz w:val="16"/>
          <w:szCs w:val="16"/>
        </w:rPr>
        <w:t xml:space="preserve"> </w:t>
      </w:r>
      <w:r>
        <w:rPr>
          <w:rFonts w:ascii="Helvetica Neue" w:eastAsia="Helvetica Neue" w:hAnsi="Helvetica Neue" w:cs="Helvetica Neue"/>
          <w:sz w:val="16"/>
          <w:szCs w:val="16"/>
        </w:rPr>
        <w:t>アブラハム・マズローによる欲求の階層：生理的欲求、安全の欲求、愛と帰属の欲求、尊重の欲求、自己実現の欲求。協議では、社会がしばしば身体的・経済的ニーズに過度に焦点を当てがちである一方、高齢者にも自己実現のニーズがあることが強調された。</w:t>
      </w:r>
    </w:p>
  </w:footnote>
  <w:footnote w:id="8">
    <w:p w14:paraId="7A13D9BE" w14:textId="50288182" w:rsidR="00106C02" w:rsidRDefault="00F57C07">
      <w:pPr>
        <w:spacing w:line="240" w:lineRule="auto"/>
        <w:rPr>
          <w:sz w:val="20"/>
          <w:szCs w:val="20"/>
        </w:rPr>
      </w:pPr>
      <w:r>
        <w:rPr>
          <w:vertAlign w:val="superscript"/>
        </w:rPr>
        <w:footnoteRef/>
      </w:r>
      <w:r>
        <w:rPr>
          <w:sz w:val="20"/>
          <w:szCs w:val="20"/>
        </w:rPr>
        <w:t xml:space="preserve"> </w:t>
      </w:r>
      <w:r>
        <w:rPr>
          <w:rFonts w:ascii="Helvetica Neue" w:eastAsia="Helvetica Neue" w:hAnsi="Helvetica Neue" w:cs="Helvetica Neue"/>
          <w:sz w:val="16"/>
          <w:szCs w:val="16"/>
        </w:rPr>
        <w:t>障害者</w:t>
      </w:r>
      <w:r>
        <w:rPr>
          <w:rFonts w:ascii="Helvetica Neue" w:eastAsia="Helvetica Neue" w:hAnsi="Helvetica Neue" w:cs="Helvetica Neue"/>
          <w:sz w:val="16"/>
          <w:szCs w:val="16"/>
        </w:rPr>
        <w:t>権利</w:t>
      </w:r>
      <w:r>
        <w:rPr>
          <w:rFonts w:ascii="Helvetica Neue" w:eastAsia="Helvetica Neue" w:hAnsi="Helvetica Neue" w:cs="Helvetica Neue"/>
          <w:sz w:val="16"/>
          <w:szCs w:val="16"/>
        </w:rPr>
        <w:t>条約、第</w:t>
      </w:r>
      <w:r>
        <w:rPr>
          <w:rFonts w:ascii="Helvetica Neue" w:eastAsia="Helvetica Neue" w:hAnsi="Helvetica Neue" w:cs="Helvetica Neue"/>
          <w:sz w:val="16"/>
          <w:szCs w:val="16"/>
        </w:rPr>
        <w:t>2</w:t>
      </w:r>
      <w:r>
        <w:rPr>
          <w:rFonts w:ascii="Helvetica Neue" w:eastAsia="Helvetica Neue" w:hAnsi="Helvetica Neue" w:cs="Helvetica Neue"/>
          <w:sz w:val="16"/>
          <w:szCs w:val="16"/>
        </w:rPr>
        <w:t>条、</w:t>
      </w:r>
      <w:r>
        <w:rPr>
          <w:rFonts w:ascii="Helvetica Neue" w:eastAsia="Helvetica Neue" w:hAnsi="Helvetica Neue" w:cs="Helvetica Neue"/>
          <w:sz w:val="16"/>
          <w:szCs w:val="16"/>
        </w:rPr>
        <w:t>2006</w:t>
      </w:r>
      <w:r>
        <w:rPr>
          <w:rFonts w:ascii="Helvetica Neue" w:eastAsia="Helvetica Neue" w:hAnsi="Helvetica Neue" w:cs="Helvetica Neue"/>
          <w:sz w:val="16"/>
          <w:szCs w:val="16"/>
        </w:rPr>
        <w:t>年</w:t>
      </w:r>
      <w:r>
        <w:rPr>
          <w:rFonts w:ascii="Helvetica Neue" w:eastAsia="Helvetica Neue" w:hAnsi="Helvetica Neue" w:cs="Helvetica Neue"/>
          <w:sz w:val="16"/>
          <w:szCs w:val="16"/>
        </w:rPr>
        <w:t>12</w:t>
      </w:r>
      <w:r>
        <w:rPr>
          <w:rFonts w:ascii="Helvetica Neue" w:eastAsia="Helvetica Neue" w:hAnsi="Helvetica Neue" w:cs="Helvetica Neue"/>
          <w:sz w:val="16"/>
          <w:szCs w:val="16"/>
        </w:rPr>
        <w:t>月</w:t>
      </w:r>
      <w:r>
        <w:rPr>
          <w:rFonts w:ascii="Helvetica Neue" w:eastAsia="Helvetica Neue" w:hAnsi="Helvetica Neue" w:cs="Helvetica Neue"/>
          <w:sz w:val="16"/>
          <w:szCs w:val="16"/>
        </w:rPr>
        <w:t>12</w:t>
      </w:r>
      <w:r>
        <w:rPr>
          <w:rFonts w:ascii="Helvetica Neue" w:eastAsia="Helvetica Neue" w:hAnsi="Helvetica Neue" w:cs="Helvetica Neue"/>
          <w:sz w:val="16"/>
          <w:szCs w:val="16"/>
        </w:rPr>
        <w:t>日。</w:t>
      </w:r>
      <w:hyperlink r:id="rId3">
        <w:r>
          <w:rPr>
            <w:rFonts w:ascii="Helvetica Neue" w:eastAsia="Helvetica Neue" w:hAnsi="Helvetica Neue" w:cs="Helvetica Neue"/>
            <w:color w:val="1155CC"/>
            <w:sz w:val="16"/>
            <w:szCs w:val="16"/>
            <w:u w:val="single"/>
          </w:rPr>
          <w:t>https://www.ohchr.org/en/instruments-mechanisms/instruments/convention-rights-persons-disabilities</w:t>
        </w:r>
      </w:hyperlink>
      <w:r>
        <w:rPr>
          <w:rFonts w:ascii="Helvetica Neue" w:eastAsia="Helvetica Neue" w:hAnsi="Helvetica Neue" w:cs="Helvetica Neue"/>
          <w:sz w:val="16"/>
          <w:szCs w:val="16"/>
        </w:rPr>
        <w:t xml:space="preserve"> </w:t>
      </w:r>
    </w:p>
  </w:footnote>
  <w:footnote w:id="9">
    <w:p w14:paraId="66954CE0" w14:textId="77777777" w:rsidR="00106C02" w:rsidRDefault="00F57C07">
      <w:pPr>
        <w:spacing w:line="240" w:lineRule="auto"/>
        <w:rPr>
          <w:rFonts w:ascii="Helvetica Neue" w:eastAsia="Helvetica Neue" w:hAnsi="Helvetica Neue" w:cs="Helvetica Neue"/>
          <w:sz w:val="16"/>
          <w:szCs w:val="16"/>
        </w:rPr>
      </w:pPr>
      <w:r>
        <w:rPr>
          <w:vertAlign w:val="superscript"/>
        </w:rPr>
        <w:footnoteRef/>
      </w:r>
      <w:r>
        <w:rPr>
          <w:rFonts w:ascii="Helvetica Neue" w:eastAsia="Helvetica Neue" w:hAnsi="Helvetica Neue" w:cs="Helvetica Neue"/>
          <w:sz w:val="16"/>
          <w:szCs w:val="16"/>
        </w:rPr>
        <w:t xml:space="preserve"> </w:t>
      </w:r>
      <w:r>
        <w:rPr>
          <w:rFonts w:ascii="Helvetica Neue" w:eastAsia="Helvetica Neue" w:hAnsi="Helvetica Neue" w:cs="Helvetica Neue"/>
          <w:sz w:val="16"/>
          <w:szCs w:val="16"/>
        </w:rPr>
        <w:t>同上。</w:t>
      </w:r>
    </w:p>
  </w:footnote>
  <w:footnote w:id="10">
    <w:p w14:paraId="08B31B26" w14:textId="77777777" w:rsidR="00106C02" w:rsidRDefault="00F57C07">
      <w:pPr>
        <w:spacing w:line="240" w:lineRule="auto"/>
        <w:rPr>
          <w:rFonts w:ascii="Helvetica Neue" w:eastAsia="Helvetica Neue" w:hAnsi="Helvetica Neue" w:cs="Helvetica Neue"/>
          <w:sz w:val="16"/>
          <w:szCs w:val="16"/>
        </w:rPr>
      </w:pPr>
      <w:r>
        <w:rPr>
          <w:vertAlign w:val="superscript"/>
        </w:rPr>
        <w:footnoteRef/>
      </w:r>
      <w:r>
        <w:rPr>
          <w:rFonts w:ascii="Helvetica Neue" w:eastAsia="Helvetica Neue" w:hAnsi="Helvetica Neue" w:cs="Helvetica Neue"/>
          <w:sz w:val="16"/>
          <w:szCs w:val="16"/>
        </w:rPr>
        <w:t xml:space="preserve"> </w:t>
      </w:r>
      <w:r>
        <w:rPr>
          <w:rFonts w:ascii="Helvetica Neue" w:eastAsia="Helvetica Neue" w:hAnsi="Helvetica Neue" w:cs="Helvetica Neue"/>
          <w:sz w:val="16"/>
          <w:szCs w:val="16"/>
        </w:rPr>
        <w:t>経済的、社会的および文化的権利に関する国際規約第</w:t>
      </w:r>
      <w:r>
        <w:rPr>
          <w:rFonts w:ascii="Helvetica Neue" w:eastAsia="Helvetica Neue" w:hAnsi="Helvetica Neue" w:cs="Helvetica Neue"/>
          <w:sz w:val="16"/>
          <w:szCs w:val="16"/>
        </w:rPr>
        <w:t>12</w:t>
      </w:r>
      <w:r>
        <w:rPr>
          <w:rFonts w:ascii="Helvetica Neue" w:eastAsia="Helvetica Neue" w:hAnsi="Helvetica Neue" w:cs="Helvetica Neue"/>
          <w:sz w:val="16"/>
          <w:szCs w:val="16"/>
        </w:rPr>
        <w:t>条、</w:t>
      </w:r>
      <w:r>
        <w:rPr>
          <w:rFonts w:ascii="Helvetica Neue" w:eastAsia="Helvetica Neue" w:hAnsi="Helvetica Neue" w:cs="Helvetica Neue"/>
          <w:sz w:val="16"/>
          <w:szCs w:val="16"/>
        </w:rPr>
        <w:t>1966</w:t>
      </w:r>
      <w:r>
        <w:rPr>
          <w:rFonts w:ascii="Helvetica Neue" w:eastAsia="Helvetica Neue" w:hAnsi="Helvetica Neue" w:cs="Helvetica Neue"/>
          <w:sz w:val="16"/>
          <w:szCs w:val="16"/>
        </w:rPr>
        <w:t>年</w:t>
      </w:r>
      <w:r>
        <w:rPr>
          <w:rFonts w:ascii="Helvetica Neue" w:eastAsia="Helvetica Neue" w:hAnsi="Helvetica Neue" w:cs="Helvetica Neue"/>
          <w:sz w:val="16"/>
          <w:szCs w:val="16"/>
        </w:rPr>
        <w:t>12</w:t>
      </w:r>
      <w:r>
        <w:rPr>
          <w:rFonts w:ascii="Helvetica Neue" w:eastAsia="Helvetica Neue" w:hAnsi="Helvetica Neue" w:cs="Helvetica Neue"/>
          <w:sz w:val="16"/>
          <w:szCs w:val="16"/>
        </w:rPr>
        <w:t>月</w:t>
      </w:r>
      <w:r>
        <w:rPr>
          <w:rFonts w:ascii="Helvetica Neue" w:eastAsia="Helvetica Neue" w:hAnsi="Helvetica Neue" w:cs="Helvetica Neue"/>
          <w:sz w:val="16"/>
          <w:szCs w:val="16"/>
        </w:rPr>
        <w:t>16</w:t>
      </w:r>
      <w:r>
        <w:rPr>
          <w:rFonts w:ascii="Helvetica Neue" w:eastAsia="Helvetica Neue" w:hAnsi="Helvetica Neue" w:cs="Helvetica Neue"/>
          <w:sz w:val="16"/>
          <w:szCs w:val="16"/>
        </w:rPr>
        <w:t>日、</w:t>
      </w:r>
      <w:hyperlink r:id="rId4">
        <w:r>
          <w:rPr>
            <w:rFonts w:ascii="Helvetica Neue" w:eastAsia="Helvetica Neue" w:hAnsi="Helvetica Neue" w:cs="Helvetica Neue"/>
            <w:color w:val="1155CC"/>
            <w:sz w:val="16"/>
            <w:szCs w:val="16"/>
            <w:u w:val="single"/>
          </w:rPr>
          <w:t>https://www.ohchr.org/en/instruments-mechanisms/instruments/international-covenant-economic-social-and-cultural-rights</w:t>
        </w:r>
      </w:hyperlink>
      <w:r>
        <w:rPr>
          <w:rFonts w:ascii="Helvetica Neue" w:eastAsia="Helvetica Neue" w:hAnsi="Helvetica Neue" w:cs="Helvetica Neue"/>
          <w:sz w:val="16"/>
          <w:szCs w:val="16"/>
        </w:rPr>
        <w:t xml:space="preserve"> </w:t>
      </w:r>
    </w:p>
  </w:footnote>
  <w:footnote w:id="11">
    <w:p w14:paraId="5A253840" w14:textId="1953658D" w:rsidR="00106C02" w:rsidRPr="00B03CDB" w:rsidRDefault="00F57C07">
      <w:pPr>
        <w:spacing w:line="240" w:lineRule="auto"/>
        <w:rPr>
          <w:sz w:val="18"/>
          <w:szCs w:val="18"/>
        </w:rPr>
      </w:pPr>
      <w:r>
        <w:rPr>
          <w:vertAlign w:val="superscript"/>
        </w:rPr>
        <w:footnoteRef/>
      </w:r>
      <w:r>
        <w:rPr>
          <w:sz w:val="16"/>
          <w:szCs w:val="16"/>
        </w:rPr>
        <w:t xml:space="preserve"> </w:t>
      </w:r>
      <w:r w:rsidR="00B03CDB" w:rsidRPr="00B03CDB">
        <w:rPr>
          <w:rFonts w:hint="eastAsia"/>
          <w:sz w:val="18"/>
          <w:szCs w:val="18"/>
        </w:rPr>
        <w:t>子ども</w:t>
      </w:r>
      <w:r w:rsidRPr="00B03CDB">
        <w:rPr>
          <w:sz w:val="18"/>
          <w:szCs w:val="18"/>
        </w:rPr>
        <w:t>の権利</w:t>
      </w:r>
      <w:r w:rsidRPr="00B03CDB">
        <w:rPr>
          <w:sz w:val="18"/>
          <w:szCs w:val="18"/>
        </w:rPr>
        <w:t>条約（</w:t>
      </w:r>
      <w:r w:rsidRPr="00B03CDB">
        <w:rPr>
          <w:sz w:val="18"/>
          <w:szCs w:val="18"/>
        </w:rPr>
        <w:t>CRC</w:t>
      </w:r>
      <w:r w:rsidRPr="00B03CDB">
        <w:rPr>
          <w:sz w:val="18"/>
          <w:szCs w:val="18"/>
        </w:rPr>
        <w:t>）第</w:t>
      </w:r>
      <w:r w:rsidRPr="00B03CDB">
        <w:rPr>
          <w:sz w:val="18"/>
          <w:szCs w:val="18"/>
        </w:rPr>
        <w:t>3</w:t>
      </w:r>
      <w:r w:rsidRPr="00B03CDB">
        <w:rPr>
          <w:sz w:val="18"/>
          <w:szCs w:val="18"/>
        </w:rPr>
        <w:t>条</w:t>
      </w:r>
      <w:r w:rsidRPr="00B03CDB">
        <w:rPr>
          <w:sz w:val="18"/>
          <w:szCs w:val="18"/>
        </w:rPr>
        <w:t>1</w:t>
      </w:r>
      <w:r w:rsidRPr="00B03CDB">
        <w:rPr>
          <w:sz w:val="18"/>
          <w:szCs w:val="18"/>
        </w:rPr>
        <w:t>項：「公的または私的な社会福祉機関、裁判所、行政当局、または立法機関によって行われる、児童に関するあらゆる措置において、児童の最善の利益が第一に考慮されなければならない。」</w:t>
      </w:r>
      <w:hyperlink r:id="rId5">
        <w:r w:rsidRPr="00B03CDB">
          <w:rPr>
            <w:color w:val="1155CC"/>
            <w:sz w:val="18"/>
            <w:szCs w:val="18"/>
            <w:u w:val="single"/>
          </w:rPr>
          <w:t xml:space="preserve"> https://www.ohchr.org/en/instruments-mechanisms/instruments/convention-rights-child</w:t>
        </w:r>
      </w:hyperlink>
      <w:r w:rsidRPr="00B03CDB">
        <w:rPr>
          <w:sz w:val="18"/>
          <w:szCs w:val="18"/>
        </w:rPr>
        <w:t xml:space="preserve"> </w:t>
      </w:r>
    </w:p>
  </w:footnote>
  <w:footnote w:id="12">
    <w:p w14:paraId="60EBD8F9" w14:textId="77777777" w:rsidR="00106C02" w:rsidRPr="00B03CDB" w:rsidRDefault="00F57C07">
      <w:pPr>
        <w:spacing w:line="240" w:lineRule="auto"/>
        <w:rPr>
          <w:rFonts w:ascii="Helvetica Neue" w:eastAsia="Helvetica Neue" w:hAnsi="Helvetica Neue" w:cs="Helvetica Neue"/>
          <w:sz w:val="18"/>
          <w:szCs w:val="18"/>
        </w:rPr>
      </w:pPr>
      <w:r w:rsidRPr="00B03CDB">
        <w:rPr>
          <w:sz w:val="18"/>
          <w:szCs w:val="18"/>
          <w:vertAlign w:val="superscript"/>
        </w:rPr>
        <w:footnoteRef/>
      </w:r>
      <w:r w:rsidRPr="00B03CDB">
        <w:rPr>
          <w:rFonts w:ascii="Helvetica Neue" w:eastAsia="Helvetica Neue" w:hAnsi="Helvetica Neue" w:cs="Helvetica Neue"/>
          <w:sz w:val="18"/>
          <w:szCs w:val="18"/>
        </w:rPr>
        <w:t xml:space="preserve"> 1987</w:t>
      </w:r>
      <w:r w:rsidRPr="00B03CDB">
        <w:rPr>
          <w:rFonts w:ascii="Helvetica Neue" w:eastAsia="Helvetica Neue" w:hAnsi="Helvetica Neue" w:cs="Helvetica Neue"/>
          <w:sz w:val="18"/>
          <w:szCs w:val="18"/>
        </w:rPr>
        <w:t>年フィリピン憲法、第</w:t>
      </w:r>
      <w:r w:rsidRPr="00B03CDB">
        <w:rPr>
          <w:rFonts w:ascii="Helvetica Neue" w:eastAsia="Helvetica Neue" w:hAnsi="Helvetica Neue" w:cs="Helvetica Neue"/>
          <w:sz w:val="18"/>
          <w:szCs w:val="18"/>
        </w:rPr>
        <w:t>XV</w:t>
      </w:r>
      <w:r w:rsidRPr="00B03CDB">
        <w:rPr>
          <w:rFonts w:ascii="Helvetica Neue" w:eastAsia="Helvetica Neue" w:hAnsi="Helvetica Neue" w:cs="Helvetica Neue"/>
          <w:sz w:val="18"/>
          <w:szCs w:val="18"/>
        </w:rPr>
        <w:t>条、第</w:t>
      </w:r>
      <w:r w:rsidRPr="00B03CDB">
        <w:rPr>
          <w:rFonts w:ascii="Helvetica Neue" w:eastAsia="Helvetica Neue" w:hAnsi="Helvetica Neue" w:cs="Helvetica Neue"/>
          <w:sz w:val="18"/>
          <w:szCs w:val="18"/>
        </w:rPr>
        <w:t>4</w:t>
      </w:r>
      <w:r w:rsidRPr="00B03CDB">
        <w:rPr>
          <w:rFonts w:ascii="Helvetica Neue" w:eastAsia="Helvetica Neue" w:hAnsi="Helvetica Neue" w:cs="Helvetica Neue"/>
          <w:sz w:val="18"/>
          <w:szCs w:val="18"/>
        </w:rPr>
        <w:t>項。</w:t>
      </w:r>
    </w:p>
  </w:footnote>
  <w:footnote w:id="13">
    <w:p w14:paraId="52EFAD9C" w14:textId="77777777" w:rsidR="00106C02" w:rsidRDefault="00F57C07">
      <w:pPr>
        <w:spacing w:line="240" w:lineRule="auto"/>
        <w:rPr>
          <w:sz w:val="20"/>
          <w:szCs w:val="20"/>
        </w:rPr>
      </w:pPr>
      <w:r>
        <w:rPr>
          <w:vertAlign w:val="superscript"/>
        </w:rPr>
        <w:footnoteRef/>
      </w:r>
      <w:r>
        <w:rPr>
          <w:sz w:val="20"/>
          <w:szCs w:val="20"/>
        </w:rPr>
        <w:t xml:space="preserve"> </w:t>
      </w:r>
      <w:r w:rsidRPr="00B03CDB">
        <w:rPr>
          <w:sz w:val="18"/>
          <w:szCs w:val="18"/>
        </w:rPr>
        <w:t>前文において、以下のような国際労働権利条約や基準に言及するよう推奨する。</w:t>
      </w:r>
      <w:r>
        <w:rPr>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423F1"/>
    <w:multiLevelType w:val="multilevel"/>
    <w:tmpl w:val="2F3A40E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44105CBF"/>
    <w:multiLevelType w:val="multilevel"/>
    <w:tmpl w:val="AF5844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68444767">
    <w:abstractNumId w:val="0"/>
  </w:num>
  <w:num w:numId="2" w16cid:durableId="717048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embedTrueTypeFonts/>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C02"/>
    <w:rsid w:val="00006AEE"/>
    <w:rsid w:val="00106C02"/>
    <w:rsid w:val="001370EC"/>
    <w:rsid w:val="00285EAD"/>
    <w:rsid w:val="00394F9F"/>
    <w:rsid w:val="003D608D"/>
    <w:rsid w:val="004F64E2"/>
    <w:rsid w:val="00551A65"/>
    <w:rsid w:val="007003CD"/>
    <w:rsid w:val="007D4E3D"/>
    <w:rsid w:val="007E3F10"/>
    <w:rsid w:val="00815242"/>
    <w:rsid w:val="00B03CDB"/>
    <w:rsid w:val="00B91319"/>
    <w:rsid w:val="00DB1B2D"/>
    <w:rsid w:val="00DB66FF"/>
    <w:rsid w:val="00F560AE"/>
    <w:rsid w:val="00F57C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4E15B3"/>
  <w15:docId w15:val="{67296530-11A0-43D5-A0BF-8D7A40F57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fr"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3" Type="http://schemas.openxmlformats.org/officeDocument/2006/relationships/hyperlink" Target="https://www.ohchr.org/en/instruments-mechanisms/instruments/convention-rights-persons-disabilities" TargetMode="External"/><Relationship Id="rId2" Type="http://schemas.openxmlformats.org/officeDocument/2006/relationships/hyperlink" Target="https://rightsofolderpeople.org/wp-content/uploads/2026/02/GAROP-DISCUSSION-PAPER-on-CONCEPTUAL-BASIS-AND-SCOPE-FINAL-30-Jan-2026.pdf" TargetMode="External"/><Relationship Id="rId1" Type="http://schemas.openxmlformats.org/officeDocument/2006/relationships/hyperlink" Target="https://ganhri.org/wp-content/uploads/2026/04/GANHRI-Input-IGWG-on-HROP_April-2026.pdf" TargetMode="External"/><Relationship Id="rId5" Type="http://schemas.openxmlformats.org/officeDocument/2006/relationships/hyperlink" Target="https://www.ohchr.org/en/instruments-mechanisms/instruments/convention-rights-child" TargetMode="External"/><Relationship Id="rId4" Type="http://schemas.openxmlformats.org/officeDocument/2006/relationships/hyperlink" Target="https://www.ohchr.org/en/instruments-mechanisms/instruments/international-covenant-economic-social-and-cultural-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Icounter xmlns="d42e65b2-cf21-49c1-b27d-d23f90380c0e">1</AIcounter>
    <Category xmlns="d42e65b2-cf21-49c1-b27d-d23f90380c0e">NHRIs</Category>
    <lcf76f155ced4ddcb4097134ff3c332f xmlns="d42e65b2-cf21-49c1-b27d-d23f90380c0e">
      <Terms xmlns="http://schemas.microsoft.com/office/infopath/2007/PartnerControls"/>
    </lcf76f155ced4ddcb4097134ff3c332f>
    <Filename xmlns="d42e65b2-cf21-49c1-b27d-d23f90380c0e" xsi:nil="true"/>
    <Doctype xmlns="d42e65b2-cf21-49c1-b27d-d23f90380c0e">input</Doctype>
    <TaxCatchAll xmlns="985ec44e-1bab-4c0b-9df0-6ba128686fc9" xsi:nil="true"/>
    <Contributor xmlns="d42e65b2-cf21-49c1-b27d-d23f90380c0e">Commission on Human Rights of the Philippines</Contributor>
    <Status xmlns="d42e65b2-cf21-49c1-b27d-d23f90380c0e">Ready to publish</Status>
    <AItagger xmlns="d42e65b2-cf21-49c1-b27d-d23f90380c0e">false</AItagg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33" ma:contentTypeDescription="Create a new document." ma:contentTypeScope="" ma:versionID="e4152e80b297497bf179b6e599b3a5a8">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c4a1058a1da92cd6dea230ffa20d6228"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Doctype" minOccurs="0"/>
                <xsd:element ref="ns2:Category" minOccurs="0"/>
                <xsd:element ref="ns2:Filenam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Status" minOccurs="0"/>
                <xsd:element ref="ns2:AItagger" minOccurs="0"/>
                <xsd:element ref="ns2:AIcou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1" nillable="true" ma:displayName="Contributor" ma:description="Who submitted this document?&#10;Click and enter the contributor's name" ma:internalName="Contributor">
      <xsd:simpleType>
        <xsd:restriction base="dms:Text">
          <xsd:maxLength value="255"/>
        </xsd:restriction>
      </xsd:simpleType>
    </xsd:element>
    <xsd:element name="Doctype" ma:index="2" nillable="true" ma:displayName="Doc type" ma:default="input" ma:format="Dropdown" ma:internalName="Doctype" ma:readOnly="fals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Category" ma:index="3" nillable="true" ma:displayName="Category" ma:format="Dropdown" ma:internalName="Category" ma:readOnly="false">
      <xsd:simpleType>
        <xsd:union memberTypes="dms:Text">
          <xsd:simpleType>
            <xsd:restriction base="dms:Choice">
              <xsd:enumeration value="States"/>
              <xsd:enumeration value="NHRIs"/>
              <xsd:enumeration value="UN entities"/>
              <xsd:enumeration value="IGOs"/>
              <xsd:enumeration value="Regional mechanism"/>
              <xsd:enumeration value="National mechanism"/>
              <xsd:enumeration value="CSOs"/>
              <xsd:enumeration value="Private sector"/>
              <xsd:enumeration value="Academia"/>
              <xsd:enumeration value="Indigenous Peoples"/>
              <xsd:enumeration value="Individuals"/>
            </xsd:restriction>
          </xsd:simpleType>
        </xsd:union>
      </xsd:simpleType>
    </xsd:element>
    <xsd:element name="Filename" ma:index="4" nillable="true" ma:displayName="File name" ma:format="Dropdown" ma:hidden="true" ma:internalName="Filename"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default="New" ma:format="Dropdown" ma:hidden="true" ma:internalName="Status">
      <xsd:simpleType>
        <xsd:restriction base="dms:Choice">
          <xsd:enumeration value="New"/>
          <xsd:enumeration value="AI tagging..."/>
          <xsd:enumeration value="AI tagged"/>
          <xsd:enumeration value="AI tagging failed"/>
          <xsd:enumeration value="Human tagged"/>
          <xsd:enumeration value="Preparing for publishing..."/>
          <xsd:enumeration value="Error"/>
          <xsd:enumeration value="Ready to publish"/>
          <xsd:enumeration value="Web published"/>
        </xsd:restriction>
      </xsd:simpleType>
    </xsd:element>
    <xsd:element name="AItagger" ma:index="27" nillable="true" ma:displayName="AI tagger" ma:default="0" ma:format="Dropdown" ma:internalName="AItagger">
      <xsd:simpleType>
        <xsd:restriction base="dms:Boolean"/>
      </xsd:simpleType>
    </xsd:element>
    <xsd:element name="AIcounter" ma:index="28" nillable="true" ma:displayName="AI counter" ma:decimals="0" ma:default="0" ma:description="How many times AI tagger has been triggered" ma:format="Dropdown" ma:internalName="AIcount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readOnly="false"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842870-8B79-47C4-80F1-79A7C29DA7E4}">
  <ds:schemaRefs>
    <ds:schemaRef ds:uri="http://schemas.microsoft.com/office/2006/metadata/properties"/>
    <ds:schemaRef ds:uri="http://schemas.microsoft.com/office/infopath/2007/PartnerControls"/>
    <ds:schemaRef ds:uri="d42e65b2-cf21-49c1-b27d-d23f90380c0e"/>
    <ds:schemaRef ds:uri="985ec44e-1bab-4c0b-9df0-6ba128686fc9"/>
  </ds:schemaRefs>
</ds:datastoreItem>
</file>

<file path=customXml/itemProps2.xml><?xml version="1.0" encoding="utf-8"?>
<ds:datastoreItem xmlns:ds="http://schemas.openxmlformats.org/officeDocument/2006/customXml" ds:itemID="{EAFD8574-6774-4011-A9F2-5E2B259B5C5F}">
  <ds:schemaRefs>
    <ds:schemaRef ds:uri="http://schemas.microsoft.com/sharepoint/v3/contenttype/forms"/>
  </ds:schemaRefs>
</ds:datastoreItem>
</file>

<file path=customXml/itemProps3.xml><?xml version="1.0" encoding="utf-8"?>
<ds:datastoreItem xmlns:ds="http://schemas.openxmlformats.org/officeDocument/2006/customXml" ds:itemID="{7E94838E-D2CA-4A83-92FE-8F14809B4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65b2-cf21-49c1-b27d-d23f90380c0e"/>
    <ds:schemaRef ds:uri="9c2e4527-2efa-4ade-b3d6-b2418af14986"/>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821</Words>
  <Characters>4685</Characters>
  <Application>Microsoft Office Word</Application>
  <DocSecurity>0</DocSecurity>
  <Lines>39</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佐藤久夫</dc:creator>
  <cp:keywords>, docId:2E79520E21659DCA3D31600F711FA17C</cp:keywords>
  <dc:description/>
  <cp:lastModifiedBy>久夫 佐藤</cp:lastModifiedBy>
  <cp:revision>2</cp:revision>
  <cp:lastPrinted>2026-06-01T02:02:00Z</cp:lastPrinted>
  <dcterms:created xsi:type="dcterms:W3CDTF">2026-06-05T13:38:00Z</dcterms:created>
  <dcterms:modified xsi:type="dcterms:W3CDTF">2026-06-05T13:38:00Z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
  </property>
</Properties>
</file>