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A2461" w14:textId="77777777" w:rsidR="00564070" w:rsidRDefault="00E41FBF">
      <w:pPr>
        <w:ind w:left="4140"/>
        <w:rPr>
          <w:rFonts w:ascii="Times New Roman"/>
          <w:sz w:val="20"/>
        </w:rPr>
      </w:pPr>
      <w:r>
        <w:rPr>
          <w:rFonts w:ascii="Times New Roman"/>
          <w:noProof/>
          <w:sz w:val="20"/>
        </w:rPr>
        <w:drawing>
          <wp:inline distT="0" distB="0" distL="0" distR="0" wp14:anchorId="5E80A8B9" wp14:editId="08D59B20">
            <wp:extent cx="1152525" cy="1152525"/>
            <wp:effectExtent l="0" t="0" r="0" b="0"/>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7" cstate="print"/>
                    <a:stretch>
                      <a:fillRect/>
                    </a:stretch>
                  </pic:blipFill>
                  <pic:spPr>
                    <a:xfrm>
                      <a:off x="0" y="0"/>
                      <a:ext cx="1152525" cy="1152525"/>
                    </a:xfrm>
                    <a:prstGeom prst="rect">
                      <a:avLst/>
                    </a:prstGeom>
                  </pic:spPr>
                </pic:pic>
              </a:graphicData>
            </a:graphic>
          </wp:inline>
        </w:drawing>
      </w:r>
    </w:p>
    <w:p w14:paraId="5C326E9C" w14:textId="77777777" w:rsidR="00564070" w:rsidRDefault="00564070">
      <w:pPr>
        <w:pStyle w:val="a3"/>
        <w:rPr>
          <w:rFonts w:ascii="Times New Roman"/>
        </w:rPr>
      </w:pPr>
    </w:p>
    <w:p w14:paraId="20C5BD89" w14:textId="6B38DDEE" w:rsidR="009A737C" w:rsidRDefault="00BE298F">
      <w:pPr>
        <w:pStyle w:val="a3"/>
        <w:spacing w:line="319" w:lineRule="auto"/>
        <w:ind w:left="204" w:right="1290" w:firstLine="2"/>
        <w:jc w:val="center"/>
        <w:rPr>
          <w:rFonts w:ascii="BIZ UDPゴシック" w:eastAsia="BIZ UDPゴシック" w:hAnsi="BIZ UDPゴシック"/>
          <w:w w:val="105"/>
          <w:lang w:eastAsia="ja-JP"/>
        </w:rPr>
      </w:pPr>
      <w:r>
        <w:rPr>
          <w:rFonts w:ascii="BIZ UDPゴシック" w:eastAsia="BIZ UDPゴシック" w:hAnsi="BIZ UDPゴシック" w:hint="eastAsia"/>
          <w:w w:val="105"/>
          <w:lang w:eastAsia="ja-JP"/>
        </w:rPr>
        <w:t xml:space="preserve">038　</w:t>
      </w:r>
      <w:r w:rsidRPr="009A737C">
        <w:rPr>
          <w:rFonts w:ascii="BIZ UDPゴシック" w:eastAsia="BIZ UDPゴシック" w:hAnsi="BIZ UDPゴシック"/>
          <w:w w:val="105"/>
          <w:lang w:eastAsia="ja-JP"/>
        </w:rPr>
        <w:t>高齢者の人権に関する法的拘束力のある文書の</w:t>
      </w:r>
    </w:p>
    <w:p w14:paraId="35D2A42D" w14:textId="6282F1AB" w:rsidR="00277D9C" w:rsidRDefault="00277D9C">
      <w:pPr>
        <w:pStyle w:val="a3"/>
        <w:spacing w:line="319" w:lineRule="auto"/>
        <w:ind w:left="204" w:right="1290" w:firstLine="2"/>
        <w:jc w:val="center"/>
        <w:rPr>
          <w:rFonts w:ascii="BIZ UDPゴシック" w:eastAsia="BIZ UDPゴシック" w:hAnsi="BIZ UDPゴシック"/>
          <w:w w:val="105"/>
          <w:lang w:eastAsia="ja-JP"/>
        </w:rPr>
      </w:pPr>
      <w:r>
        <w:rPr>
          <w:rFonts w:ascii="BIZ UDPゴシック" w:eastAsia="BIZ UDPゴシック" w:hAnsi="BIZ UDPゴシック" w:hint="eastAsia"/>
          <w:w w:val="105"/>
          <w:lang w:eastAsia="ja-JP"/>
        </w:rPr>
        <w:t>全体的な</w:t>
      </w:r>
      <w:r w:rsidRPr="009A737C">
        <w:rPr>
          <w:rFonts w:ascii="BIZ UDPゴシック" w:eastAsia="BIZ UDPゴシック" w:hAnsi="BIZ UDPゴシック"/>
          <w:w w:val="105"/>
          <w:lang w:eastAsia="ja-JP"/>
        </w:rPr>
        <w:t>枠組み、構成、および指針</w:t>
      </w:r>
      <w:r w:rsidR="00BE298F">
        <w:rPr>
          <w:rFonts w:ascii="BIZ UDPゴシック" w:eastAsia="BIZ UDPゴシック" w:hAnsi="BIZ UDPゴシック" w:hint="eastAsia"/>
          <w:w w:val="105"/>
          <w:lang w:eastAsia="ja-JP"/>
        </w:rPr>
        <w:t>となる</w:t>
      </w:r>
      <w:r w:rsidRPr="009A737C">
        <w:rPr>
          <w:rFonts w:ascii="BIZ UDPゴシック" w:eastAsia="BIZ UDPゴシック" w:hAnsi="BIZ UDPゴシック"/>
          <w:w w:val="105"/>
          <w:lang w:eastAsia="ja-JP"/>
        </w:rPr>
        <w:t>原則に関する</w:t>
      </w:r>
    </w:p>
    <w:p w14:paraId="12F18155" w14:textId="6A321E90" w:rsidR="00564070" w:rsidRPr="009A737C" w:rsidRDefault="00E41FBF">
      <w:pPr>
        <w:pStyle w:val="a3"/>
        <w:spacing w:line="319" w:lineRule="auto"/>
        <w:ind w:left="204" w:right="1290" w:firstLine="2"/>
        <w:jc w:val="center"/>
        <w:rPr>
          <w:rFonts w:ascii="BIZ UDPゴシック" w:eastAsia="BIZ UDPゴシック" w:hAnsi="BIZ UDPゴシック"/>
          <w:lang w:eastAsia="ja-JP"/>
        </w:rPr>
      </w:pPr>
      <w:r w:rsidRPr="009A737C">
        <w:rPr>
          <w:rFonts w:ascii="BIZ UDPゴシック" w:eastAsia="BIZ UDPゴシック" w:hAnsi="BIZ UDPゴシック"/>
          <w:w w:val="105"/>
          <w:lang w:eastAsia="ja-JP"/>
        </w:rPr>
        <w:t>ジョージア共和国公的擁護</w:t>
      </w:r>
      <w:bookmarkStart w:id="0" w:name="_Hlk232964167"/>
      <w:r w:rsidR="00B7656E">
        <w:rPr>
          <w:rFonts w:ascii="BIZ UDPゴシック" w:eastAsia="BIZ UDPゴシック" w:hAnsi="BIZ UDPゴシック" w:hint="eastAsia"/>
          <w:w w:val="105"/>
          <w:lang w:eastAsia="ja-JP"/>
        </w:rPr>
        <w:t>官</w:t>
      </w:r>
      <w:bookmarkEnd w:id="0"/>
      <w:r w:rsidRPr="009A737C">
        <w:rPr>
          <w:rFonts w:ascii="BIZ UDPゴシック" w:eastAsia="BIZ UDPゴシック" w:hAnsi="BIZ UDPゴシック"/>
          <w:w w:val="105"/>
          <w:lang w:eastAsia="ja-JP"/>
        </w:rPr>
        <w:t>（オンブズマン）事務所からの意見</w:t>
      </w:r>
    </w:p>
    <w:p w14:paraId="26BC17BF" w14:textId="77777777" w:rsidR="00564070" w:rsidRDefault="00564070">
      <w:pPr>
        <w:pStyle w:val="a3"/>
        <w:spacing w:before="97"/>
        <w:rPr>
          <w:rFonts w:ascii="Times New Roman"/>
          <w:lang w:eastAsia="ja-JP"/>
        </w:rPr>
      </w:pPr>
    </w:p>
    <w:p w14:paraId="3DFC108B" w14:textId="77777777" w:rsidR="00FC54CC" w:rsidRPr="00E52D6C" w:rsidRDefault="00E41FBF" w:rsidP="00FC54CC">
      <w:pPr>
        <w:ind w:left="5" w:right="1080"/>
        <w:jc w:val="center"/>
        <w:rPr>
          <w:rFonts w:asciiTheme="minorEastAsia" w:eastAsiaTheme="minorEastAsia" w:hAnsiTheme="minorEastAsia"/>
          <w:sz w:val="21"/>
          <w:szCs w:val="21"/>
          <w:lang w:eastAsia="ja-JP"/>
        </w:rPr>
      </w:pPr>
      <w:r w:rsidRPr="00E52D6C">
        <w:rPr>
          <w:rFonts w:asciiTheme="minorEastAsia" w:eastAsiaTheme="minorEastAsia" w:hAnsiTheme="minorEastAsia"/>
          <w:sz w:val="21"/>
          <w:szCs w:val="21"/>
          <w:lang w:eastAsia="ja-JP"/>
        </w:rPr>
        <w:t>2026</w:t>
      </w:r>
      <w:r w:rsidRPr="00E52D6C">
        <w:rPr>
          <w:rFonts w:asciiTheme="minorEastAsia" w:eastAsiaTheme="minorEastAsia" w:hAnsiTheme="minorEastAsia"/>
          <w:sz w:val="21"/>
          <w:szCs w:val="21"/>
          <w:lang w:eastAsia="ja-JP"/>
        </w:rPr>
        <w:t>年</w:t>
      </w:r>
      <w:r w:rsidRPr="00E52D6C">
        <w:rPr>
          <w:rFonts w:asciiTheme="minorEastAsia" w:eastAsiaTheme="minorEastAsia" w:hAnsiTheme="minorEastAsia"/>
          <w:sz w:val="21"/>
          <w:szCs w:val="21"/>
          <w:lang w:eastAsia="ja-JP"/>
        </w:rPr>
        <w:t>4</w:t>
      </w:r>
      <w:r w:rsidRPr="00E52D6C">
        <w:rPr>
          <w:rFonts w:asciiTheme="minorEastAsia" w:eastAsiaTheme="minorEastAsia" w:hAnsiTheme="minorEastAsia"/>
          <w:sz w:val="21"/>
          <w:szCs w:val="21"/>
          <w:lang w:eastAsia="ja-JP"/>
        </w:rPr>
        <w:t>月</w:t>
      </w:r>
      <w:r w:rsidRPr="00E52D6C">
        <w:rPr>
          <w:rFonts w:asciiTheme="minorEastAsia" w:eastAsiaTheme="minorEastAsia" w:hAnsiTheme="minorEastAsia"/>
          <w:sz w:val="21"/>
          <w:szCs w:val="21"/>
          <w:lang w:eastAsia="ja-JP"/>
        </w:rPr>
        <w:t>22</w:t>
      </w:r>
      <w:r w:rsidRPr="00E52D6C">
        <w:rPr>
          <w:rFonts w:asciiTheme="minorEastAsia" w:eastAsiaTheme="minorEastAsia" w:hAnsiTheme="minorEastAsia"/>
          <w:sz w:val="21"/>
          <w:szCs w:val="21"/>
          <w:lang w:eastAsia="ja-JP"/>
        </w:rPr>
        <w:t>日</w:t>
      </w:r>
    </w:p>
    <w:p w14:paraId="33E7572C" w14:textId="77777777" w:rsidR="00FC54CC" w:rsidRPr="00E52D6C" w:rsidRDefault="00FC54CC" w:rsidP="009142CB">
      <w:pPr>
        <w:spacing w:line="276" w:lineRule="auto"/>
        <w:ind w:left="5" w:right="1080"/>
        <w:jc w:val="center"/>
        <w:rPr>
          <w:rFonts w:asciiTheme="minorEastAsia" w:eastAsiaTheme="minorEastAsia" w:hAnsiTheme="minorEastAsia"/>
          <w:sz w:val="21"/>
          <w:szCs w:val="21"/>
          <w:lang w:eastAsia="ja-JP"/>
        </w:rPr>
      </w:pPr>
    </w:p>
    <w:p w14:paraId="364D17B9" w14:textId="5D003059" w:rsidR="00564070" w:rsidRPr="00E52D6C" w:rsidRDefault="00E41FBF" w:rsidP="009142CB">
      <w:pPr>
        <w:pStyle w:val="10"/>
      </w:pPr>
      <w:r w:rsidRPr="00E52D6C">
        <w:t>ジョージア</w:t>
      </w:r>
      <w:bookmarkStart w:id="1" w:name="_Hlk232937233"/>
      <w:r w:rsidRPr="00E52D6C">
        <w:t>公的擁護</w:t>
      </w:r>
      <w:bookmarkEnd w:id="1"/>
      <w:r w:rsidR="00B7656E" w:rsidRPr="00B7656E">
        <w:rPr>
          <w:rFonts w:hint="eastAsia"/>
        </w:rPr>
        <w:t>官</w:t>
      </w:r>
      <w:r w:rsidRPr="00E52D6C">
        <w:t>事務所</w:t>
      </w:r>
      <w:r w:rsidR="00A27415" w:rsidRPr="00901CF9">
        <w:rPr>
          <w:rFonts w:hint="eastAsia"/>
          <w:sz w:val="18"/>
          <w:szCs w:val="18"/>
        </w:rPr>
        <w:t>（</w:t>
      </w:r>
      <w:r w:rsidR="00A27415" w:rsidRPr="00901CF9">
        <w:rPr>
          <w:sz w:val="18"/>
          <w:szCs w:val="18"/>
        </w:rPr>
        <w:t>The Public Defender</w:t>
      </w:r>
      <w:r w:rsidR="00A565AE" w:rsidRPr="00901CF9">
        <w:rPr>
          <w:sz w:val="18"/>
          <w:szCs w:val="18"/>
        </w:rPr>
        <w:t>’</w:t>
      </w:r>
      <w:r w:rsidR="00A27415" w:rsidRPr="00901CF9">
        <w:rPr>
          <w:sz w:val="18"/>
          <w:szCs w:val="18"/>
        </w:rPr>
        <w:t>s Office</w:t>
      </w:r>
      <w:r w:rsidR="00A27415" w:rsidRPr="00901CF9">
        <w:rPr>
          <w:rFonts w:hint="eastAsia"/>
          <w:sz w:val="18"/>
          <w:szCs w:val="18"/>
        </w:rPr>
        <w:t>）</w:t>
      </w:r>
      <w:r w:rsidRPr="00E52D6C">
        <w:t>は、高齢者の人権に関する法的拘束力のある文書（</w:t>
      </w:r>
      <w:r w:rsidRPr="00E52D6C">
        <w:t>LBI</w:t>
      </w:r>
      <w:r w:rsidRPr="00E52D6C">
        <w:t>）の</w:t>
      </w:r>
      <w:r w:rsidR="00CD0383">
        <w:rPr>
          <w:rFonts w:hint="eastAsia"/>
        </w:rPr>
        <w:t>全体</w:t>
      </w:r>
      <w:r w:rsidRPr="00E52D6C">
        <w:t>的な枠組み、構成、および指針</w:t>
      </w:r>
      <w:r w:rsidR="00F7392D">
        <w:rPr>
          <w:rFonts w:hint="eastAsia"/>
        </w:rPr>
        <w:t>となる</w:t>
      </w:r>
      <w:r w:rsidRPr="00E52D6C">
        <w:t>原則について、国</w:t>
      </w:r>
      <w:r w:rsidR="000A2E8F">
        <w:rPr>
          <w:rFonts w:hint="eastAsia"/>
        </w:rPr>
        <w:t>内</w:t>
      </w:r>
      <w:r w:rsidRPr="00E52D6C">
        <w:t>人権機関</w:t>
      </w:r>
      <w:r w:rsidRPr="00F7392D">
        <w:rPr>
          <w:sz w:val="18"/>
          <w:szCs w:val="18"/>
        </w:rPr>
        <w:t>（</w:t>
      </w:r>
      <w:r w:rsidRPr="00F7392D">
        <w:rPr>
          <w:sz w:val="18"/>
          <w:szCs w:val="18"/>
        </w:rPr>
        <w:t>NHRIs</w:t>
      </w:r>
      <w:r w:rsidRPr="00F7392D">
        <w:rPr>
          <w:sz w:val="18"/>
          <w:szCs w:val="18"/>
        </w:rPr>
        <w:t>）</w:t>
      </w:r>
      <w:r w:rsidR="00F671CD">
        <w:rPr>
          <w:rFonts w:hint="eastAsia"/>
        </w:rPr>
        <w:t>のグループ</w:t>
      </w:r>
      <w:r w:rsidRPr="00E52D6C">
        <w:t>が共同で提出した意見書に対</w:t>
      </w:r>
      <w:r w:rsidR="007A3127">
        <w:rPr>
          <w:rFonts w:hint="eastAsia"/>
        </w:rPr>
        <w:t>する</w:t>
      </w:r>
      <w:r w:rsidRPr="00E52D6C">
        <w:t>支持を表明する。さらに、我々は国内の状況を踏まえたさらなる見解を示</w:t>
      </w:r>
      <w:r w:rsidR="00261D50">
        <w:rPr>
          <w:rFonts w:hint="eastAsia"/>
        </w:rPr>
        <w:t>し</w:t>
      </w:r>
      <w:r w:rsidRPr="00E52D6C">
        <w:t>、この立場を補完したい。</w:t>
      </w:r>
      <w:r w:rsidRPr="00E52D6C">
        <w:t>A</w:t>
      </w:r>
      <w:r w:rsidRPr="00E52D6C">
        <w:t>ステータスの</w:t>
      </w:r>
      <w:r w:rsidRPr="00E52D6C">
        <w:t>NHRI</w:t>
      </w:r>
      <w:r w:rsidRPr="00E52D6C">
        <w:t>として、我々は、高齢者の人権に関する政府間作業部会の第</w:t>
      </w:r>
      <w:r w:rsidRPr="00E52D6C">
        <w:t>1</w:t>
      </w:r>
      <w:r w:rsidRPr="00E52D6C">
        <w:t>回実質会合に向けた準備プロセスに貢献するとともに、高齢者の権利を効果的に</w:t>
      </w:r>
      <w:r w:rsidR="00250975">
        <w:t>保障</w:t>
      </w:r>
      <w:r w:rsidRPr="00E52D6C">
        <w:t>するための法的拘束力のある国際文書の策定が極めて重要であることを強調する。</w:t>
      </w:r>
    </w:p>
    <w:p w14:paraId="4693D458" w14:textId="6776C555" w:rsidR="00564070" w:rsidRPr="00E52D6C" w:rsidRDefault="00E41FBF" w:rsidP="009142CB">
      <w:pPr>
        <w:pStyle w:val="10"/>
      </w:pPr>
      <w:r w:rsidRPr="00E52D6C">
        <w:t>高齢者の権利の</w:t>
      </w:r>
      <w:r w:rsidR="00250975">
        <w:t>保障</w:t>
      </w:r>
      <w:r w:rsidRPr="00E52D6C">
        <w:t>は、</w:t>
      </w:r>
      <w:bookmarkStart w:id="2" w:name="_Hlk232937427"/>
      <w:r w:rsidR="00A66453" w:rsidRPr="00A66453">
        <w:rPr>
          <w:rFonts w:hint="eastAsia"/>
        </w:rPr>
        <w:t>公的擁護</w:t>
      </w:r>
      <w:bookmarkEnd w:id="2"/>
      <w:r w:rsidR="00B7656E" w:rsidRPr="00B7656E">
        <w:rPr>
          <w:rFonts w:hint="eastAsia"/>
        </w:rPr>
        <w:t>官</w:t>
      </w:r>
      <w:r w:rsidRPr="00E52D6C">
        <w:t>事務所（ジョージア</w:t>
      </w:r>
      <w:r w:rsidR="00A66453">
        <w:rPr>
          <w:rFonts w:hint="eastAsia"/>
        </w:rPr>
        <w:t>の</w:t>
      </w:r>
      <w:r w:rsidRPr="00E52D6C">
        <w:t>国</w:t>
      </w:r>
      <w:r w:rsidR="00A66453">
        <w:rPr>
          <w:rFonts w:hint="eastAsia"/>
        </w:rPr>
        <w:t>内</w:t>
      </w:r>
      <w:r w:rsidRPr="00E52D6C">
        <w:t>人権機関）の主要な優先分野の一つ</w:t>
      </w:r>
      <w:r w:rsidR="00A66453">
        <w:rPr>
          <w:rFonts w:hint="eastAsia"/>
        </w:rPr>
        <w:t>である</w:t>
      </w:r>
      <w:r w:rsidRPr="00E52D6C">
        <w:t>。この点</w:t>
      </w:r>
      <w:r w:rsidR="001A1CA2">
        <w:rPr>
          <w:rFonts w:hint="eastAsia"/>
        </w:rPr>
        <w:t>で</w:t>
      </w:r>
      <w:r w:rsidRPr="00E52D6C">
        <w:t>、高齢者の人権状況および長期</w:t>
      </w:r>
      <w:r w:rsidR="00A66453">
        <w:rPr>
          <w:rFonts w:hint="eastAsia"/>
        </w:rPr>
        <w:t>ケア</w:t>
      </w:r>
      <w:r w:rsidRPr="00E52D6C">
        <w:t>施設における権利</w:t>
      </w:r>
      <w:r w:rsidR="00250975">
        <w:t>保障</w:t>
      </w:r>
      <w:r w:rsidRPr="00E52D6C">
        <w:t>の両方について、体系的な</w:t>
      </w:r>
      <w:r w:rsidR="00A66453">
        <w:t>監視</w:t>
      </w:r>
      <w:r w:rsidRPr="00E52D6C">
        <w:t>が行われてい</w:t>
      </w:r>
      <w:r w:rsidR="00A66453">
        <w:rPr>
          <w:rFonts w:hint="eastAsia"/>
        </w:rPr>
        <w:t>る</w:t>
      </w:r>
      <w:r w:rsidRPr="00E52D6C">
        <w:t>。こうした</w:t>
      </w:r>
      <w:r w:rsidR="00A66453">
        <w:t>監視</w:t>
      </w:r>
      <w:r w:rsidRPr="00E52D6C">
        <w:t>の結果は、</w:t>
      </w:r>
      <w:r w:rsidR="001A1CA2" w:rsidRPr="001A1CA2">
        <w:rPr>
          <w:rFonts w:hint="eastAsia"/>
        </w:rPr>
        <w:t>公的擁護</w:t>
      </w:r>
      <w:r w:rsidR="00B7656E" w:rsidRPr="00B7656E">
        <w:rPr>
          <w:rFonts w:hint="eastAsia"/>
        </w:rPr>
        <w:t>官</w:t>
      </w:r>
      <w:r w:rsidRPr="00E52D6C">
        <w:t>が作成する特別報告書に反映されており、そこには所管当局に向けた関連勧告も含まれてい</w:t>
      </w:r>
      <w:r w:rsidR="001A1CA2">
        <w:rPr>
          <w:rFonts w:hint="eastAsia"/>
        </w:rPr>
        <w:t>る</w:t>
      </w:r>
      <w:r w:rsidRPr="00E52D6C">
        <w:t>。さらに、高齢者の権利に関する専用の実質的な章が、議会への</w:t>
      </w:r>
      <w:r w:rsidR="00E118FD" w:rsidRPr="00E118FD">
        <w:rPr>
          <w:rFonts w:hint="eastAsia"/>
        </w:rPr>
        <w:t>公的擁護</w:t>
      </w:r>
      <w:r w:rsidR="00B7656E" w:rsidRPr="00B7656E">
        <w:rPr>
          <w:rFonts w:hint="eastAsia"/>
        </w:rPr>
        <w:t>官</w:t>
      </w:r>
      <w:r w:rsidRPr="00E52D6C">
        <w:t>の年次報告書に盛り込まれてい</w:t>
      </w:r>
      <w:r w:rsidR="001A1CA2">
        <w:rPr>
          <w:rFonts w:hint="eastAsia"/>
        </w:rPr>
        <w:t>る</w:t>
      </w:r>
      <w:r w:rsidRPr="00E52D6C">
        <w:t>。</w:t>
      </w:r>
    </w:p>
    <w:p w14:paraId="30462064" w14:textId="179CF23B" w:rsidR="00564070" w:rsidRPr="00E52D6C" w:rsidRDefault="00E41FBF" w:rsidP="009142CB">
      <w:pPr>
        <w:pStyle w:val="10"/>
      </w:pPr>
      <w:r w:rsidRPr="00974D37">
        <w:t>ジョージア国</w:t>
      </w:r>
      <w:r w:rsidR="003E502C">
        <w:rPr>
          <w:rFonts w:hint="eastAsia"/>
        </w:rPr>
        <w:t>内</w:t>
      </w:r>
      <w:r w:rsidRPr="00974D37">
        <w:t>人権機関は、高齢者に対する暴力の根絶にも特に重点を置いている。長年にわた</w:t>
      </w:r>
      <w:r w:rsidRPr="00E52D6C">
        <w:t>り、</w:t>
      </w:r>
      <w:r w:rsidR="00EB71B5">
        <w:rPr>
          <w:rFonts w:hint="eastAsia"/>
        </w:rPr>
        <w:t>本機関</w:t>
      </w:r>
      <w:r w:rsidRPr="00E52D6C">
        <w:t>は高齢者を含む暴力の被害者である女性の権利</w:t>
      </w:r>
      <w:r w:rsidR="00250975">
        <w:t>保障</w:t>
      </w:r>
      <w:r w:rsidRPr="00E52D6C">
        <w:t>を監視し、数多くの制度的な欠陥を特定してきた。これらの調査結果には、とりわけ、監視活動を通じて明らかになった不備に加え、高齢者向け居住施設の継続的な評価や、監視中に特定された個別の暴力事例から得られた結果が含まれている。</w:t>
      </w:r>
      <w:r w:rsidR="00B224F1" w:rsidRPr="00B224F1">
        <w:rPr>
          <w:rFonts w:hint="eastAsia"/>
        </w:rPr>
        <w:t>公的擁護</w:t>
      </w:r>
      <w:r w:rsidR="00B7656E" w:rsidRPr="00B7656E">
        <w:rPr>
          <w:rFonts w:hint="eastAsia"/>
        </w:rPr>
        <w:t>官</w:t>
      </w:r>
      <w:r w:rsidRPr="00E52D6C">
        <w:t>は、立法・規範的枠組みおよびその実務的な実施の両面から、高齢者に対する暴力に対する国家の対応メカニズムを評価している。</w:t>
      </w:r>
    </w:p>
    <w:p w14:paraId="0D556FCD" w14:textId="7871AC42" w:rsidR="00564070" w:rsidRPr="00E52D6C" w:rsidRDefault="00E41FBF" w:rsidP="009142CB">
      <w:pPr>
        <w:pStyle w:val="10"/>
      </w:pPr>
      <w:r w:rsidRPr="00E52D6C">
        <w:t>高齢者向け長期</w:t>
      </w:r>
      <w:r w:rsidR="009945A6">
        <w:rPr>
          <w:rFonts w:hint="eastAsia"/>
        </w:rPr>
        <w:t>ケア</w:t>
      </w:r>
      <w:r w:rsidRPr="00E52D6C">
        <w:t>施設の監視により、多くの施設が適切な登録や国家の監督なしに、民間資金によって運営されていることが明らかになった。その結果、国家はこれらの施設の活動に関する包括的な情報を欠いている。また、</w:t>
      </w:r>
      <w:r w:rsidR="00362CFB">
        <w:rPr>
          <w:rFonts w:hint="eastAsia"/>
        </w:rPr>
        <w:t>ケア</w:t>
      </w:r>
      <w:r w:rsidRPr="00E52D6C">
        <w:t>の実践は主に医</w:t>
      </w:r>
      <w:r w:rsidR="00422F70">
        <w:rPr>
          <w:rFonts w:hint="eastAsia"/>
        </w:rPr>
        <w:t>学</w:t>
      </w:r>
      <w:r w:rsidRPr="00E52D6C">
        <w:t>モデルに基づいており、これにより高齢者の自律や意思決定プロセスへの積極的な参加が制限され、社会的孤立のリスクが高まっていることも確認された。この状況は、</w:t>
      </w:r>
      <w:r w:rsidR="00476EE5">
        <w:rPr>
          <w:rFonts w:hint="eastAsia"/>
        </w:rPr>
        <w:t>「</w:t>
      </w:r>
      <w:r w:rsidRPr="00E52D6C">
        <w:t>寝たきり</w:t>
      </w:r>
      <w:r w:rsidR="00476EE5">
        <w:rPr>
          <w:rFonts w:hint="eastAsia"/>
        </w:rPr>
        <w:t>」</w:t>
      </w:r>
      <w:r w:rsidRPr="00E52D6C">
        <w:t>や虚弱な高齢者にとって特に深刻であり、彼らはしばしば移動能力や適切な身だしなみを保つ能力を奪われている。その他の懸念事項としては、職員の資格や専門的能力の不足、個別ケア計画の形式主義的な性質、社会活動やレクリエーション活動の欠如、そして効果的なフィードバックや苦情</w:t>
      </w:r>
      <w:r w:rsidR="00EB3BC9">
        <w:rPr>
          <w:rFonts w:hint="eastAsia"/>
        </w:rPr>
        <w:t>解決</w:t>
      </w:r>
      <w:r w:rsidRPr="00E52D6C">
        <w:t>メカニズムの不在などが挙げられる。</w:t>
      </w:r>
    </w:p>
    <w:p w14:paraId="21AECC4A" w14:textId="166CF2AB" w:rsidR="00564070" w:rsidRPr="00E52D6C" w:rsidRDefault="00E41FBF" w:rsidP="009142CB">
      <w:pPr>
        <w:pStyle w:val="10"/>
      </w:pPr>
      <w:r w:rsidRPr="00B51448">
        <w:t>国内の</w:t>
      </w:r>
      <w:r w:rsidR="002C0EB0">
        <w:rPr>
          <w:rFonts w:hint="eastAsia"/>
        </w:rPr>
        <w:t>その他の課題として</w:t>
      </w:r>
      <w:r w:rsidRPr="00B51448">
        <w:t>は、高齢者に対する暴力に関する統計データの収集と分析</w:t>
      </w:r>
      <w:r w:rsidR="001955FF">
        <w:rPr>
          <w:rFonts w:hint="eastAsia"/>
        </w:rPr>
        <w:t>がある</w:t>
      </w:r>
      <w:r w:rsidRPr="00E52D6C">
        <w:t>。</w:t>
      </w:r>
      <w:r w:rsidR="001955FF">
        <w:rPr>
          <w:rFonts w:hint="eastAsia"/>
        </w:rPr>
        <w:t>総合</w:t>
      </w:r>
      <w:r w:rsidRPr="00E52D6C">
        <w:lastRenderedPageBreak/>
        <w:t>的</w:t>
      </w:r>
      <w:r w:rsidR="001955FF">
        <w:rPr>
          <w:rFonts w:hint="eastAsia"/>
        </w:rPr>
        <w:t>で</w:t>
      </w:r>
      <w:r w:rsidRPr="00E52D6C">
        <w:t>詳細なデータが欠如しているため、虐待のパターンや特徴を特定することが困難であり、その結果、</w:t>
      </w:r>
      <w:r w:rsidR="00133046">
        <w:rPr>
          <w:rFonts w:hint="eastAsia"/>
        </w:rPr>
        <w:t>責任</w:t>
      </w:r>
      <w:r w:rsidRPr="00E52D6C">
        <w:t>機関が的を絞った効果的な予防、</w:t>
      </w:r>
      <w:r w:rsidR="00A65AD6">
        <w:rPr>
          <w:rFonts w:hint="eastAsia"/>
        </w:rPr>
        <w:t>保護</w:t>
      </w:r>
      <w:r w:rsidRPr="00E52D6C">
        <w:t>、支援策を策定する能力が制限されている。</w:t>
      </w:r>
    </w:p>
    <w:p w14:paraId="151D9271" w14:textId="29E19A22" w:rsidR="00564070" w:rsidRPr="00E52D6C" w:rsidRDefault="00E41FBF" w:rsidP="009142CB">
      <w:pPr>
        <w:pStyle w:val="10"/>
      </w:pPr>
      <w:r w:rsidRPr="00E52D6C">
        <w:t>さらに、暴力の被害者に対して国が提供するサービスの範囲は依然として限定的である。特に懸念されるのは、</w:t>
      </w:r>
      <w:r w:rsidR="00E11634">
        <w:rPr>
          <w:rFonts w:hint="eastAsia"/>
        </w:rPr>
        <w:t>セルフケア能力</w:t>
      </w:r>
      <w:r w:rsidR="00C008D5">
        <w:rPr>
          <w:rFonts w:hint="eastAsia"/>
        </w:rPr>
        <w:t>に制限のある高齢者を</w:t>
      </w:r>
      <w:r w:rsidRPr="00E52D6C">
        <w:t>シェルターに入所させることである。こうした施設では、</w:t>
      </w:r>
      <w:r w:rsidR="00230ECA">
        <w:rPr>
          <w:rFonts w:hint="eastAsia"/>
        </w:rPr>
        <w:t>セルフ</w:t>
      </w:r>
      <w:r w:rsidR="007E7F48">
        <w:rPr>
          <w:rFonts w:hint="eastAsia"/>
        </w:rPr>
        <w:t>ケア</w:t>
      </w:r>
      <w:r w:rsidRPr="00E52D6C">
        <w:t>が困難な</w:t>
      </w:r>
      <w:r w:rsidR="00230ECA">
        <w:rPr>
          <w:rFonts w:hint="eastAsia"/>
        </w:rPr>
        <w:t>人</w:t>
      </w:r>
      <w:r w:rsidRPr="00E52D6C">
        <w:t>に日常的なケアを提供するための、適切に調整されたサービスや十分な専門職員が欠如していることが多々ある</w:t>
      </w:r>
      <w:r w:rsidR="00F85EEC">
        <w:rPr>
          <w:rFonts w:hint="eastAsia"/>
        </w:rPr>
        <w:t>。</w:t>
      </w:r>
      <w:r w:rsidRPr="00E52D6C">
        <w:t>その結果、</w:t>
      </w:r>
      <w:r w:rsidR="007F5E7E">
        <w:rPr>
          <w:rFonts w:hint="eastAsia"/>
        </w:rPr>
        <w:t>ケア</w:t>
      </w:r>
      <w:r w:rsidRPr="00E52D6C">
        <w:t>スタッフの業務負担が大幅に増大し、サービスの質とスタッフの</w:t>
      </w:r>
      <w:r w:rsidR="00CA2447">
        <w:rPr>
          <w:rFonts w:hint="eastAsia"/>
        </w:rPr>
        <w:t>ウェルビーイング</w:t>
      </w:r>
      <w:r w:rsidRPr="00E52D6C">
        <w:t>の両方に悪影響を及ぼしている。場合によっては、シェルターが</w:t>
      </w:r>
      <w:r w:rsidR="00AA0460">
        <w:rPr>
          <w:rFonts w:hint="eastAsia"/>
        </w:rPr>
        <w:t>セルフケア</w:t>
      </w:r>
      <w:r w:rsidR="00681939">
        <w:rPr>
          <w:rFonts w:hint="eastAsia"/>
        </w:rPr>
        <w:t>の</w:t>
      </w:r>
      <w:r w:rsidRPr="00E52D6C">
        <w:t>困難な利用者の受け入れを拒否することもあり、実際</w:t>
      </w:r>
      <w:r w:rsidR="00DD188E">
        <w:rPr>
          <w:rFonts w:hint="eastAsia"/>
        </w:rPr>
        <w:t>、</w:t>
      </w:r>
      <w:r w:rsidRPr="00E52D6C">
        <w:t>このグループ</w:t>
      </w:r>
      <w:r w:rsidR="00FF7D88">
        <w:rPr>
          <w:rFonts w:hint="eastAsia"/>
        </w:rPr>
        <w:t>は</w:t>
      </w:r>
      <w:r w:rsidRPr="00E52D6C">
        <w:t>不可欠なサービスを利用</w:t>
      </w:r>
      <w:r w:rsidR="008104E8">
        <w:rPr>
          <w:rFonts w:hint="eastAsia"/>
        </w:rPr>
        <w:t>す</w:t>
      </w:r>
      <w:r w:rsidRPr="00E52D6C">
        <w:t>る機会が制限されている。</w:t>
      </w:r>
    </w:p>
    <w:p w14:paraId="2A87B7C4" w14:textId="27A70D40" w:rsidR="00564070" w:rsidRPr="00E52D6C" w:rsidRDefault="00E41FBF" w:rsidP="009142CB">
      <w:pPr>
        <w:pStyle w:val="10"/>
      </w:pPr>
      <w:r w:rsidRPr="00E52D6C">
        <w:t>一方、ホットラインのオペレーター</w:t>
      </w:r>
      <w:r w:rsidR="00AA4C42">
        <w:rPr>
          <w:rFonts w:hint="eastAsia"/>
        </w:rPr>
        <w:t>の</w:t>
      </w:r>
      <w:r w:rsidRPr="00E52D6C">
        <w:t>情報によると、シェルターサービスへのアクセスは形式上、すべての個人に開放されている。しかし実際には、</w:t>
      </w:r>
      <w:r w:rsidR="00C20BC7">
        <w:rPr>
          <w:rFonts w:hint="eastAsia"/>
        </w:rPr>
        <w:t>セルフケア</w:t>
      </w:r>
      <w:r w:rsidRPr="00E52D6C">
        <w:t>が困難な利用者</w:t>
      </w:r>
      <w:r w:rsidR="00DC257D">
        <w:rPr>
          <w:rFonts w:hint="eastAsia"/>
        </w:rPr>
        <w:t>など</w:t>
      </w:r>
      <w:r w:rsidRPr="00E52D6C">
        <w:t>のケースは、しばしば専門施設へ転送される。</w:t>
      </w:r>
    </w:p>
    <w:p w14:paraId="4DF5889C" w14:textId="5D5771DA" w:rsidR="00564070" w:rsidRDefault="00E41FBF" w:rsidP="009142CB">
      <w:pPr>
        <w:pStyle w:val="10"/>
      </w:pPr>
      <w:r w:rsidRPr="00E52D6C">
        <w:t>結論として、ジョージア共和国</w:t>
      </w:r>
      <w:r w:rsidR="00945872" w:rsidRPr="00945872">
        <w:rPr>
          <w:rFonts w:hint="eastAsia"/>
        </w:rPr>
        <w:t>公的擁護</w:t>
      </w:r>
      <w:r w:rsidR="00B7656E" w:rsidRPr="00B7656E">
        <w:rPr>
          <w:rFonts w:hint="eastAsia"/>
        </w:rPr>
        <w:t>官</w:t>
      </w:r>
      <w:r w:rsidRPr="00E52D6C">
        <w:t>は、国内の事例を提示すること</w:t>
      </w:r>
      <w:r w:rsidR="004471A6">
        <w:rPr>
          <w:rFonts w:hint="eastAsia"/>
        </w:rPr>
        <w:t>により</w:t>
      </w:r>
      <w:r w:rsidRPr="00E52D6C">
        <w:t>、国内</w:t>
      </w:r>
      <w:r w:rsidR="000C2173">
        <w:rPr>
          <w:rFonts w:hint="eastAsia"/>
        </w:rPr>
        <w:t>の</w:t>
      </w:r>
      <w:r w:rsidRPr="00E52D6C">
        <w:t>既存の</w:t>
      </w:r>
      <w:r w:rsidR="0030698F">
        <w:rPr>
          <w:rFonts w:hint="eastAsia"/>
        </w:rPr>
        <w:t>欠陥</w:t>
      </w:r>
      <w:r w:rsidRPr="00E52D6C">
        <w:t>に対処し、高齢者の人権</w:t>
      </w:r>
      <w:r w:rsidR="00250975">
        <w:t>保障</w:t>
      </w:r>
      <w:r w:rsidRPr="00E52D6C">
        <w:t>を強化するための、法的拘束力のある国際的な</w:t>
      </w:r>
      <w:r w:rsidR="004471A6">
        <w:rPr>
          <w:rFonts w:hint="eastAsia"/>
        </w:rPr>
        <w:t>条約</w:t>
      </w:r>
      <w:r w:rsidRPr="00E52D6C">
        <w:t>を策定する必要性を強調した。</w:t>
      </w:r>
      <w:r w:rsidR="00945872">
        <w:rPr>
          <w:rFonts w:hint="eastAsia"/>
        </w:rPr>
        <w:t xml:space="preserve">　</w:t>
      </w:r>
    </w:p>
    <w:p w14:paraId="3A4C7727" w14:textId="77777777" w:rsidR="009142CB" w:rsidRDefault="009142CB" w:rsidP="009142CB">
      <w:pPr>
        <w:pStyle w:val="10"/>
      </w:pPr>
    </w:p>
    <w:p w14:paraId="3A3976A0" w14:textId="221F905E" w:rsidR="009142CB" w:rsidRPr="00E52D6C" w:rsidRDefault="009142CB" w:rsidP="009142CB">
      <w:pPr>
        <w:pStyle w:val="10"/>
        <w:jc w:val="right"/>
      </w:pPr>
      <w:r>
        <w:rPr>
          <w:rFonts w:hint="eastAsia"/>
        </w:rPr>
        <w:t>（翻訳・佐藤久夫、　　　）</w:t>
      </w:r>
    </w:p>
    <w:sectPr w:rsidR="009142CB" w:rsidRPr="00E52D6C" w:rsidSect="000C2359">
      <w:footerReference w:type="default" r:id="rId8"/>
      <w:pgSz w:w="12240" w:h="15840"/>
      <w:pgMar w:top="860" w:right="0" w:bottom="280" w:left="108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B6AC7" w14:textId="77777777" w:rsidR="00394979" w:rsidRDefault="00394979">
      <w:r>
        <w:separator/>
      </w:r>
    </w:p>
  </w:endnote>
  <w:endnote w:type="continuationSeparator" w:id="0">
    <w:p w14:paraId="196C42CC" w14:textId="77777777" w:rsidR="00394979" w:rsidRDefault="00394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8942" w14:textId="77777777" w:rsidR="00564070" w:rsidRDefault="00E41FBF">
    <w:pPr>
      <w:pStyle w:val="a3"/>
      <w:spacing w:line="14" w:lineRule="auto"/>
      <w:rPr>
        <w:sz w:val="16"/>
      </w:rPr>
    </w:pPr>
    <w:r>
      <w:rPr>
        <w:noProof/>
        <w:sz w:val="16"/>
      </w:rPr>
      <mc:AlternateContent>
        <mc:Choice Requires="wps">
          <w:drawing>
            <wp:anchor distT="0" distB="0" distL="0" distR="0" simplePos="0" relativeHeight="251671552" behindDoc="1" locked="0" layoutInCell="1" allowOverlap="1" wp14:anchorId="77D9EC67" wp14:editId="7E4F1B22">
              <wp:simplePos x="0" y="0"/>
              <wp:positionH relativeFrom="page">
                <wp:posOffset>6621056</wp:posOffset>
              </wp:positionH>
              <wp:positionV relativeFrom="page">
                <wp:posOffset>9896012</wp:posOffset>
              </wp:positionV>
              <wp:extent cx="240665" cy="255270"/>
              <wp:effectExtent l="0" t="0" r="0" b="0"/>
              <wp:wrapNone/>
              <wp:docPr id="80" name="Textbox 80"/>
              <wp:cNvGraphicFramePr/>
              <a:graphic xmlns:a="http://schemas.openxmlformats.org/drawingml/2006/main">
                <a:graphicData uri="http://schemas.microsoft.com/office/word/2010/wordprocessingShape">
                  <wps:wsp>
                    <wps:cNvSpPr txBox="1"/>
                    <wps:spPr>
                      <a:xfrm>
                        <a:off x="0" y="0"/>
                        <a:ext cx="240665" cy="255270"/>
                      </a:xfrm>
                      <a:prstGeom prst="rect">
                        <a:avLst/>
                      </a:prstGeom>
                    </wps:spPr>
                    <wps:txbx>
                      <w:txbxContent>
                        <w:p w14:paraId="542D4B15" w14:textId="77777777" w:rsidR="00564070" w:rsidRDefault="00E41FBF">
                          <w:pPr>
                            <w:spacing w:before="163"/>
                            <w:ind w:left="78"/>
                            <w:rPr>
                              <w:rFonts w:ascii="Arial"/>
                              <w:sz w:val="19"/>
                            </w:rPr>
                          </w:pPr>
                          <w:r>
                            <w:rPr>
                              <w:rFonts w:ascii="Arial"/>
                              <w:spacing w:val="-5"/>
                              <w:w w:val="105"/>
                              <w:sz w:val="19"/>
                            </w:rPr>
                            <w:fldChar w:fldCharType="begin"/>
                          </w:r>
                          <w:r>
                            <w:rPr>
                              <w:rFonts w:ascii="Arial"/>
                              <w:spacing w:val="-5"/>
                              <w:w w:val="105"/>
                              <w:sz w:val="16"/>
                            </w:rPr>
                            <w:instrText xml:space="preserve"> PAGE </w:instrText>
                          </w:r>
                          <w:r>
                            <w:rPr>
                              <w:rFonts w:ascii="Arial"/>
                              <w:spacing w:val="-5"/>
                              <w:w w:val="105"/>
                              <w:sz w:val="19"/>
                            </w:rPr>
                            <w:fldChar w:fldCharType="separate"/>
                          </w:r>
                          <w:r>
                            <w:rPr>
                              <w:rFonts w:ascii="Arial"/>
                              <w:spacing w:val="-5"/>
                              <w:w w:val="105"/>
                              <w:sz w:val="16"/>
                            </w:rPr>
                            <w:t>18</w:t>
                          </w:r>
                          <w:r>
                            <w:rPr>
                              <w:rFonts w:ascii="Arial"/>
                              <w:spacing w:val="-5"/>
                              <w:w w:val="105"/>
                              <w:sz w:val="19"/>
                            </w:rPr>
                            <w:fldChar w:fldCharType="end"/>
                          </w:r>
                        </w:p>
                      </w:txbxContent>
                    </wps:txbx>
                    <wps:bodyPr wrap="square" lIns="0" tIns="0" rIns="0" bIns="0" rtlCol="0"/>
                  </wps:wsp>
                </a:graphicData>
              </a:graphic>
            </wp:anchor>
          </w:drawing>
        </mc:Choice>
        <mc:Fallback>
          <w:pict>
            <v:shapetype w14:anchorId="77D9EC67" id="_x0000_t202" coordsize="21600,21600" o:spt="202" path="m,l,21600r21600,l21600,xe">
              <v:stroke joinstyle="miter"/>
              <v:path gradientshapeok="t" o:connecttype="rect"/>
            </v:shapetype>
            <v:shape id="Textbox 80" o:spid="_x0000_s1026" type="#_x0000_t202" style="position:absolute;margin-left:521.35pt;margin-top:779.2pt;width:18.95pt;height:20.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" filled="f" stroked="f">
              <v:textbox inset="0,0,0,0">
                <w:txbxContent>
                  <w:p w14:paraId="542D4B15" w14:textId="77777777" w:rsidR="00564070" w:rsidRDefault="00000000">
                    <w:pPr>
                      <w:spacing w:before="163"/>
                      <w:ind w:left="78"/>
                      <w:rPr>
                        <w:rFonts w:ascii="Arial"/>
                        <w:sz w:val="19"/>
                      </w:rPr>
                    </w:pPr>
                    <w:r>
                      <w:rPr>
                        <w:rFonts w:ascii="Arial"/>
                        <w:spacing w:val="-5"/>
                        <w:w w:val="105"/>
                        <w:sz w:val="19"/>
                      </w:rPr>
                      <w:fldChar w:fldCharType="begin"/>
                    </w:r>
                    <w:r>
                      <w:rPr>
                        <w:rFonts w:ascii="Arial"/>
                        <w:spacing w:val="-5"/>
                        <w:w w:val="105"/>
                        <w:sz w:val="16"/>
                      </w:rPr>
                      <w:instrText xml:space="preserve"> PAGE </w:instrText>
                    </w:r>
                    <w:r>
                      <w:rPr>
                        <w:rFonts w:ascii="Arial"/>
                        <w:spacing w:val="-5"/>
                        <w:w w:val="105"/>
                        <w:sz w:val="19"/>
                      </w:rPr>
                      <w:fldChar w:fldCharType="separate"/>
                    </w:r>
                    <w:r>
                      <w:rPr>
                        <w:rFonts w:ascii="Arial"/>
                        <w:spacing w:val="-5"/>
                        <w:w w:val="105"/>
                        <w:sz w:val="16"/>
                      </w:rPr>
                      <w:t>18</w:t>
                    </w:r>
                    <w:r>
                      <w:rPr>
                        <w:rFonts w:ascii="Arial"/>
                        <w:spacing w:val="-5"/>
                        <w:w w:val="105"/>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679F9" w14:textId="77777777" w:rsidR="00394979" w:rsidRDefault="00394979">
      <w:r>
        <w:separator/>
      </w:r>
    </w:p>
  </w:footnote>
  <w:footnote w:type="continuationSeparator" w:id="0">
    <w:p w14:paraId="4D4BD1B0" w14:textId="77777777" w:rsidR="00394979" w:rsidRDefault="00394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6AC9B"/>
    <w:multiLevelType w:val="hybridMultilevel"/>
    <w:tmpl w:val="00000000"/>
    <w:lvl w:ilvl="0" w:tplc="8C5AF956">
      <w:numFmt w:val="bullet"/>
      <w:lvlText w:val="•"/>
      <w:lvlJc w:val="left"/>
      <w:pPr>
        <w:ind w:left="360" w:hanging="361"/>
      </w:pPr>
      <w:rPr>
        <w:rFonts w:ascii="Calibri" w:eastAsia="Calibri" w:hAnsi="Calibri" w:cs="Calibri" w:hint="default"/>
        <w:b w:val="0"/>
        <w:bCs w:val="0"/>
        <w:i w:val="0"/>
        <w:iCs w:val="0"/>
        <w:spacing w:val="0"/>
        <w:w w:val="91"/>
        <w:sz w:val="20"/>
        <w:szCs w:val="20"/>
        <w:lang w:val="en-US" w:eastAsia="en-US" w:bidi="ar-SA"/>
      </w:rPr>
    </w:lvl>
    <w:lvl w:ilvl="1" w:tplc="251C053E">
      <w:numFmt w:val="bullet"/>
      <w:lvlText w:val="•"/>
      <w:lvlJc w:val="left"/>
      <w:pPr>
        <w:ind w:left="1440" w:hanging="361"/>
      </w:pPr>
      <w:rPr>
        <w:rFonts w:hint="default"/>
        <w:lang w:val="en-US" w:eastAsia="en-US" w:bidi="ar-SA"/>
      </w:rPr>
    </w:lvl>
    <w:lvl w:ilvl="2" w:tplc="8A7AE7F0">
      <w:numFmt w:val="bullet"/>
      <w:lvlText w:val="•"/>
      <w:lvlJc w:val="left"/>
      <w:pPr>
        <w:ind w:left="2520" w:hanging="361"/>
      </w:pPr>
      <w:rPr>
        <w:rFonts w:hint="default"/>
        <w:lang w:val="en-US" w:eastAsia="en-US" w:bidi="ar-SA"/>
      </w:rPr>
    </w:lvl>
    <w:lvl w:ilvl="3" w:tplc="69B02368">
      <w:numFmt w:val="bullet"/>
      <w:lvlText w:val="•"/>
      <w:lvlJc w:val="left"/>
      <w:pPr>
        <w:ind w:left="3600" w:hanging="361"/>
      </w:pPr>
      <w:rPr>
        <w:rFonts w:hint="default"/>
        <w:lang w:val="en-US" w:eastAsia="en-US" w:bidi="ar-SA"/>
      </w:rPr>
    </w:lvl>
    <w:lvl w:ilvl="4" w:tplc="B2748CC0">
      <w:numFmt w:val="bullet"/>
      <w:lvlText w:val="•"/>
      <w:lvlJc w:val="left"/>
      <w:pPr>
        <w:ind w:left="4680" w:hanging="361"/>
      </w:pPr>
      <w:rPr>
        <w:rFonts w:hint="default"/>
        <w:lang w:val="en-US" w:eastAsia="en-US" w:bidi="ar-SA"/>
      </w:rPr>
    </w:lvl>
    <w:lvl w:ilvl="5" w:tplc="22BE4B28">
      <w:numFmt w:val="bullet"/>
      <w:lvlText w:val="•"/>
      <w:lvlJc w:val="left"/>
      <w:pPr>
        <w:ind w:left="5760" w:hanging="361"/>
      </w:pPr>
      <w:rPr>
        <w:rFonts w:hint="default"/>
        <w:lang w:val="en-US" w:eastAsia="en-US" w:bidi="ar-SA"/>
      </w:rPr>
    </w:lvl>
    <w:lvl w:ilvl="6" w:tplc="C8E20F42">
      <w:numFmt w:val="bullet"/>
      <w:lvlText w:val="•"/>
      <w:lvlJc w:val="left"/>
      <w:pPr>
        <w:ind w:left="6840" w:hanging="361"/>
      </w:pPr>
      <w:rPr>
        <w:rFonts w:hint="default"/>
        <w:lang w:val="en-US" w:eastAsia="en-US" w:bidi="ar-SA"/>
      </w:rPr>
    </w:lvl>
    <w:lvl w:ilvl="7" w:tplc="CB1A46D2">
      <w:numFmt w:val="bullet"/>
      <w:lvlText w:val="•"/>
      <w:lvlJc w:val="left"/>
      <w:pPr>
        <w:ind w:left="7920" w:hanging="361"/>
      </w:pPr>
      <w:rPr>
        <w:rFonts w:hint="default"/>
        <w:lang w:val="en-US" w:eastAsia="en-US" w:bidi="ar-SA"/>
      </w:rPr>
    </w:lvl>
    <w:lvl w:ilvl="8" w:tplc="39303AEA">
      <w:numFmt w:val="bullet"/>
      <w:lvlText w:val="•"/>
      <w:lvlJc w:val="left"/>
      <w:pPr>
        <w:ind w:left="9000" w:hanging="361"/>
      </w:pPr>
      <w:rPr>
        <w:rFonts w:hint="default"/>
        <w:lang w:val="en-US" w:eastAsia="en-US" w:bidi="ar-SA"/>
      </w:rPr>
    </w:lvl>
  </w:abstractNum>
  <w:abstractNum w:abstractNumId="1" w15:restartNumberingAfterBreak="0">
    <w:nsid w:val="21E8F5E3"/>
    <w:multiLevelType w:val="hybridMultilevel"/>
    <w:tmpl w:val="00000000"/>
    <w:lvl w:ilvl="0" w:tplc="7ED4F58C">
      <w:start w:val="1"/>
      <w:numFmt w:val="decimal"/>
      <w:lvlText w:val="%1."/>
      <w:lvlJc w:val="left"/>
      <w:pPr>
        <w:ind w:left="720" w:hanging="360"/>
        <w:jc w:val="left"/>
      </w:pPr>
      <w:rPr>
        <w:rFonts w:ascii="Calibri" w:eastAsia="Calibri" w:hAnsi="Calibri" w:cs="Calibri" w:hint="default"/>
        <w:b/>
        <w:bCs/>
        <w:i w:val="0"/>
        <w:iCs w:val="0"/>
        <w:spacing w:val="0"/>
        <w:w w:val="100"/>
        <w:sz w:val="24"/>
        <w:szCs w:val="24"/>
        <w:lang w:val="en-US" w:eastAsia="en-US" w:bidi="ar-SA"/>
      </w:rPr>
    </w:lvl>
    <w:lvl w:ilvl="1" w:tplc="AE9418D2">
      <w:numFmt w:val="bullet"/>
      <w:lvlText w:val="•"/>
      <w:lvlJc w:val="left"/>
      <w:pPr>
        <w:ind w:left="1656" w:hanging="360"/>
      </w:pPr>
      <w:rPr>
        <w:rFonts w:hint="default"/>
        <w:lang w:val="en-US" w:eastAsia="en-US" w:bidi="ar-SA"/>
      </w:rPr>
    </w:lvl>
    <w:lvl w:ilvl="2" w:tplc="B5806B5C">
      <w:numFmt w:val="bullet"/>
      <w:lvlText w:val="•"/>
      <w:lvlJc w:val="left"/>
      <w:pPr>
        <w:ind w:left="2592" w:hanging="360"/>
      </w:pPr>
      <w:rPr>
        <w:rFonts w:hint="default"/>
        <w:lang w:val="en-US" w:eastAsia="en-US" w:bidi="ar-SA"/>
      </w:rPr>
    </w:lvl>
    <w:lvl w:ilvl="3" w:tplc="174C0206">
      <w:numFmt w:val="bullet"/>
      <w:lvlText w:val="•"/>
      <w:lvlJc w:val="left"/>
      <w:pPr>
        <w:ind w:left="3528" w:hanging="360"/>
      </w:pPr>
      <w:rPr>
        <w:rFonts w:hint="default"/>
        <w:lang w:val="en-US" w:eastAsia="en-US" w:bidi="ar-SA"/>
      </w:rPr>
    </w:lvl>
    <w:lvl w:ilvl="4" w:tplc="F3746DF8">
      <w:numFmt w:val="bullet"/>
      <w:lvlText w:val="•"/>
      <w:lvlJc w:val="left"/>
      <w:pPr>
        <w:ind w:left="4464" w:hanging="360"/>
      </w:pPr>
      <w:rPr>
        <w:rFonts w:hint="default"/>
        <w:lang w:val="en-US" w:eastAsia="en-US" w:bidi="ar-SA"/>
      </w:rPr>
    </w:lvl>
    <w:lvl w:ilvl="5" w:tplc="523A0D00">
      <w:numFmt w:val="bullet"/>
      <w:lvlText w:val="•"/>
      <w:lvlJc w:val="left"/>
      <w:pPr>
        <w:ind w:left="5400" w:hanging="360"/>
      </w:pPr>
      <w:rPr>
        <w:rFonts w:hint="default"/>
        <w:lang w:val="en-US" w:eastAsia="en-US" w:bidi="ar-SA"/>
      </w:rPr>
    </w:lvl>
    <w:lvl w:ilvl="6" w:tplc="F71CA65A">
      <w:numFmt w:val="bullet"/>
      <w:lvlText w:val="•"/>
      <w:lvlJc w:val="left"/>
      <w:pPr>
        <w:ind w:left="6336" w:hanging="360"/>
      </w:pPr>
      <w:rPr>
        <w:rFonts w:hint="default"/>
        <w:lang w:val="en-US" w:eastAsia="en-US" w:bidi="ar-SA"/>
      </w:rPr>
    </w:lvl>
    <w:lvl w:ilvl="7" w:tplc="6224859E">
      <w:numFmt w:val="bullet"/>
      <w:lvlText w:val="•"/>
      <w:lvlJc w:val="left"/>
      <w:pPr>
        <w:ind w:left="7272" w:hanging="360"/>
      </w:pPr>
      <w:rPr>
        <w:rFonts w:hint="default"/>
        <w:lang w:val="en-US" w:eastAsia="en-US" w:bidi="ar-SA"/>
      </w:rPr>
    </w:lvl>
    <w:lvl w:ilvl="8" w:tplc="A006AD24">
      <w:numFmt w:val="bullet"/>
      <w:lvlText w:val="•"/>
      <w:lvlJc w:val="left"/>
      <w:pPr>
        <w:ind w:left="8208" w:hanging="360"/>
      </w:pPr>
      <w:rPr>
        <w:rFonts w:hint="default"/>
        <w:lang w:val="en-US" w:eastAsia="en-US" w:bidi="ar-SA"/>
      </w:rPr>
    </w:lvl>
  </w:abstractNum>
  <w:abstractNum w:abstractNumId="2" w15:restartNumberingAfterBreak="0">
    <w:nsid w:val="276118C1"/>
    <w:multiLevelType w:val="hybridMultilevel"/>
    <w:tmpl w:val="00000000"/>
    <w:lvl w:ilvl="0" w:tplc="A75CDFDA">
      <w:numFmt w:val="bullet"/>
      <w:lvlText w:val="•"/>
      <w:lvlJc w:val="left"/>
      <w:pPr>
        <w:ind w:left="720" w:hanging="360"/>
      </w:pPr>
      <w:rPr>
        <w:rFonts w:ascii="Calibri" w:eastAsia="Calibri" w:hAnsi="Calibri" w:cs="Calibri" w:hint="default"/>
        <w:b w:val="0"/>
        <w:bCs w:val="0"/>
        <w:i w:val="0"/>
        <w:iCs w:val="0"/>
        <w:spacing w:val="0"/>
        <w:w w:val="91"/>
        <w:sz w:val="20"/>
        <w:szCs w:val="20"/>
        <w:lang w:val="en-US" w:eastAsia="en-US" w:bidi="ar-SA"/>
      </w:rPr>
    </w:lvl>
    <w:lvl w:ilvl="1" w:tplc="61E8857C">
      <w:numFmt w:val="bullet"/>
      <w:lvlText w:val="•"/>
      <w:lvlJc w:val="left"/>
      <w:pPr>
        <w:ind w:left="1620" w:hanging="360"/>
      </w:pPr>
      <w:rPr>
        <w:rFonts w:hint="default"/>
        <w:lang w:val="en-US" w:eastAsia="en-US" w:bidi="ar-SA"/>
      </w:rPr>
    </w:lvl>
    <w:lvl w:ilvl="2" w:tplc="80246EAA">
      <w:numFmt w:val="bullet"/>
      <w:lvlText w:val="•"/>
      <w:lvlJc w:val="left"/>
      <w:pPr>
        <w:ind w:left="2520" w:hanging="360"/>
      </w:pPr>
      <w:rPr>
        <w:rFonts w:hint="default"/>
        <w:lang w:val="en-US" w:eastAsia="en-US" w:bidi="ar-SA"/>
      </w:rPr>
    </w:lvl>
    <w:lvl w:ilvl="3" w:tplc="E6BC5D24">
      <w:numFmt w:val="bullet"/>
      <w:lvlText w:val="•"/>
      <w:lvlJc w:val="left"/>
      <w:pPr>
        <w:ind w:left="3420" w:hanging="360"/>
      </w:pPr>
      <w:rPr>
        <w:rFonts w:hint="default"/>
        <w:lang w:val="en-US" w:eastAsia="en-US" w:bidi="ar-SA"/>
      </w:rPr>
    </w:lvl>
    <w:lvl w:ilvl="4" w:tplc="8110B8EE">
      <w:numFmt w:val="bullet"/>
      <w:lvlText w:val="•"/>
      <w:lvlJc w:val="left"/>
      <w:pPr>
        <w:ind w:left="4320" w:hanging="360"/>
      </w:pPr>
      <w:rPr>
        <w:rFonts w:hint="default"/>
        <w:lang w:val="en-US" w:eastAsia="en-US" w:bidi="ar-SA"/>
      </w:rPr>
    </w:lvl>
    <w:lvl w:ilvl="5" w:tplc="3886F39C">
      <w:numFmt w:val="bullet"/>
      <w:lvlText w:val="•"/>
      <w:lvlJc w:val="left"/>
      <w:pPr>
        <w:ind w:left="5220" w:hanging="360"/>
      </w:pPr>
      <w:rPr>
        <w:rFonts w:hint="default"/>
        <w:lang w:val="en-US" w:eastAsia="en-US" w:bidi="ar-SA"/>
      </w:rPr>
    </w:lvl>
    <w:lvl w:ilvl="6" w:tplc="27FA0B66">
      <w:numFmt w:val="bullet"/>
      <w:lvlText w:val="•"/>
      <w:lvlJc w:val="left"/>
      <w:pPr>
        <w:ind w:left="6120" w:hanging="360"/>
      </w:pPr>
      <w:rPr>
        <w:rFonts w:hint="default"/>
        <w:lang w:val="en-US" w:eastAsia="en-US" w:bidi="ar-SA"/>
      </w:rPr>
    </w:lvl>
    <w:lvl w:ilvl="7" w:tplc="C728C3B6">
      <w:numFmt w:val="bullet"/>
      <w:lvlText w:val="•"/>
      <w:lvlJc w:val="left"/>
      <w:pPr>
        <w:ind w:left="7020" w:hanging="360"/>
      </w:pPr>
      <w:rPr>
        <w:rFonts w:hint="default"/>
        <w:lang w:val="en-US" w:eastAsia="en-US" w:bidi="ar-SA"/>
      </w:rPr>
    </w:lvl>
    <w:lvl w:ilvl="8" w:tplc="C6C27EBA">
      <w:numFmt w:val="bullet"/>
      <w:lvlText w:val="•"/>
      <w:lvlJc w:val="left"/>
      <w:pPr>
        <w:ind w:left="7920" w:hanging="360"/>
      </w:pPr>
      <w:rPr>
        <w:rFonts w:hint="default"/>
        <w:lang w:val="en-US" w:eastAsia="en-US" w:bidi="ar-SA"/>
      </w:rPr>
    </w:lvl>
  </w:abstractNum>
  <w:abstractNum w:abstractNumId="3" w15:restartNumberingAfterBreak="0">
    <w:nsid w:val="2B4D32F5"/>
    <w:multiLevelType w:val="hybridMultilevel"/>
    <w:tmpl w:val="00000000"/>
    <w:lvl w:ilvl="0" w:tplc="023CEF62">
      <w:numFmt w:val="bullet"/>
      <w:lvlText w:val="•"/>
      <w:lvlJc w:val="left"/>
      <w:pPr>
        <w:ind w:left="2138" w:hanging="360"/>
      </w:pPr>
      <w:rPr>
        <w:rFonts w:ascii="Calibri" w:eastAsia="Calibri" w:hAnsi="Calibri" w:cs="Calibri" w:hint="default"/>
        <w:b w:val="0"/>
        <w:bCs w:val="0"/>
        <w:i w:val="0"/>
        <w:iCs w:val="0"/>
        <w:spacing w:val="0"/>
        <w:w w:val="92"/>
        <w:sz w:val="22"/>
        <w:szCs w:val="22"/>
        <w:lang w:val="en-US" w:eastAsia="en-US" w:bidi="ar-SA"/>
      </w:rPr>
    </w:lvl>
    <w:lvl w:ilvl="1" w:tplc="35B4C5C6">
      <w:numFmt w:val="bullet"/>
      <w:lvlText w:val="•"/>
      <w:lvlJc w:val="left"/>
      <w:pPr>
        <w:ind w:left="3080" w:hanging="360"/>
      </w:pPr>
      <w:rPr>
        <w:rFonts w:hint="default"/>
        <w:lang w:val="en-US" w:eastAsia="en-US" w:bidi="ar-SA"/>
      </w:rPr>
    </w:lvl>
    <w:lvl w:ilvl="2" w:tplc="F4A045F8">
      <w:numFmt w:val="bullet"/>
      <w:lvlText w:val="•"/>
      <w:lvlJc w:val="left"/>
      <w:pPr>
        <w:ind w:left="4021" w:hanging="360"/>
      </w:pPr>
      <w:rPr>
        <w:rFonts w:hint="default"/>
        <w:lang w:val="en-US" w:eastAsia="en-US" w:bidi="ar-SA"/>
      </w:rPr>
    </w:lvl>
    <w:lvl w:ilvl="3" w:tplc="A0AA3204">
      <w:numFmt w:val="bullet"/>
      <w:lvlText w:val="•"/>
      <w:lvlJc w:val="left"/>
      <w:pPr>
        <w:ind w:left="4961" w:hanging="360"/>
      </w:pPr>
      <w:rPr>
        <w:rFonts w:hint="default"/>
        <w:lang w:val="en-US" w:eastAsia="en-US" w:bidi="ar-SA"/>
      </w:rPr>
    </w:lvl>
    <w:lvl w:ilvl="4" w:tplc="0D4A23CE">
      <w:numFmt w:val="bullet"/>
      <w:lvlText w:val="•"/>
      <w:lvlJc w:val="left"/>
      <w:pPr>
        <w:ind w:left="5902" w:hanging="360"/>
      </w:pPr>
      <w:rPr>
        <w:rFonts w:hint="default"/>
        <w:lang w:val="en-US" w:eastAsia="en-US" w:bidi="ar-SA"/>
      </w:rPr>
    </w:lvl>
    <w:lvl w:ilvl="5" w:tplc="0B726BE4">
      <w:numFmt w:val="bullet"/>
      <w:lvlText w:val="•"/>
      <w:lvlJc w:val="left"/>
      <w:pPr>
        <w:ind w:left="6843" w:hanging="360"/>
      </w:pPr>
      <w:rPr>
        <w:rFonts w:hint="default"/>
        <w:lang w:val="en-US" w:eastAsia="en-US" w:bidi="ar-SA"/>
      </w:rPr>
    </w:lvl>
    <w:lvl w:ilvl="6" w:tplc="792AC2F0">
      <w:numFmt w:val="bullet"/>
      <w:lvlText w:val="•"/>
      <w:lvlJc w:val="left"/>
      <w:pPr>
        <w:ind w:left="7783" w:hanging="360"/>
      </w:pPr>
      <w:rPr>
        <w:rFonts w:hint="default"/>
        <w:lang w:val="en-US" w:eastAsia="en-US" w:bidi="ar-SA"/>
      </w:rPr>
    </w:lvl>
    <w:lvl w:ilvl="7" w:tplc="1A3E2800">
      <w:numFmt w:val="bullet"/>
      <w:lvlText w:val="•"/>
      <w:lvlJc w:val="left"/>
      <w:pPr>
        <w:ind w:left="8724" w:hanging="360"/>
      </w:pPr>
      <w:rPr>
        <w:rFonts w:hint="default"/>
        <w:lang w:val="en-US" w:eastAsia="en-US" w:bidi="ar-SA"/>
      </w:rPr>
    </w:lvl>
    <w:lvl w:ilvl="8" w:tplc="13CCC6FE">
      <w:numFmt w:val="bullet"/>
      <w:lvlText w:val="•"/>
      <w:lvlJc w:val="left"/>
      <w:pPr>
        <w:ind w:left="9665" w:hanging="360"/>
      </w:pPr>
      <w:rPr>
        <w:rFonts w:hint="default"/>
        <w:lang w:val="en-US" w:eastAsia="en-US" w:bidi="ar-SA"/>
      </w:rPr>
    </w:lvl>
  </w:abstractNum>
  <w:abstractNum w:abstractNumId="4" w15:restartNumberingAfterBreak="0">
    <w:nsid w:val="2ECEEE2C"/>
    <w:multiLevelType w:val="hybridMultilevel"/>
    <w:tmpl w:val="00000000"/>
    <w:lvl w:ilvl="0" w:tplc="C12E7ED6">
      <w:start w:val="1"/>
      <w:numFmt w:val="decimal"/>
      <w:lvlText w:val="%1."/>
      <w:lvlJc w:val="left"/>
      <w:pPr>
        <w:ind w:left="360" w:hanging="255"/>
        <w:jc w:val="left"/>
      </w:pPr>
      <w:rPr>
        <w:rFonts w:ascii="Times New Roman" w:eastAsia="Times New Roman" w:hAnsi="Times New Roman" w:cs="Times New Roman" w:hint="default"/>
        <w:b/>
        <w:bCs/>
        <w:i w:val="0"/>
        <w:iCs w:val="0"/>
        <w:spacing w:val="0"/>
        <w:w w:val="100"/>
        <w:sz w:val="24"/>
        <w:szCs w:val="24"/>
        <w:lang w:val="en-US" w:eastAsia="en-US" w:bidi="ar-SA"/>
      </w:rPr>
    </w:lvl>
    <w:lvl w:ilvl="1" w:tplc="4B8CB2CA">
      <w:numFmt w:val="bullet"/>
      <w:lvlText w:val="•"/>
      <w:lvlJc w:val="left"/>
      <w:pPr>
        <w:ind w:left="1440" w:hanging="255"/>
      </w:pPr>
      <w:rPr>
        <w:rFonts w:hint="default"/>
        <w:lang w:val="en-US" w:eastAsia="en-US" w:bidi="ar-SA"/>
      </w:rPr>
    </w:lvl>
    <w:lvl w:ilvl="2" w:tplc="64A8F2CC">
      <w:numFmt w:val="bullet"/>
      <w:lvlText w:val="•"/>
      <w:lvlJc w:val="left"/>
      <w:pPr>
        <w:ind w:left="2520" w:hanging="255"/>
      </w:pPr>
      <w:rPr>
        <w:rFonts w:hint="default"/>
        <w:lang w:val="en-US" w:eastAsia="en-US" w:bidi="ar-SA"/>
      </w:rPr>
    </w:lvl>
    <w:lvl w:ilvl="3" w:tplc="11EA9D0C">
      <w:numFmt w:val="bullet"/>
      <w:lvlText w:val="•"/>
      <w:lvlJc w:val="left"/>
      <w:pPr>
        <w:ind w:left="3600" w:hanging="255"/>
      </w:pPr>
      <w:rPr>
        <w:rFonts w:hint="default"/>
        <w:lang w:val="en-US" w:eastAsia="en-US" w:bidi="ar-SA"/>
      </w:rPr>
    </w:lvl>
    <w:lvl w:ilvl="4" w:tplc="74EE532E">
      <w:numFmt w:val="bullet"/>
      <w:lvlText w:val="•"/>
      <w:lvlJc w:val="left"/>
      <w:pPr>
        <w:ind w:left="4680" w:hanging="255"/>
      </w:pPr>
      <w:rPr>
        <w:rFonts w:hint="default"/>
        <w:lang w:val="en-US" w:eastAsia="en-US" w:bidi="ar-SA"/>
      </w:rPr>
    </w:lvl>
    <w:lvl w:ilvl="5" w:tplc="6AAA6BA0">
      <w:numFmt w:val="bullet"/>
      <w:lvlText w:val="•"/>
      <w:lvlJc w:val="left"/>
      <w:pPr>
        <w:ind w:left="5760" w:hanging="255"/>
      </w:pPr>
      <w:rPr>
        <w:rFonts w:hint="default"/>
        <w:lang w:val="en-US" w:eastAsia="en-US" w:bidi="ar-SA"/>
      </w:rPr>
    </w:lvl>
    <w:lvl w:ilvl="6" w:tplc="326EF3F4">
      <w:numFmt w:val="bullet"/>
      <w:lvlText w:val="•"/>
      <w:lvlJc w:val="left"/>
      <w:pPr>
        <w:ind w:left="6840" w:hanging="255"/>
      </w:pPr>
      <w:rPr>
        <w:rFonts w:hint="default"/>
        <w:lang w:val="en-US" w:eastAsia="en-US" w:bidi="ar-SA"/>
      </w:rPr>
    </w:lvl>
    <w:lvl w:ilvl="7" w:tplc="9CD8B77A">
      <w:numFmt w:val="bullet"/>
      <w:lvlText w:val="•"/>
      <w:lvlJc w:val="left"/>
      <w:pPr>
        <w:ind w:left="7920" w:hanging="255"/>
      </w:pPr>
      <w:rPr>
        <w:rFonts w:hint="default"/>
        <w:lang w:val="en-US" w:eastAsia="en-US" w:bidi="ar-SA"/>
      </w:rPr>
    </w:lvl>
    <w:lvl w:ilvl="8" w:tplc="337A37EA">
      <w:numFmt w:val="bullet"/>
      <w:lvlText w:val="•"/>
      <w:lvlJc w:val="left"/>
      <w:pPr>
        <w:ind w:left="9000" w:hanging="255"/>
      </w:pPr>
      <w:rPr>
        <w:rFonts w:hint="default"/>
        <w:lang w:val="en-US" w:eastAsia="en-US" w:bidi="ar-SA"/>
      </w:rPr>
    </w:lvl>
  </w:abstractNum>
  <w:abstractNum w:abstractNumId="5" w15:restartNumberingAfterBreak="0">
    <w:nsid w:val="39F54C03"/>
    <w:multiLevelType w:val="hybridMultilevel"/>
    <w:tmpl w:val="00000000"/>
    <w:lvl w:ilvl="0" w:tplc="8ADCA946">
      <w:start w:val="9"/>
      <w:numFmt w:val="lowerRoman"/>
      <w:lvlText w:val="%1."/>
      <w:lvlJc w:val="left"/>
      <w:pPr>
        <w:ind w:left="1424" w:hanging="701"/>
        <w:jc w:val="right"/>
      </w:pPr>
      <w:rPr>
        <w:rFonts w:hint="default"/>
        <w:spacing w:val="-1"/>
        <w:w w:val="90"/>
        <w:lang w:val="en-US" w:eastAsia="en-US" w:bidi="ar-SA"/>
      </w:rPr>
    </w:lvl>
    <w:lvl w:ilvl="1" w:tplc="70E0CC3E">
      <w:numFmt w:val="bullet"/>
      <w:lvlText w:val="•"/>
      <w:lvlJc w:val="left"/>
      <w:pPr>
        <w:ind w:left="2362" w:hanging="701"/>
      </w:pPr>
      <w:rPr>
        <w:rFonts w:hint="default"/>
        <w:lang w:val="en-US" w:eastAsia="en-US" w:bidi="ar-SA"/>
      </w:rPr>
    </w:lvl>
    <w:lvl w:ilvl="2" w:tplc="EB526876">
      <w:numFmt w:val="bullet"/>
      <w:lvlText w:val="•"/>
      <w:lvlJc w:val="left"/>
      <w:pPr>
        <w:ind w:left="3304" w:hanging="701"/>
      </w:pPr>
      <w:rPr>
        <w:rFonts w:hint="default"/>
        <w:lang w:val="en-US" w:eastAsia="en-US" w:bidi="ar-SA"/>
      </w:rPr>
    </w:lvl>
    <w:lvl w:ilvl="3" w:tplc="0870FA44">
      <w:numFmt w:val="bullet"/>
      <w:lvlText w:val="•"/>
      <w:lvlJc w:val="left"/>
      <w:pPr>
        <w:ind w:left="4246" w:hanging="701"/>
      </w:pPr>
      <w:rPr>
        <w:rFonts w:hint="default"/>
        <w:lang w:val="en-US" w:eastAsia="en-US" w:bidi="ar-SA"/>
      </w:rPr>
    </w:lvl>
    <w:lvl w:ilvl="4" w:tplc="A9B04AFC">
      <w:numFmt w:val="bullet"/>
      <w:lvlText w:val="•"/>
      <w:lvlJc w:val="left"/>
      <w:pPr>
        <w:ind w:left="5188" w:hanging="701"/>
      </w:pPr>
      <w:rPr>
        <w:rFonts w:hint="default"/>
        <w:lang w:val="en-US" w:eastAsia="en-US" w:bidi="ar-SA"/>
      </w:rPr>
    </w:lvl>
    <w:lvl w:ilvl="5" w:tplc="215637B8">
      <w:numFmt w:val="bullet"/>
      <w:lvlText w:val="•"/>
      <w:lvlJc w:val="left"/>
      <w:pPr>
        <w:ind w:left="6130" w:hanging="701"/>
      </w:pPr>
      <w:rPr>
        <w:rFonts w:hint="default"/>
        <w:lang w:val="en-US" w:eastAsia="en-US" w:bidi="ar-SA"/>
      </w:rPr>
    </w:lvl>
    <w:lvl w:ilvl="6" w:tplc="1902BDFA">
      <w:numFmt w:val="bullet"/>
      <w:lvlText w:val="•"/>
      <w:lvlJc w:val="left"/>
      <w:pPr>
        <w:ind w:left="7072" w:hanging="701"/>
      </w:pPr>
      <w:rPr>
        <w:rFonts w:hint="default"/>
        <w:lang w:val="en-US" w:eastAsia="en-US" w:bidi="ar-SA"/>
      </w:rPr>
    </w:lvl>
    <w:lvl w:ilvl="7" w:tplc="A21204FA">
      <w:numFmt w:val="bullet"/>
      <w:lvlText w:val="•"/>
      <w:lvlJc w:val="left"/>
      <w:pPr>
        <w:ind w:left="8014" w:hanging="701"/>
      </w:pPr>
      <w:rPr>
        <w:rFonts w:hint="default"/>
        <w:lang w:val="en-US" w:eastAsia="en-US" w:bidi="ar-SA"/>
      </w:rPr>
    </w:lvl>
    <w:lvl w:ilvl="8" w:tplc="44EA5190">
      <w:numFmt w:val="bullet"/>
      <w:lvlText w:val="•"/>
      <w:lvlJc w:val="left"/>
      <w:pPr>
        <w:ind w:left="8956" w:hanging="701"/>
      </w:pPr>
      <w:rPr>
        <w:rFonts w:hint="default"/>
        <w:lang w:val="en-US" w:eastAsia="en-US" w:bidi="ar-SA"/>
      </w:rPr>
    </w:lvl>
  </w:abstractNum>
  <w:abstractNum w:abstractNumId="6" w15:restartNumberingAfterBreak="0">
    <w:nsid w:val="5B30DD87"/>
    <w:multiLevelType w:val="hybridMultilevel"/>
    <w:tmpl w:val="00000000"/>
    <w:lvl w:ilvl="0" w:tplc="814C9E14">
      <w:start w:val="1"/>
      <w:numFmt w:val="lowerRoman"/>
      <w:lvlText w:val="%1."/>
      <w:lvlJc w:val="left"/>
      <w:pPr>
        <w:ind w:left="1564" w:hanging="542"/>
        <w:jc w:val="right"/>
      </w:pPr>
      <w:rPr>
        <w:rFonts w:hint="default"/>
        <w:spacing w:val="-1"/>
        <w:w w:val="93"/>
        <w:lang w:val="en-US" w:eastAsia="en-US" w:bidi="ar-SA"/>
      </w:rPr>
    </w:lvl>
    <w:lvl w:ilvl="1" w:tplc="D62A8276">
      <w:numFmt w:val="bullet"/>
      <w:lvlText w:val="•"/>
      <w:lvlJc w:val="left"/>
      <w:pPr>
        <w:ind w:left="2488" w:hanging="542"/>
      </w:pPr>
      <w:rPr>
        <w:rFonts w:hint="default"/>
        <w:lang w:val="en-US" w:eastAsia="en-US" w:bidi="ar-SA"/>
      </w:rPr>
    </w:lvl>
    <w:lvl w:ilvl="2" w:tplc="7FD24362">
      <w:numFmt w:val="bullet"/>
      <w:lvlText w:val="•"/>
      <w:lvlJc w:val="left"/>
      <w:pPr>
        <w:ind w:left="3416" w:hanging="542"/>
      </w:pPr>
      <w:rPr>
        <w:rFonts w:hint="default"/>
        <w:lang w:val="en-US" w:eastAsia="en-US" w:bidi="ar-SA"/>
      </w:rPr>
    </w:lvl>
    <w:lvl w:ilvl="3" w:tplc="5A340594">
      <w:numFmt w:val="bullet"/>
      <w:lvlText w:val="•"/>
      <w:lvlJc w:val="left"/>
      <w:pPr>
        <w:ind w:left="4344" w:hanging="542"/>
      </w:pPr>
      <w:rPr>
        <w:rFonts w:hint="default"/>
        <w:lang w:val="en-US" w:eastAsia="en-US" w:bidi="ar-SA"/>
      </w:rPr>
    </w:lvl>
    <w:lvl w:ilvl="4" w:tplc="667ACF92">
      <w:numFmt w:val="bullet"/>
      <w:lvlText w:val="•"/>
      <w:lvlJc w:val="left"/>
      <w:pPr>
        <w:ind w:left="5272" w:hanging="542"/>
      </w:pPr>
      <w:rPr>
        <w:rFonts w:hint="default"/>
        <w:lang w:val="en-US" w:eastAsia="en-US" w:bidi="ar-SA"/>
      </w:rPr>
    </w:lvl>
    <w:lvl w:ilvl="5" w:tplc="9950F77C">
      <w:numFmt w:val="bullet"/>
      <w:lvlText w:val="•"/>
      <w:lvlJc w:val="left"/>
      <w:pPr>
        <w:ind w:left="6200" w:hanging="542"/>
      </w:pPr>
      <w:rPr>
        <w:rFonts w:hint="default"/>
        <w:lang w:val="en-US" w:eastAsia="en-US" w:bidi="ar-SA"/>
      </w:rPr>
    </w:lvl>
    <w:lvl w:ilvl="6" w:tplc="078CFD08">
      <w:numFmt w:val="bullet"/>
      <w:lvlText w:val="•"/>
      <w:lvlJc w:val="left"/>
      <w:pPr>
        <w:ind w:left="7128" w:hanging="542"/>
      </w:pPr>
      <w:rPr>
        <w:rFonts w:hint="default"/>
        <w:lang w:val="en-US" w:eastAsia="en-US" w:bidi="ar-SA"/>
      </w:rPr>
    </w:lvl>
    <w:lvl w:ilvl="7" w:tplc="CDD60E80">
      <w:numFmt w:val="bullet"/>
      <w:lvlText w:val="•"/>
      <w:lvlJc w:val="left"/>
      <w:pPr>
        <w:ind w:left="8056" w:hanging="542"/>
      </w:pPr>
      <w:rPr>
        <w:rFonts w:hint="default"/>
        <w:lang w:val="en-US" w:eastAsia="en-US" w:bidi="ar-SA"/>
      </w:rPr>
    </w:lvl>
    <w:lvl w:ilvl="8" w:tplc="9E5478DC">
      <w:numFmt w:val="bullet"/>
      <w:lvlText w:val="•"/>
      <w:lvlJc w:val="left"/>
      <w:pPr>
        <w:ind w:left="8984" w:hanging="542"/>
      </w:pPr>
      <w:rPr>
        <w:rFonts w:hint="default"/>
        <w:lang w:val="en-US" w:eastAsia="en-US" w:bidi="ar-SA"/>
      </w:rPr>
    </w:lvl>
  </w:abstractNum>
  <w:abstractNum w:abstractNumId="7" w15:restartNumberingAfterBreak="0">
    <w:nsid w:val="6C562B22"/>
    <w:multiLevelType w:val="hybridMultilevel"/>
    <w:tmpl w:val="00000000"/>
    <w:lvl w:ilvl="0" w:tplc="94A637AE">
      <w:start w:val="1"/>
      <w:numFmt w:val="decimal"/>
      <w:lvlText w:val="%1."/>
      <w:lvlJc w:val="left"/>
      <w:pPr>
        <w:ind w:left="720" w:hanging="360"/>
        <w:jc w:val="left"/>
      </w:pPr>
      <w:rPr>
        <w:rFonts w:ascii="Calibri" w:eastAsia="Calibri" w:hAnsi="Calibri" w:cs="Calibri" w:hint="default"/>
        <w:b/>
        <w:bCs/>
        <w:i w:val="0"/>
        <w:iCs w:val="0"/>
        <w:spacing w:val="0"/>
        <w:w w:val="108"/>
        <w:sz w:val="24"/>
        <w:szCs w:val="24"/>
        <w:lang w:val="en-US" w:eastAsia="en-US" w:bidi="ar-SA"/>
      </w:rPr>
    </w:lvl>
    <w:lvl w:ilvl="1" w:tplc="594E86CE">
      <w:start w:val="1"/>
      <w:numFmt w:val="decimal"/>
      <w:lvlText w:val="%2."/>
      <w:lvlJc w:val="left"/>
      <w:pPr>
        <w:ind w:left="1440" w:hanging="360"/>
        <w:jc w:val="left"/>
      </w:pPr>
      <w:rPr>
        <w:rFonts w:ascii="Calibri" w:eastAsia="Calibri" w:hAnsi="Calibri" w:cs="Calibri" w:hint="default"/>
        <w:b/>
        <w:bCs/>
        <w:i w:val="0"/>
        <w:iCs w:val="0"/>
        <w:spacing w:val="0"/>
        <w:w w:val="108"/>
        <w:sz w:val="24"/>
        <w:szCs w:val="24"/>
        <w:lang w:val="en-US" w:eastAsia="en-US" w:bidi="ar-SA"/>
      </w:rPr>
    </w:lvl>
    <w:lvl w:ilvl="2" w:tplc="262018F8">
      <w:numFmt w:val="bullet"/>
      <w:lvlText w:val="•"/>
      <w:lvlJc w:val="left"/>
      <w:pPr>
        <w:ind w:left="2520" w:hanging="360"/>
      </w:pPr>
      <w:rPr>
        <w:rFonts w:hint="default"/>
        <w:lang w:val="en-US" w:eastAsia="en-US" w:bidi="ar-SA"/>
      </w:rPr>
    </w:lvl>
    <w:lvl w:ilvl="3" w:tplc="46823B52">
      <w:numFmt w:val="bullet"/>
      <w:lvlText w:val="•"/>
      <w:lvlJc w:val="left"/>
      <w:pPr>
        <w:ind w:left="3600" w:hanging="360"/>
      </w:pPr>
      <w:rPr>
        <w:rFonts w:hint="default"/>
        <w:lang w:val="en-US" w:eastAsia="en-US" w:bidi="ar-SA"/>
      </w:rPr>
    </w:lvl>
    <w:lvl w:ilvl="4" w:tplc="348AF2CA">
      <w:numFmt w:val="bullet"/>
      <w:lvlText w:val="•"/>
      <w:lvlJc w:val="left"/>
      <w:pPr>
        <w:ind w:left="4680" w:hanging="360"/>
      </w:pPr>
      <w:rPr>
        <w:rFonts w:hint="default"/>
        <w:lang w:val="en-US" w:eastAsia="en-US" w:bidi="ar-SA"/>
      </w:rPr>
    </w:lvl>
    <w:lvl w:ilvl="5" w:tplc="EE34ED30">
      <w:numFmt w:val="bullet"/>
      <w:lvlText w:val="•"/>
      <w:lvlJc w:val="left"/>
      <w:pPr>
        <w:ind w:left="5760" w:hanging="360"/>
      </w:pPr>
      <w:rPr>
        <w:rFonts w:hint="default"/>
        <w:lang w:val="en-US" w:eastAsia="en-US" w:bidi="ar-SA"/>
      </w:rPr>
    </w:lvl>
    <w:lvl w:ilvl="6" w:tplc="D9A4ED5A">
      <w:numFmt w:val="bullet"/>
      <w:lvlText w:val="•"/>
      <w:lvlJc w:val="left"/>
      <w:pPr>
        <w:ind w:left="6840" w:hanging="360"/>
      </w:pPr>
      <w:rPr>
        <w:rFonts w:hint="default"/>
        <w:lang w:val="en-US" w:eastAsia="en-US" w:bidi="ar-SA"/>
      </w:rPr>
    </w:lvl>
    <w:lvl w:ilvl="7" w:tplc="34A61F5A">
      <w:numFmt w:val="bullet"/>
      <w:lvlText w:val="•"/>
      <w:lvlJc w:val="left"/>
      <w:pPr>
        <w:ind w:left="7920" w:hanging="360"/>
      </w:pPr>
      <w:rPr>
        <w:rFonts w:hint="default"/>
        <w:lang w:val="en-US" w:eastAsia="en-US" w:bidi="ar-SA"/>
      </w:rPr>
    </w:lvl>
    <w:lvl w:ilvl="8" w:tplc="2B6AC504">
      <w:numFmt w:val="bullet"/>
      <w:lvlText w:val="•"/>
      <w:lvlJc w:val="left"/>
      <w:pPr>
        <w:ind w:left="9000" w:hanging="360"/>
      </w:pPr>
      <w:rPr>
        <w:rFonts w:hint="default"/>
        <w:lang w:val="en-US" w:eastAsia="en-US" w:bidi="ar-SA"/>
      </w:rPr>
    </w:lvl>
  </w:abstractNum>
  <w:abstractNum w:abstractNumId="8" w15:restartNumberingAfterBreak="0">
    <w:nsid w:val="6FA98F59"/>
    <w:multiLevelType w:val="hybridMultilevel"/>
    <w:tmpl w:val="00000000"/>
    <w:lvl w:ilvl="0" w:tplc="8948286C">
      <w:start w:val="1"/>
      <w:numFmt w:val="decimal"/>
      <w:lvlText w:val="%1."/>
      <w:lvlJc w:val="left"/>
      <w:pPr>
        <w:ind w:left="772" w:hanging="360"/>
        <w:jc w:val="left"/>
      </w:pPr>
      <w:rPr>
        <w:rFonts w:ascii="Arial" w:eastAsia="Arial" w:hAnsi="Arial" w:cs="Arial" w:hint="default"/>
        <w:b w:val="0"/>
        <w:bCs w:val="0"/>
        <w:i w:val="0"/>
        <w:iCs w:val="0"/>
        <w:spacing w:val="-1"/>
        <w:w w:val="100"/>
        <w:sz w:val="22"/>
        <w:szCs w:val="22"/>
        <w:lang w:val="en-US" w:eastAsia="en-US" w:bidi="ar-SA"/>
      </w:rPr>
    </w:lvl>
    <w:lvl w:ilvl="1" w:tplc="4274C34C">
      <w:start w:val="1"/>
      <w:numFmt w:val="lowerLetter"/>
      <w:lvlText w:val="%2."/>
      <w:lvlJc w:val="left"/>
      <w:pPr>
        <w:ind w:left="1132" w:hanging="360"/>
        <w:jc w:val="left"/>
      </w:pPr>
      <w:rPr>
        <w:rFonts w:ascii="Arial" w:eastAsia="Arial" w:hAnsi="Arial" w:cs="Arial" w:hint="default"/>
        <w:b w:val="0"/>
        <w:bCs w:val="0"/>
        <w:i w:val="0"/>
        <w:iCs w:val="0"/>
        <w:spacing w:val="-1"/>
        <w:w w:val="100"/>
        <w:sz w:val="22"/>
        <w:szCs w:val="22"/>
        <w:lang w:val="en-US" w:eastAsia="en-US" w:bidi="ar-SA"/>
      </w:rPr>
    </w:lvl>
    <w:lvl w:ilvl="2" w:tplc="DD48B456">
      <w:numFmt w:val="bullet"/>
      <w:lvlText w:val="•"/>
      <w:lvlJc w:val="left"/>
      <w:pPr>
        <w:ind w:left="2096" w:hanging="360"/>
      </w:pPr>
      <w:rPr>
        <w:rFonts w:hint="default"/>
        <w:lang w:val="en-US" w:eastAsia="en-US" w:bidi="ar-SA"/>
      </w:rPr>
    </w:lvl>
    <w:lvl w:ilvl="3" w:tplc="EA705A54">
      <w:numFmt w:val="bullet"/>
      <w:lvlText w:val="•"/>
      <w:lvlJc w:val="left"/>
      <w:pPr>
        <w:ind w:left="3053" w:hanging="360"/>
      </w:pPr>
      <w:rPr>
        <w:rFonts w:hint="default"/>
        <w:lang w:val="en-US" w:eastAsia="en-US" w:bidi="ar-SA"/>
      </w:rPr>
    </w:lvl>
    <w:lvl w:ilvl="4" w:tplc="BBFC46AC">
      <w:numFmt w:val="bullet"/>
      <w:lvlText w:val="•"/>
      <w:lvlJc w:val="left"/>
      <w:pPr>
        <w:ind w:left="4009" w:hanging="360"/>
      </w:pPr>
      <w:rPr>
        <w:rFonts w:hint="default"/>
        <w:lang w:val="en-US" w:eastAsia="en-US" w:bidi="ar-SA"/>
      </w:rPr>
    </w:lvl>
    <w:lvl w:ilvl="5" w:tplc="81F298E4">
      <w:numFmt w:val="bullet"/>
      <w:lvlText w:val="•"/>
      <w:lvlJc w:val="left"/>
      <w:pPr>
        <w:ind w:left="4966" w:hanging="360"/>
      </w:pPr>
      <w:rPr>
        <w:rFonts w:hint="default"/>
        <w:lang w:val="en-US" w:eastAsia="en-US" w:bidi="ar-SA"/>
      </w:rPr>
    </w:lvl>
    <w:lvl w:ilvl="6" w:tplc="CB2AC7C6">
      <w:numFmt w:val="bullet"/>
      <w:lvlText w:val="•"/>
      <w:lvlJc w:val="left"/>
      <w:pPr>
        <w:ind w:left="5922" w:hanging="360"/>
      </w:pPr>
      <w:rPr>
        <w:rFonts w:hint="default"/>
        <w:lang w:val="en-US" w:eastAsia="en-US" w:bidi="ar-SA"/>
      </w:rPr>
    </w:lvl>
    <w:lvl w:ilvl="7" w:tplc="99B666D8">
      <w:numFmt w:val="bullet"/>
      <w:lvlText w:val="•"/>
      <w:lvlJc w:val="left"/>
      <w:pPr>
        <w:ind w:left="6879" w:hanging="360"/>
      </w:pPr>
      <w:rPr>
        <w:rFonts w:hint="default"/>
        <w:lang w:val="en-US" w:eastAsia="en-US" w:bidi="ar-SA"/>
      </w:rPr>
    </w:lvl>
    <w:lvl w:ilvl="8" w:tplc="F82AF1DC">
      <w:numFmt w:val="bullet"/>
      <w:lvlText w:val="•"/>
      <w:lvlJc w:val="left"/>
      <w:pPr>
        <w:ind w:left="7835" w:hanging="360"/>
      </w:pPr>
      <w:rPr>
        <w:rFonts w:hint="default"/>
        <w:lang w:val="en-US" w:eastAsia="en-US" w:bidi="ar-SA"/>
      </w:rPr>
    </w:lvl>
  </w:abstractNum>
  <w:num w:numId="1" w16cid:durableId="51513363">
    <w:abstractNumId w:val="5"/>
  </w:num>
  <w:num w:numId="2" w16cid:durableId="798571060">
    <w:abstractNumId w:val="6"/>
  </w:num>
  <w:num w:numId="3" w16cid:durableId="630549482">
    <w:abstractNumId w:val="0"/>
  </w:num>
  <w:num w:numId="4" w16cid:durableId="1483962134">
    <w:abstractNumId w:val="7"/>
  </w:num>
  <w:num w:numId="5" w16cid:durableId="29500095">
    <w:abstractNumId w:val="4"/>
  </w:num>
  <w:num w:numId="6" w16cid:durableId="1153527146">
    <w:abstractNumId w:val="8"/>
  </w:num>
  <w:num w:numId="7" w16cid:durableId="181940011">
    <w:abstractNumId w:val="2"/>
  </w:num>
  <w:num w:numId="8" w16cid:durableId="930550958">
    <w:abstractNumId w:val="3"/>
  </w:num>
  <w:num w:numId="9" w16cid:durableId="959262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70"/>
    <w:rsid w:val="000A2E8F"/>
    <w:rsid w:val="000C2173"/>
    <w:rsid w:val="000C2359"/>
    <w:rsid w:val="00133046"/>
    <w:rsid w:val="001955FF"/>
    <w:rsid w:val="001A1CA2"/>
    <w:rsid w:val="00230ECA"/>
    <w:rsid w:val="00250975"/>
    <w:rsid w:val="00261D50"/>
    <w:rsid w:val="00277D9C"/>
    <w:rsid w:val="002C0EB0"/>
    <w:rsid w:val="002E32EA"/>
    <w:rsid w:val="0030698F"/>
    <w:rsid w:val="00362CFB"/>
    <w:rsid w:val="00394979"/>
    <w:rsid w:val="003E502C"/>
    <w:rsid w:val="00422F70"/>
    <w:rsid w:val="004471A6"/>
    <w:rsid w:val="00476EE5"/>
    <w:rsid w:val="00564070"/>
    <w:rsid w:val="005B42DF"/>
    <w:rsid w:val="00615E50"/>
    <w:rsid w:val="00681939"/>
    <w:rsid w:val="006D745A"/>
    <w:rsid w:val="006F1722"/>
    <w:rsid w:val="007118DF"/>
    <w:rsid w:val="007A3127"/>
    <w:rsid w:val="007E7F48"/>
    <w:rsid w:val="007F5E7E"/>
    <w:rsid w:val="008104E8"/>
    <w:rsid w:val="008524E7"/>
    <w:rsid w:val="00884862"/>
    <w:rsid w:val="00901CF9"/>
    <w:rsid w:val="009142CB"/>
    <w:rsid w:val="00945872"/>
    <w:rsid w:val="00974D37"/>
    <w:rsid w:val="009945A6"/>
    <w:rsid w:val="009A737C"/>
    <w:rsid w:val="00A27415"/>
    <w:rsid w:val="00A565AE"/>
    <w:rsid w:val="00A65AD6"/>
    <w:rsid w:val="00A66453"/>
    <w:rsid w:val="00AA0460"/>
    <w:rsid w:val="00AA4C42"/>
    <w:rsid w:val="00B13AD7"/>
    <w:rsid w:val="00B224F1"/>
    <w:rsid w:val="00B51448"/>
    <w:rsid w:val="00B7656E"/>
    <w:rsid w:val="00BE298F"/>
    <w:rsid w:val="00C008D5"/>
    <w:rsid w:val="00C12C5C"/>
    <w:rsid w:val="00C20BC7"/>
    <w:rsid w:val="00C4436C"/>
    <w:rsid w:val="00C45FD8"/>
    <w:rsid w:val="00CA2447"/>
    <w:rsid w:val="00CD01B7"/>
    <w:rsid w:val="00CD0383"/>
    <w:rsid w:val="00DC257D"/>
    <w:rsid w:val="00DC48E8"/>
    <w:rsid w:val="00DD188E"/>
    <w:rsid w:val="00E11634"/>
    <w:rsid w:val="00E118FD"/>
    <w:rsid w:val="00E41FBF"/>
    <w:rsid w:val="00E52D6C"/>
    <w:rsid w:val="00EB3BC9"/>
    <w:rsid w:val="00EB71B5"/>
    <w:rsid w:val="00F276F1"/>
    <w:rsid w:val="00F64B96"/>
    <w:rsid w:val="00F671CD"/>
    <w:rsid w:val="00F7392D"/>
    <w:rsid w:val="00F85EEC"/>
    <w:rsid w:val="00FC54CC"/>
    <w:rsid w:val="00FC7570"/>
    <w:rsid w:val="00FF7D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6338D9"/>
  <w15:docId w15:val="{C1F86F76-1620-4E3B-B912-E2C2B636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Calibri" w:eastAsia="Calibri" w:hAnsi="Calibri" w:cs="Calibri"/>
    </w:rPr>
  </w:style>
  <w:style w:type="paragraph" w:styleId="1">
    <w:name w:val="heading 1"/>
    <w:basedOn w:val="a"/>
    <w:uiPriority w:val="1"/>
    <w:qFormat/>
    <w:pPr>
      <w:spacing w:before="49"/>
      <w:ind w:left="1061"/>
      <w:outlineLvl w:val="0"/>
    </w:pPr>
    <w:rPr>
      <w:rFonts w:ascii="Times New Roman" w:eastAsia="Times New Roman" w:hAnsi="Times New Roman" w:cs="Times New Roman"/>
      <w:i/>
      <w:iCs/>
      <w:sz w:val="48"/>
      <w:szCs w:val="48"/>
    </w:rPr>
  </w:style>
  <w:style w:type="paragraph" w:styleId="2">
    <w:name w:val="heading 2"/>
    <w:basedOn w:val="a"/>
    <w:uiPriority w:val="1"/>
    <w:qFormat/>
    <w:pPr>
      <w:ind w:left="327" w:right="474" w:hanging="779"/>
      <w:jc w:val="both"/>
      <w:outlineLvl w:val="1"/>
    </w:pPr>
    <w:rPr>
      <w:rFonts w:ascii="Arial Black" w:eastAsia="Arial Black" w:hAnsi="Arial Black" w:cs="Arial Black"/>
      <w:b/>
      <w:bCs/>
      <w:sz w:val="39"/>
      <w:szCs w:val="39"/>
    </w:rPr>
  </w:style>
  <w:style w:type="paragraph" w:styleId="3">
    <w:name w:val="heading 3"/>
    <w:basedOn w:val="a"/>
    <w:uiPriority w:val="1"/>
    <w:qFormat/>
    <w:pPr>
      <w:spacing w:before="1"/>
      <w:ind w:left="1336" w:right="623" w:hanging="776"/>
      <w:jc w:val="both"/>
      <w:outlineLvl w:val="2"/>
    </w:pPr>
    <w:rPr>
      <w:rFonts w:ascii="Arial Black" w:eastAsia="Arial Black" w:hAnsi="Arial Black" w:cs="Arial Black"/>
      <w:b/>
      <w:bCs/>
      <w:sz w:val="37"/>
      <w:szCs w:val="37"/>
    </w:rPr>
  </w:style>
  <w:style w:type="paragraph" w:styleId="4">
    <w:name w:val="heading 4"/>
    <w:basedOn w:val="a"/>
    <w:uiPriority w:val="1"/>
    <w:qFormat/>
    <w:pPr>
      <w:ind w:left="1167"/>
      <w:jc w:val="both"/>
      <w:outlineLvl w:val="3"/>
    </w:pPr>
    <w:rPr>
      <w:rFonts w:ascii="Arial" w:eastAsia="Arial" w:hAnsi="Arial" w:cs="Arial"/>
      <w:sz w:val="37"/>
      <w:szCs w:val="37"/>
    </w:rPr>
  </w:style>
  <w:style w:type="paragraph" w:styleId="5">
    <w:name w:val="heading 5"/>
    <w:basedOn w:val="a"/>
    <w:uiPriority w:val="1"/>
    <w:qFormat/>
    <w:pPr>
      <w:ind w:left="350"/>
      <w:jc w:val="both"/>
      <w:outlineLvl w:val="4"/>
    </w:pPr>
    <w:rPr>
      <w:rFonts w:ascii="Arial" w:eastAsia="Arial" w:hAnsi="Arial" w:cs="Arial"/>
      <w:i/>
      <w:iCs/>
      <w:sz w:val="37"/>
      <w:szCs w:val="37"/>
    </w:rPr>
  </w:style>
  <w:style w:type="paragraph" w:styleId="6">
    <w:name w:val="heading 6"/>
    <w:basedOn w:val="a"/>
    <w:uiPriority w:val="1"/>
    <w:qFormat/>
    <w:pPr>
      <w:spacing w:before="71"/>
      <w:ind w:left="1077" w:right="1080" w:hanging="3"/>
      <w:jc w:val="both"/>
      <w:outlineLvl w:val="5"/>
    </w:pPr>
    <w:rPr>
      <w:rFonts w:ascii="Arial Black" w:eastAsia="Arial Black" w:hAnsi="Arial Black" w:cs="Arial Black"/>
      <w:b/>
      <w:bCs/>
      <w:sz w:val="36"/>
      <w:szCs w:val="36"/>
    </w:rPr>
  </w:style>
  <w:style w:type="paragraph" w:styleId="7">
    <w:name w:val="heading 7"/>
    <w:basedOn w:val="a"/>
    <w:uiPriority w:val="1"/>
    <w:qFormat/>
    <w:pPr>
      <w:ind w:left="319"/>
      <w:jc w:val="both"/>
      <w:outlineLvl w:val="6"/>
    </w:pPr>
    <w:rPr>
      <w:rFonts w:ascii="Arial" w:eastAsia="Arial" w:hAnsi="Arial" w:cs="Arial"/>
      <w:sz w:val="36"/>
      <w:szCs w:val="36"/>
    </w:rPr>
  </w:style>
  <w:style w:type="paragraph" w:styleId="8">
    <w:name w:val="heading 8"/>
    <w:basedOn w:val="a"/>
    <w:uiPriority w:val="1"/>
    <w:qFormat/>
    <w:pPr>
      <w:spacing w:before="159"/>
      <w:ind w:left="615" w:right="34"/>
      <w:jc w:val="center"/>
      <w:outlineLvl w:val="7"/>
    </w:pPr>
    <w:rPr>
      <w:rFonts w:ascii="Arial Black" w:eastAsia="Arial Black" w:hAnsi="Arial Black" w:cs="Arial Black"/>
      <w:b/>
      <w:bCs/>
      <w:sz w:val="32"/>
      <w:szCs w:val="32"/>
    </w:rPr>
  </w:style>
  <w:style w:type="paragraph" w:styleId="9">
    <w:name w:val="heading 9"/>
    <w:basedOn w:val="a"/>
    <w:uiPriority w:val="1"/>
    <w:qFormat/>
    <w:pPr>
      <w:ind w:right="365"/>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20" w:hanging="360"/>
      <w:jc w:val="both"/>
    </w:pPr>
    <w:rPr>
      <w:rFonts w:ascii="Arial" w:eastAsia="Arial" w:hAnsi="Arial" w:cs="Arial"/>
    </w:rPr>
  </w:style>
  <w:style w:type="paragraph" w:customStyle="1" w:styleId="TableParagraph">
    <w:name w:val="Table Paragraph"/>
    <w:basedOn w:val="a"/>
    <w:uiPriority w:val="1"/>
    <w:qFormat/>
  </w:style>
  <w:style w:type="paragraph" w:styleId="a5">
    <w:name w:val="Date"/>
    <w:basedOn w:val="a"/>
    <w:next w:val="a"/>
    <w:link w:val="a6"/>
    <w:uiPriority w:val="99"/>
    <w:semiHidden/>
    <w:unhideWhenUsed/>
    <w:rsid w:val="00FC54CC"/>
  </w:style>
  <w:style w:type="character" w:customStyle="1" w:styleId="a6">
    <w:name w:val="日付 (文字)"/>
    <w:basedOn w:val="a0"/>
    <w:link w:val="a5"/>
    <w:uiPriority w:val="99"/>
    <w:semiHidden/>
    <w:rsid w:val="00FC54CC"/>
    <w:rPr>
      <w:rFonts w:ascii="Calibri" w:eastAsia="Calibri" w:hAnsi="Calibri" w:cs="Calibri"/>
    </w:rPr>
  </w:style>
  <w:style w:type="paragraph" w:customStyle="1" w:styleId="10">
    <w:name w:val="スタイル1"/>
    <w:basedOn w:val="a"/>
    <w:link w:val="11"/>
    <w:uiPriority w:val="1"/>
    <w:qFormat/>
    <w:rsid w:val="009142CB"/>
    <w:pPr>
      <w:spacing w:before="153" w:line="319" w:lineRule="auto"/>
      <w:ind w:right="1073" w:firstLineChars="100" w:firstLine="220"/>
    </w:pPr>
    <w:rPr>
      <w:rFonts w:asciiTheme="minorEastAsia" w:eastAsiaTheme="minorEastAsia" w:hAnsiTheme="minorEastAsia"/>
      <w:w w:val="105"/>
      <w:sz w:val="21"/>
      <w:szCs w:val="21"/>
      <w:lang w:eastAsia="ja-JP"/>
    </w:rPr>
  </w:style>
  <w:style w:type="character" w:customStyle="1" w:styleId="11">
    <w:name w:val="スタイル1 (文字)"/>
    <w:basedOn w:val="a0"/>
    <w:link w:val="10"/>
    <w:uiPriority w:val="1"/>
    <w:rsid w:val="009142CB"/>
    <w:rPr>
      <w:rFonts w:asciiTheme="minorEastAsia" w:hAnsiTheme="minorEastAsia" w:cs="Calibri"/>
      <w:w w:val="105"/>
      <w:sz w:val="21"/>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Rifga</dc:creator>
  <cp:keywords>, docId:10EF3CF6801114A9612456E8E0AA950E</cp:keywords>
  <cp:lastModifiedBy>久夫 佐藤</cp:lastModifiedBy>
  <cp:revision>2</cp:revision>
  <dcterms:created xsi:type="dcterms:W3CDTF">2026-06-21T11:10:00Z</dcterms:created>
  <dcterms:modified xsi:type="dcterms:W3CDTF">2026-06-21T11:10:00Z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Microsoft® Word 2016</vt:lpwstr>
  </property>
  <property fmtid="{D5CDD505-2E9C-101B-9397-08002B2CF9AE}" pid="4" name="LastSaved">
    <vt:filetime>2026-05-20T00:00:00Z</vt:filetime>
  </property>
  <property fmtid="{D5CDD505-2E9C-101B-9397-08002B2CF9AE}" pid="5" name="Producer">
    <vt:lpwstr>Microsoft® Word 2016</vt:lpwstr>
  </property>
</Properties>
</file>