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41DB1" w14:textId="7DBC938E" w:rsidR="000B2AFD" w:rsidRPr="008221FE" w:rsidRDefault="001513DC">
      <w:pPr>
        <w:rPr>
          <w:rFonts w:ascii="BIZ UDゴシック" w:eastAsia="BIZ UDゴシック" w:hAnsi="BIZ UDゴシック"/>
          <w:sz w:val="24"/>
          <w:szCs w:val="24"/>
        </w:rPr>
      </w:pPr>
      <w:r w:rsidRPr="008221FE">
        <w:rPr>
          <w:rFonts w:ascii="BIZ UDゴシック" w:eastAsia="BIZ UDゴシック" w:hAnsi="BIZ UDゴシック" w:hint="eastAsia"/>
          <w:sz w:val="24"/>
          <w:szCs w:val="24"/>
          <w:lang w:eastAsia="ja-JP"/>
        </w:rPr>
        <w:t>国連</w:t>
      </w:r>
      <w:bookmarkStart w:id="0" w:name="_Hlk229852157"/>
      <w:r w:rsidRPr="008221FE">
        <w:rPr>
          <w:rFonts w:ascii="BIZ UDゴシック" w:eastAsia="BIZ UDゴシック" w:hAnsi="BIZ UDゴシック" w:hint="eastAsia"/>
          <w:sz w:val="24"/>
          <w:szCs w:val="24"/>
          <w:lang w:eastAsia="ja-JP"/>
        </w:rPr>
        <w:t>人間居住計画</w:t>
      </w:r>
      <w:bookmarkEnd w:id="0"/>
      <w:r w:rsidRPr="008221FE">
        <w:rPr>
          <w:rFonts w:ascii="BIZ UDゴシック" w:eastAsia="BIZ UDゴシック" w:hAnsi="BIZ UDゴシック" w:hint="eastAsia"/>
          <w:sz w:val="24"/>
          <w:szCs w:val="24"/>
          <w:lang w:eastAsia="ja-JP"/>
        </w:rPr>
        <w:t xml:space="preserve">　</w:t>
      </w:r>
      <w:r w:rsidRPr="008221FE">
        <w:rPr>
          <w:rFonts w:ascii="BIZ UDゴシック" w:eastAsia="BIZ UDゴシック" w:hAnsi="BIZ UDゴシック"/>
          <w:sz w:val="24"/>
          <w:szCs w:val="24"/>
        </w:rPr>
        <w:t>UN</w:t>
      </w:r>
      <w:r w:rsidRPr="008221FE">
        <w:rPr>
          <w:rFonts w:ascii="Cambria Math" w:eastAsia="BIZ UDゴシック" w:hAnsi="Cambria Math" w:cs="Cambria Math"/>
          <w:sz w:val="24"/>
          <w:szCs w:val="24"/>
        </w:rPr>
        <w:t>‑</w:t>
      </w:r>
      <w:r w:rsidRPr="008221FE">
        <w:rPr>
          <w:rFonts w:ascii="BIZ UDゴシック" w:eastAsia="BIZ UDゴシック" w:hAnsi="BIZ UDゴシック"/>
          <w:sz w:val="24"/>
          <w:szCs w:val="24"/>
        </w:rPr>
        <w:t>Habitat</w:t>
      </w:r>
    </w:p>
    <w:p w14:paraId="283BAC9D" w14:textId="77777777" w:rsidR="001513DC" w:rsidRDefault="001513DC">
      <w:pPr>
        <w:rPr>
          <w:lang w:eastAsia="ja-JP"/>
        </w:rPr>
      </w:pPr>
    </w:p>
    <w:p w14:paraId="34E29091" w14:textId="77777777" w:rsidR="009471E9" w:rsidRDefault="001513DC" w:rsidP="009471E9">
      <w:pPr>
        <w:jc w:val="center"/>
        <w:rPr>
          <w:rFonts w:ascii="BIZ UDゴシック" w:eastAsia="BIZ UDゴシック" w:hAnsi="BIZ UDゴシック"/>
          <w:sz w:val="24"/>
          <w:szCs w:val="24"/>
          <w:lang w:eastAsia="ja-JP"/>
        </w:rPr>
      </w:pPr>
      <w:r w:rsidRPr="008221FE">
        <w:rPr>
          <w:rFonts w:ascii="BIZ UDゴシック" w:eastAsia="BIZ UDゴシック" w:hAnsi="BIZ UDゴシック" w:hint="eastAsia"/>
          <w:sz w:val="24"/>
          <w:szCs w:val="24"/>
          <w:lang w:eastAsia="ja-JP"/>
        </w:rPr>
        <w:t>意見募集：高齢者の人権に関する法的拘束力のある文書</w:t>
      </w:r>
      <w:r w:rsidR="009471E9">
        <w:rPr>
          <w:rFonts w:ascii="BIZ UDゴシック" w:eastAsia="BIZ UDゴシック" w:hAnsi="BIZ UDゴシック" w:hint="eastAsia"/>
          <w:sz w:val="24"/>
          <w:szCs w:val="24"/>
          <w:lang w:eastAsia="ja-JP"/>
        </w:rPr>
        <w:t>の</w:t>
      </w:r>
    </w:p>
    <w:p w14:paraId="0796CC3E" w14:textId="5C0B344F" w:rsidR="001513DC" w:rsidRPr="008221FE" w:rsidRDefault="001513DC" w:rsidP="009471E9">
      <w:pPr>
        <w:jc w:val="center"/>
        <w:rPr>
          <w:rFonts w:ascii="BIZ UDゴシック" w:eastAsia="BIZ UDゴシック" w:hAnsi="BIZ UDゴシック"/>
          <w:sz w:val="24"/>
          <w:szCs w:val="24"/>
          <w:lang w:eastAsia="ja-JP"/>
        </w:rPr>
      </w:pPr>
      <w:r w:rsidRPr="008221FE">
        <w:rPr>
          <w:rFonts w:ascii="BIZ UDゴシック" w:eastAsia="BIZ UDゴシック" w:hAnsi="BIZ UDゴシック" w:hint="eastAsia"/>
          <w:sz w:val="24"/>
          <w:szCs w:val="24"/>
          <w:lang w:eastAsia="ja-JP"/>
        </w:rPr>
        <w:t>全体的な枠組み、構成、および指針</w:t>
      </w:r>
      <w:r w:rsidR="00B87832">
        <w:rPr>
          <w:rFonts w:ascii="BIZ UDゴシック" w:eastAsia="BIZ UDゴシック" w:hAnsi="BIZ UDゴシック" w:hint="eastAsia"/>
          <w:sz w:val="24"/>
          <w:szCs w:val="24"/>
          <w:lang w:eastAsia="ja-JP"/>
        </w:rPr>
        <w:t>となる原則</w:t>
      </w:r>
    </w:p>
    <w:p w14:paraId="3F260FF6" w14:textId="77777777" w:rsidR="001513DC" w:rsidRDefault="001513DC" w:rsidP="001513DC">
      <w:pPr>
        <w:rPr>
          <w:lang w:eastAsia="ja-JP"/>
        </w:rPr>
      </w:pPr>
    </w:p>
    <w:p w14:paraId="50A680D4" w14:textId="77777777" w:rsidR="003F275F" w:rsidRDefault="003F275F" w:rsidP="003F275F">
      <w:pPr>
        <w:jc w:val="left"/>
        <w:rPr>
          <w:rFonts w:ascii="BIZ UDゴシック" w:eastAsia="BIZ UDゴシック" w:hAnsi="BIZ UDゴシック"/>
          <w:szCs w:val="21"/>
          <w:lang w:eastAsia="ja-JP"/>
        </w:rPr>
      </w:pPr>
      <w:r w:rsidRPr="003F275F">
        <w:rPr>
          <w:rFonts w:ascii="BIZ UDゴシック" w:eastAsia="BIZ UDゴシック" w:hAnsi="BIZ UDゴシック" w:hint="eastAsia"/>
          <w:szCs w:val="21"/>
        </w:rPr>
        <w:t>質問1. 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53C72305" w14:textId="77777777" w:rsidR="009471E9" w:rsidRPr="003F275F" w:rsidRDefault="009471E9" w:rsidP="003F275F">
      <w:pPr>
        <w:jc w:val="left"/>
        <w:rPr>
          <w:rFonts w:ascii="BIZ UDゴシック" w:eastAsia="BIZ UDゴシック" w:hAnsi="BIZ UDゴシック" w:hint="eastAsia"/>
          <w:szCs w:val="21"/>
          <w:lang w:eastAsia="ja-JP"/>
        </w:rPr>
      </w:pPr>
    </w:p>
    <w:p w14:paraId="39158987" w14:textId="2B3AD7B8" w:rsidR="001513DC" w:rsidRDefault="001513DC" w:rsidP="008221FE">
      <w:pPr>
        <w:ind w:leftChars="202" w:left="424"/>
        <w:rPr>
          <w:lang w:eastAsia="ja-JP"/>
        </w:rPr>
      </w:pPr>
      <w:r>
        <w:rPr>
          <w:rFonts w:hint="eastAsia"/>
          <w:lang w:eastAsia="ja-JP"/>
        </w:rPr>
        <w:t>•</w:t>
      </w:r>
      <w:r>
        <w:rPr>
          <w:lang w:eastAsia="ja-JP"/>
        </w:rPr>
        <w:t xml:space="preserve">    国連</w:t>
      </w:r>
      <w:r w:rsidR="00B87832" w:rsidRPr="00B87832">
        <w:rPr>
          <w:rFonts w:hint="eastAsia"/>
          <w:lang w:eastAsia="ja-JP"/>
        </w:rPr>
        <w:t>人間居住計画</w:t>
      </w:r>
      <w:r>
        <w:rPr>
          <w:lang w:eastAsia="ja-JP"/>
        </w:rPr>
        <w:t>の観点からは、この法的拘束力のある文書は、人権に基づ</w:t>
      </w:r>
      <w:r w:rsidR="00B87832">
        <w:rPr>
          <w:rFonts w:hint="eastAsia"/>
          <w:lang w:eastAsia="ja-JP"/>
        </w:rPr>
        <w:t>いた、</w:t>
      </w:r>
      <w:r>
        <w:rPr>
          <w:lang w:eastAsia="ja-JP"/>
        </w:rPr>
        <w:t>交差性の枠組みに立脚すべきであり、高齢者を自律的な権利保有者として認識し、その権利の享受が、</w:t>
      </w:r>
      <w:r w:rsidR="00B87832">
        <w:rPr>
          <w:rFonts w:hint="eastAsia"/>
          <w:lang w:eastAsia="ja-JP"/>
        </w:rPr>
        <w:t>複合</w:t>
      </w:r>
      <w:r>
        <w:rPr>
          <w:lang w:eastAsia="ja-JP"/>
        </w:rPr>
        <w:t>的</w:t>
      </w:r>
      <w:r w:rsidR="00B87832">
        <w:rPr>
          <w:rFonts w:hint="eastAsia"/>
          <w:lang w:eastAsia="ja-JP"/>
        </w:rPr>
        <w:t>・</w:t>
      </w:r>
      <w:r>
        <w:rPr>
          <w:lang w:eastAsia="ja-JP"/>
        </w:rPr>
        <w:t>交差</w:t>
      </w:r>
      <w:r w:rsidR="00B87832">
        <w:rPr>
          <w:rFonts w:hint="eastAsia"/>
          <w:lang w:eastAsia="ja-JP"/>
        </w:rPr>
        <w:t>的な</w:t>
      </w:r>
      <w:r>
        <w:rPr>
          <w:lang w:eastAsia="ja-JP"/>
        </w:rPr>
        <w:t>形態の差別によって形作られている</w:t>
      </w:r>
      <w:r w:rsidR="00B87832" w:rsidRPr="00B87832">
        <w:rPr>
          <w:rFonts w:hint="eastAsia"/>
          <w:sz w:val="18"/>
          <w:szCs w:val="18"/>
          <w:lang w:eastAsia="ja-JP"/>
        </w:rPr>
        <w:t>（訳注　「妨げられている」の誤記か）</w:t>
      </w:r>
      <w:r>
        <w:rPr>
          <w:lang w:eastAsia="ja-JP"/>
        </w:rPr>
        <w:t>ことを認識すべきである。</w:t>
      </w:r>
    </w:p>
    <w:p w14:paraId="0A49C26F" w14:textId="7A7B0BC8" w:rsidR="001513DC" w:rsidRDefault="001513DC" w:rsidP="008221FE">
      <w:pPr>
        <w:ind w:leftChars="202" w:left="424"/>
        <w:rPr>
          <w:lang w:eastAsia="ja-JP"/>
        </w:rPr>
      </w:pPr>
      <w:r>
        <w:rPr>
          <w:rFonts w:hint="eastAsia"/>
          <w:lang w:eastAsia="ja-JP"/>
        </w:rPr>
        <w:t>•</w:t>
      </w:r>
      <w:r>
        <w:rPr>
          <w:lang w:eastAsia="ja-JP"/>
        </w:rPr>
        <w:t xml:space="preserve">    高齢者は、例えば性別、障害、民族、経済的地位、婚姻状況などに基づく複合的な排除に直面している。例えば、我々の経験によれば、高齢女性、特に未亡人は、土地の奪取といった人権侵害のリスクが高く、全体として土地権を主張する機会が制限されている。高齢女性、特に人生の大部分をインフォーマル</w:t>
      </w:r>
      <w:r w:rsidR="0081178F">
        <w:rPr>
          <w:rFonts w:hint="eastAsia"/>
          <w:lang w:eastAsia="ja-JP"/>
        </w:rPr>
        <w:t>分野</w:t>
      </w:r>
      <w:r>
        <w:rPr>
          <w:lang w:eastAsia="ja-JP"/>
        </w:rPr>
        <w:t>で働いたり、家庭内で無償の家事・介護労働を行ってきた人々は、経済的機会、公正な賃金、年金、社会的支援へのアクセス</w:t>
      </w:r>
      <w:r w:rsidR="0081178F">
        <w:rPr>
          <w:rFonts w:hint="eastAsia"/>
          <w:lang w:eastAsia="ja-JP"/>
        </w:rPr>
        <w:t>の</w:t>
      </w:r>
      <w:r>
        <w:rPr>
          <w:lang w:eastAsia="ja-JP"/>
        </w:rPr>
        <w:t>格差など</w:t>
      </w:r>
      <w:r w:rsidR="00B87832">
        <w:rPr>
          <w:rFonts w:hint="eastAsia"/>
          <w:lang w:eastAsia="ja-JP"/>
        </w:rPr>
        <w:t>によって</w:t>
      </w:r>
      <w:r>
        <w:rPr>
          <w:lang w:eastAsia="ja-JP"/>
        </w:rPr>
        <w:t>、ホームレス状態になるリスクも高い。</w:t>
      </w:r>
    </w:p>
    <w:p w14:paraId="4AB4CD41" w14:textId="14E7E67C" w:rsidR="001513DC" w:rsidRDefault="001513DC" w:rsidP="008221FE">
      <w:pPr>
        <w:ind w:leftChars="202" w:left="424"/>
        <w:rPr>
          <w:lang w:eastAsia="ja-JP"/>
        </w:rPr>
      </w:pPr>
      <w:r>
        <w:rPr>
          <w:rFonts w:hint="eastAsia"/>
          <w:lang w:eastAsia="ja-JP"/>
        </w:rPr>
        <w:t>•</w:t>
      </w:r>
      <w:r>
        <w:rPr>
          <w:lang w:eastAsia="ja-JP"/>
        </w:rPr>
        <w:t xml:space="preserve">    いくつかの国では、ホームレス状態にある高齢者が増加する傾向が見られ</w:t>
      </w:r>
      <w:r w:rsidR="00B87832">
        <w:rPr>
          <w:rFonts w:hint="eastAsia"/>
          <w:lang w:eastAsia="ja-JP"/>
        </w:rPr>
        <w:t>る</w:t>
      </w:r>
      <w:r>
        <w:rPr>
          <w:lang w:eastAsia="ja-JP"/>
        </w:rPr>
        <w:t>。高齢者向けの社会支援を提供している国もあ</w:t>
      </w:r>
      <w:r w:rsidR="00B87832">
        <w:rPr>
          <w:rFonts w:hint="eastAsia"/>
          <w:lang w:eastAsia="ja-JP"/>
        </w:rPr>
        <w:t>る</w:t>
      </w:r>
      <w:r>
        <w:rPr>
          <w:lang w:eastAsia="ja-JP"/>
        </w:rPr>
        <w:t>が、高齢者の複雑な健康、社会、アクセシビリティのニーズに合わせた住宅</w:t>
      </w:r>
      <w:r w:rsidR="00B87832">
        <w:rPr>
          <w:rFonts w:hint="eastAsia"/>
          <w:lang w:eastAsia="ja-JP"/>
        </w:rPr>
        <w:t>施策</w:t>
      </w:r>
      <w:r>
        <w:rPr>
          <w:lang w:eastAsia="ja-JP"/>
        </w:rPr>
        <w:t>は依然として稀で</w:t>
      </w:r>
      <w:r w:rsidR="00B87832">
        <w:rPr>
          <w:rFonts w:hint="eastAsia"/>
          <w:lang w:eastAsia="ja-JP"/>
        </w:rPr>
        <w:t>ある</w:t>
      </w:r>
      <w:r>
        <w:rPr>
          <w:lang w:eastAsia="ja-JP"/>
        </w:rPr>
        <w:t>。さらに、</w:t>
      </w:r>
      <w:r w:rsidR="00B87832">
        <w:rPr>
          <w:rFonts w:hint="eastAsia"/>
          <w:lang w:eastAsia="ja-JP"/>
        </w:rPr>
        <w:t>（ホームレスの人のための）</w:t>
      </w:r>
      <w:r>
        <w:rPr>
          <w:lang w:eastAsia="ja-JP"/>
        </w:rPr>
        <w:t>シェルターはアクセシビリティに欠けることが多く、あるいは（日中は不在といった）前提に基づいて運営されているため、健康上の問題や移動の制限がある人々を排除</w:t>
      </w:r>
      <w:r w:rsidR="0081178F">
        <w:rPr>
          <w:rFonts w:hint="eastAsia"/>
          <w:lang w:eastAsia="ja-JP"/>
        </w:rPr>
        <w:t>する</w:t>
      </w:r>
      <w:r>
        <w:rPr>
          <w:lang w:eastAsia="ja-JP"/>
        </w:rPr>
        <w:t>ことがあ</w:t>
      </w:r>
      <w:r w:rsidR="00B87832">
        <w:rPr>
          <w:rFonts w:hint="eastAsia"/>
          <w:lang w:eastAsia="ja-JP"/>
        </w:rPr>
        <w:t>る</w:t>
      </w:r>
      <w:r>
        <w:rPr>
          <w:lang w:eastAsia="ja-JP"/>
        </w:rPr>
        <w:t>。</w:t>
      </w:r>
    </w:p>
    <w:p w14:paraId="1533018B" w14:textId="655163B7" w:rsidR="001513DC" w:rsidRDefault="001513DC" w:rsidP="008221FE">
      <w:pPr>
        <w:ind w:leftChars="202" w:left="424"/>
        <w:rPr>
          <w:lang w:eastAsia="ja-JP"/>
        </w:rPr>
      </w:pPr>
      <w:r>
        <w:rPr>
          <w:rFonts w:hint="eastAsia"/>
          <w:lang w:eastAsia="ja-JP"/>
        </w:rPr>
        <w:t>•</w:t>
      </w:r>
      <w:r>
        <w:rPr>
          <w:lang w:eastAsia="ja-JP"/>
        </w:rPr>
        <w:tab/>
      </w:r>
      <w:r w:rsidR="00B87832">
        <w:rPr>
          <w:rFonts w:hint="eastAsia"/>
          <w:lang w:eastAsia="ja-JP"/>
        </w:rPr>
        <w:t>インフォーマルな</w:t>
      </w:r>
      <w:r>
        <w:rPr>
          <w:lang w:eastAsia="ja-JP"/>
        </w:rPr>
        <w:t>居住区に住む高齢者は、気候変動への適応や計画策定のプロセスに参加</w:t>
      </w:r>
      <w:r w:rsidR="00B87832">
        <w:rPr>
          <w:rFonts w:hint="eastAsia"/>
          <w:lang w:eastAsia="ja-JP"/>
        </w:rPr>
        <w:t>しにくい</w:t>
      </w:r>
      <w:r>
        <w:rPr>
          <w:lang w:eastAsia="ja-JP"/>
        </w:rPr>
        <w:t>が、一方で気候変動の悪影響を最も受けやすい立場に置かれている。</w:t>
      </w:r>
    </w:p>
    <w:p w14:paraId="60CEFD8C" w14:textId="445D5736" w:rsidR="001513DC" w:rsidRDefault="001513DC" w:rsidP="008221FE">
      <w:pPr>
        <w:ind w:leftChars="202" w:left="424"/>
        <w:rPr>
          <w:rFonts w:hint="eastAsia"/>
          <w:lang w:eastAsia="ja-JP"/>
        </w:rPr>
      </w:pPr>
      <w:r>
        <w:rPr>
          <w:rFonts w:hint="eastAsia"/>
          <w:lang w:eastAsia="ja-JP"/>
        </w:rPr>
        <w:t>•</w:t>
      </w:r>
      <w:r>
        <w:rPr>
          <w:lang w:eastAsia="ja-JP"/>
        </w:rPr>
        <w:t xml:space="preserve">    同様に、障害</w:t>
      </w:r>
      <w:r w:rsidR="00B87832">
        <w:rPr>
          <w:rFonts w:hint="eastAsia"/>
          <w:lang w:eastAsia="ja-JP"/>
        </w:rPr>
        <w:t>のある</w:t>
      </w:r>
      <w:r>
        <w:rPr>
          <w:lang w:eastAsia="ja-JP"/>
        </w:rPr>
        <w:t>高齢者は、公共交通機関や公共空間（道路、広場、公共施設）へのアクセスが困難であること、さらには住宅へのアクセスが困難である</w:t>
      </w:r>
      <w:r w:rsidR="0081178F">
        <w:rPr>
          <w:lang w:eastAsia="ja-JP"/>
        </w:rPr>
        <w:t>こと</w:t>
      </w:r>
      <w:r>
        <w:rPr>
          <w:lang w:eastAsia="ja-JP"/>
        </w:rPr>
        <w:t>（その結果、住居が不適切となる）などを理由に、公共生活や都市生活への参加や享受においてさらなる排除に直面してい</w:t>
      </w:r>
      <w:r w:rsidR="00B87832">
        <w:rPr>
          <w:rFonts w:hint="eastAsia"/>
          <w:lang w:eastAsia="ja-JP"/>
        </w:rPr>
        <w:t>る</w:t>
      </w:r>
      <w:r>
        <w:rPr>
          <w:lang w:eastAsia="ja-JP"/>
        </w:rPr>
        <w:t>。したがって、本条約は、支援的な環境</w:t>
      </w:r>
      <w:r w:rsidR="00B87832">
        <w:rPr>
          <w:rFonts w:hint="eastAsia"/>
          <w:lang w:eastAsia="ja-JP"/>
        </w:rPr>
        <w:t>（</w:t>
      </w:r>
      <w:r w:rsidR="00B87832" w:rsidRPr="00B87832">
        <w:rPr>
          <w:lang w:eastAsia="ja-JP"/>
        </w:rPr>
        <w:t>enabling environments</w:t>
      </w:r>
      <w:r w:rsidR="00B87832">
        <w:rPr>
          <w:rFonts w:hint="eastAsia"/>
          <w:lang w:eastAsia="ja-JP"/>
        </w:rPr>
        <w:t>）</w:t>
      </w:r>
      <w:r>
        <w:rPr>
          <w:lang w:eastAsia="ja-JP"/>
        </w:rPr>
        <w:t>が高齢者の権利であることを認めるべきである。</w:t>
      </w:r>
    </w:p>
    <w:p w14:paraId="7FE1CBB5" w14:textId="5AEA02A1" w:rsidR="001513DC" w:rsidRDefault="001513DC" w:rsidP="008221FE">
      <w:pPr>
        <w:ind w:leftChars="202" w:left="424"/>
        <w:rPr>
          <w:lang w:eastAsia="ja-JP"/>
        </w:rPr>
      </w:pPr>
      <w:r>
        <w:rPr>
          <w:rFonts w:hint="eastAsia"/>
          <w:lang w:eastAsia="ja-JP"/>
        </w:rPr>
        <w:t>•</w:t>
      </w:r>
      <w:r>
        <w:rPr>
          <w:lang w:eastAsia="ja-JP"/>
        </w:rPr>
        <w:t xml:space="preserve">    したがって、本条約が高齢者を均質な集団として扱うのではなく、彼らの平等な権利を肯定し、生涯にわたって蓄積された構造的な不平等に対処し、住宅、土地、都市開発を含むあらゆる分野における差別からの保護を強化するためには、交差性の枠組みが不可欠である。</w:t>
      </w:r>
    </w:p>
    <w:p w14:paraId="5E0682CE" w14:textId="77777777" w:rsidR="009471E9" w:rsidRDefault="009471E9" w:rsidP="008221FE">
      <w:pPr>
        <w:ind w:leftChars="202" w:left="424"/>
        <w:rPr>
          <w:rFonts w:hint="eastAsia"/>
          <w:lang w:eastAsia="ja-JP"/>
        </w:rPr>
      </w:pPr>
    </w:p>
    <w:p w14:paraId="6C0FF8BB" w14:textId="77777777" w:rsidR="003F275F" w:rsidRDefault="003F275F" w:rsidP="008221FE">
      <w:pPr>
        <w:ind w:leftChars="202" w:left="424"/>
        <w:rPr>
          <w:rFonts w:hint="eastAsia"/>
          <w:lang w:eastAsia="ja-JP"/>
        </w:rPr>
      </w:pPr>
    </w:p>
    <w:p w14:paraId="616F541E" w14:textId="77777777" w:rsidR="003F275F" w:rsidRDefault="003F275F" w:rsidP="003F275F">
      <w:pPr>
        <w:jc w:val="left"/>
        <w:rPr>
          <w:rFonts w:ascii="BIZ UDゴシック" w:eastAsia="BIZ UDゴシック" w:hAnsi="BIZ UDゴシック"/>
          <w:szCs w:val="21"/>
          <w:lang w:eastAsia="ja-JP"/>
        </w:rPr>
      </w:pPr>
      <w:r w:rsidRPr="003F275F">
        <w:rPr>
          <w:rFonts w:ascii="BIZ UDゴシック" w:eastAsia="BIZ UDゴシック" w:hAnsi="BIZ UDゴシック" w:hint="eastAsia"/>
          <w:szCs w:val="21"/>
        </w:rPr>
        <w:lastRenderedPageBreak/>
        <w:t>質問2. 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1709E18A" w14:textId="77777777" w:rsidR="009471E9" w:rsidRPr="003F275F" w:rsidRDefault="009471E9" w:rsidP="003F275F">
      <w:pPr>
        <w:jc w:val="left"/>
        <w:rPr>
          <w:rFonts w:ascii="BIZ UDゴシック" w:eastAsia="BIZ UDゴシック" w:hAnsi="BIZ UDゴシック" w:hint="eastAsia"/>
          <w:szCs w:val="21"/>
          <w:lang w:eastAsia="ja-JP"/>
        </w:rPr>
      </w:pPr>
    </w:p>
    <w:p w14:paraId="7C1BFF0B" w14:textId="7CDE0B0E" w:rsidR="001513DC" w:rsidRDefault="001513DC" w:rsidP="008221FE">
      <w:pPr>
        <w:ind w:leftChars="202" w:left="424"/>
        <w:rPr>
          <w:lang w:eastAsia="ja-JP"/>
        </w:rPr>
      </w:pPr>
      <w:r>
        <w:rPr>
          <w:rFonts w:hint="eastAsia"/>
          <w:lang w:eastAsia="ja-JP"/>
        </w:rPr>
        <w:t>•</w:t>
      </w:r>
      <w:r>
        <w:rPr>
          <w:lang w:eastAsia="ja-JP"/>
        </w:rPr>
        <w:t xml:space="preserve">    中核となる原則には、特に高齢者が既存の住宅権を確実に享受できるよう、差別のない適切な住居への権利を含めるべきである。適切な住居への権利は国際人権法において十分に確立されている</w:t>
      </w:r>
      <w:r w:rsidR="00B87832">
        <w:rPr>
          <w:rFonts w:hint="eastAsia"/>
          <w:lang w:eastAsia="ja-JP"/>
        </w:rPr>
        <w:t>にもかかわらず</w:t>
      </w:r>
      <w:r>
        <w:rPr>
          <w:lang w:eastAsia="ja-JP"/>
        </w:rPr>
        <w:t>、加齢に伴う居住権の不安定化、立ち退き、土地の剥奪に対する明確な保護措置</w:t>
      </w:r>
      <w:r w:rsidR="00B87832">
        <w:rPr>
          <w:rFonts w:hint="eastAsia"/>
          <w:lang w:eastAsia="ja-JP"/>
        </w:rPr>
        <w:t>が欠けている。これは</w:t>
      </w:r>
      <w:r>
        <w:rPr>
          <w:lang w:eastAsia="ja-JP"/>
        </w:rPr>
        <w:t>特に都市部やインフォーマルな環境において、高齢者に不均衡な影響を及ぼ</w:t>
      </w:r>
      <w:r w:rsidR="00B87832">
        <w:rPr>
          <w:rFonts w:hint="eastAsia"/>
          <w:lang w:eastAsia="ja-JP"/>
        </w:rPr>
        <w:t>している。</w:t>
      </w:r>
      <w:r w:rsidR="003D1362">
        <w:rPr>
          <w:rFonts w:hint="eastAsia"/>
          <w:lang w:eastAsia="ja-JP"/>
        </w:rPr>
        <w:t>この事態は</w:t>
      </w:r>
      <w:r>
        <w:rPr>
          <w:lang w:eastAsia="ja-JP"/>
        </w:rPr>
        <w:t>規範的な</w:t>
      </w:r>
      <w:r w:rsidR="003D1362">
        <w:rPr>
          <w:rFonts w:hint="eastAsia"/>
          <w:lang w:eastAsia="ja-JP"/>
        </w:rPr>
        <w:t>欠落</w:t>
      </w:r>
      <w:r>
        <w:rPr>
          <w:lang w:eastAsia="ja-JP"/>
        </w:rPr>
        <w:t>を露呈し</w:t>
      </w:r>
      <w:r w:rsidR="003D1362">
        <w:rPr>
          <w:rFonts w:hint="eastAsia"/>
          <w:lang w:eastAsia="ja-JP"/>
        </w:rPr>
        <w:t>たものであ</w:t>
      </w:r>
      <w:r>
        <w:rPr>
          <w:lang w:eastAsia="ja-JP"/>
        </w:rPr>
        <w:t>る。</w:t>
      </w:r>
    </w:p>
    <w:p w14:paraId="59143DE2" w14:textId="407CAC65" w:rsidR="001513DC" w:rsidRDefault="001513DC" w:rsidP="008221FE">
      <w:pPr>
        <w:ind w:leftChars="202" w:left="424"/>
        <w:rPr>
          <w:lang w:eastAsia="ja-JP"/>
        </w:rPr>
      </w:pPr>
      <w:r>
        <w:rPr>
          <w:rFonts w:hint="eastAsia"/>
          <w:lang w:eastAsia="ja-JP"/>
        </w:rPr>
        <w:t>•</w:t>
      </w:r>
      <w:r>
        <w:rPr>
          <w:lang w:eastAsia="ja-JP"/>
        </w:rPr>
        <w:t xml:space="preserve">    前述の通り、高齢者が物理的・社会的環境に効果的にアクセスし、利用できるようにするためには、アクセシビリティも不可欠である。参加と包摂</w:t>
      </w:r>
      <w:r w:rsidR="003D1362">
        <w:rPr>
          <w:rFonts w:hint="eastAsia"/>
          <w:lang w:eastAsia="ja-JP"/>
        </w:rPr>
        <w:t>という</w:t>
      </w:r>
      <w:r>
        <w:rPr>
          <w:lang w:eastAsia="ja-JP"/>
        </w:rPr>
        <w:t>中核的原則は、本条約に基づくすべての権利の解釈の指針となるべきである。多くの高齢者にとって、物理的障壁、排他的な環境、あるいは不適切な都市設計による公共空間からの排除は、社会的、文化的、市民的、そして地域社会生活への参加能力を事実上制限している。アクセス可能で、安全かつ包摂的な公共空間は、高齢者が権利を平等に享受するための前提条件として考慮されるべきである。</w:t>
      </w:r>
    </w:p>
    <w:p w14:paraId="53EECC67" w14:textId="0A712A55" w:rsidR="001513DC" w:rsidRDefault="001513DC" w:rsidP="008221FE">
      <w:pPr>
        <w:ind w:leftChars="202" w:left="424"/>
        <w:rPr>
          <w:lang w:eastAsia="ja-JP"/>
        </w:rPr>
      </w:pPr>
      <w:r>
        <w:rPr>
          <w:rFonts w:hint="eastAsia"/>
          <w:lang w:eastAsia="ja-JP"/>
        </w:rPr>
        <w:t>•</w:t>
      </w:r>
      <w:r>
        <w:rPr>
          <w:lang w:eastAsia="ja-JP"/>
        </w:rPr>
        <w:t xml:space="preserve">    </w:t>
      </w:r>
      <w:r w:rsidR="003D1362">
        <w:rPr>
          <w:rFonts w:hint="eastAsia"/>
          <w:lang w:eastAsia="ja-JP"/>
        </w:rPr>
        <w:t>とくに</w:t>
      </w:r>
      <w:r>
        <w:rPr>
          <w:lang w:eastAsia="ja-JP"/>
        </w:rPr>
        <w:t>、地方レベルを含む意思決定への参加に関して、高齢者は自らの生活環境に影響を及ぼす意思決定プロセスに有意義に参画できなければならない。都市計画や住宅政策のプロセスへの参加における、</w:t>
      </w:r>
      <w:r w:rsidR="003D1362">
        <w:rPr>
          <w:rFonts w:hint="eastAsia"/>
          <w:lang w:eastAsia="ja-JP"/>
        </w:rPr>
        <w:t>物理</w:t>
      </w:r>
      <w:r>
        <w:rPr>
          <w:lang w:eastAsia="ja-JP"/>
        </w:rPr>
        <w:t>的なアクセス困難、デジタル・ディバイド、あるいは高齢者の能力に対する先入観といった、年齢に関連する障壁に対処すべきである。</w:t>
      </w:r>
    </w:p>
    <w:p w14:paraId="33C83321" w14:textId="77777777" w:rsidR="001513DC" w:rsidRDefault="001513DC" w:rsidP="001513DC">
      <w:pPr>
        <w:rPr>
          <w:lang w:eastAsia="ja-JP"/>
        </w:rPr>
      </w:pPr>
    </w:p>
    <w:p w14:paraId="118FF5F7" w14:textId="77777777" w:rsidR="003F275F" w:rsidRDefault="003F275F" w:rsidP="003F275F">
      <w:pPr>
        <w:jc w:val="left"/>
        <w:rPr>
          <w:rFonts w:ascii="BIZ UDゴシック" w:eastAsia="BIZ UDゴシック" w:hAnsi="BIZ UDゴシック"/>
          <w:szCs w:val="21"/>
          <w:lang w:eastAsia="ja-JP"/>
        </w:rPr>
      </w:pPr>
      <w:r w:rsidRPr="003F275F">
        <w:rPr>
          <w:rFonts w:ascii="BIZ UDゴシック" w:eastAsia="BIZ UDゴシック" w:hAnsi="BIZ UDゴシック" w:hint="eastAsia"/>
          <w:szCs w:val="21"/>
        </w:rPr>
        <w:t>質問3. 法的拘束力のある文書は、明確性と実効性を確保するために、どのような全体構成（</w:t>
      </w:r>
      <w:r w:rsidRPr="003F275F">
        <w:rPr>
          <w:rFonts w:ascii="BIZ UDゴシック" w:eastAsia="BIZ UDゴシック" w:hAnsi="BIZ UDゴシック"/>
          <w:szCs w:val="21"/>
        </w:rPr>
        <w:t>structure</w:t>
      </w:r>
      <w:r w:rsidRPr="003F275F">
        <w:rPr>
          <w:rFonts w:ascii="BIZ UDゴシック" w:eastAsia="BIZ UDゴシック" w:hAnsi="BIZ UDゴシック" w:hint="eastAsia"/>
          <w:szCs w:val="21"/>
        </w:rPr>
        <w:t>）や設計枠組み（</w:t>
      </w:r>
      <w:r w:rsidRPr="003F275F">
        <w:rPr>
          <w:rFonts w:ascii="BIZ UDゴシック" w:eastAsia="BIZ UDゴシック" w:hAnsi="BIZ UDゴシック"/>
          <w:szCs w:val="21"/>
        </w:rPr>
        <w:t>architecture</w:t>
      </w:r>
      <w:r w:rsidRPr="003F275F">
        <w:rPr>
          <w:rFonts w:ascii="BIZ UDゴシック" w:eastAsia="BIZ UDゴシック" w:hAnsi="BIZ UDゴシック" w:hint="eastAsia"/>
          <w:szCs w:val="21"/>
        </w:rPr>
        <w:t>）を採用すべきか？例えば、前文、定義、一般原則、一般的義務、具体的権利、および実施規定を含めるべきか？</w:t>
      </w:r>
    </w:p>
    <w:p w14:paraId="2C9D0BEE" w14:textId="77777777" w:rsidR="009471E9" w:rsidRPr="003F275F" w:rsidRDefault="009471E9" w:rsidP="003F275F">
      <w:pPr>
        <w:jc w:val="left"/>
        <w:rPr>
          <w:rFonts w:ascii="BIZ UDゴシック" w:eastAsia="BIZ UDゴシック" w:hAnsi="BIZ UDゴシック" w:hint="eastAsia"/>
          <w:szCs w:val="21"/>
          <w:lang w:eastAsia="ja-JP"/>
        </w:rPr>
      </w:pPr>
    </w:p>
    <w:p w14:paraId="031D93FD" w14:textId="3D8E134E" w:rsidR="001513DC" w:rsidRDefault="001513DC" w:rsidP="008221FE">
      <w:pPr>
        <w:ind w:leftChars="202" w:left="424"/>
        <w:rPr>
          <w:lang w:eastAsia="ja-JP"/>
        </w:rPr>
      </w:pPr>
      <w:r>
        <w:rPr>
          <w:rFonts w:hint="eastAsia"/>
          <w:lang w:eastAsia="ja-JP"/>
        </w:rPr>
        <w:t>•</w:t>
      </w:r>
      <w:r>
        <w:rPr>
          <w:lang w:eastAsia="ja-JP"/>
        </w:rPr>
        <w:t xml:space="preserve">    国連</w:t>
      </w:r>
      <w:r w:rsidR="003D1362">
        <w:rPr>
          <w:rFonts w:hint="eastAsia"/>
          <w:lang w:eastAsia="ja-JP"/>
        </w:rPr>
        <w:t>人間居住計画</w:t>
      </w:r>
      <w:r>
        <w:rPr>
          <w:lang w:eastAsia="ja-JP"/>
        </w:rPr>
        <w:t>は、2023年の国連</w:t>
      </w:r>
      <w:r w:rsidR="003D1362">
        <w:rPr>
          <w:rFonts w:hint="eastAsia"/>
          <w:lang w:eastAsia="ja-JP"/>
        </w:rPr>
        <w:t>人間居住計画</w:t>
      </w:r>
      <w:r>
        <w:rPr>
          <w:lang w:eastAsia="ja-JP"/>
        </w:rPr>
        <w:t>総会により設立され、2029年の第3回</w:t>
      </w:r>
      <w:r w:rsidR="003D1362">
        <w:rPr>
          <w:rFonts w:hint="eastAsia"/>
          <w:lang w:eastAsia="ja-JP"/>
        </w:rPr>
        <w:t>人間居住計画</w:t>
      </w:r>
      <w:r>
        <w:rPr>
          <w:lang w:eastAsia="ja-JP"/>
        </w:rPr>
        <w:t>総会に向けて</w:t>
      </w:r>
      <w:r w:rsidR="003D1362">
        <w:rPr>
          <w:rFonts w:hint="eastAsia"/>
          <w:lang w:eastAsia="ja-JP"/>
        </w:rPr>
        <w:t>総合</w:t>
      </w:r>
      <w:r>
        <w:rPr>
          <w:lang w:eastAsia="ja-JP"/>
        </w:rPr>
        <w:t>的な住宅政策勧告案を提示することを任務とする「適切な住居に関する</w:t>
      </w:r>
      <w:r w:rsidR="003D1362">
        <w:rPr>
          <w:rFonts w:hint="eastAsia"/>
          <w:lang w:eastAsia="ja-JP"/>
        </w:rPr>
        <w:t>オープンエンド</w:t>
      </w:r>
      <w:r>
        <w:rPr>
          <w:lang w:eastAsia="ja-JP"/>
        </w:rPr>
        <w:t>政府間専門家作業部会」が、そのテーマ別優先事項の一環として、高齢者の適切な住居へのアクセスに関する具体的な勧告の策定を選定したことを付言したい。この一連の取り組みは、</w:t>
      </w:r>
      <w:r w:rsidR="003D1362">
        <w:rPr>
          <w:rFonts w:hint="eastAsia"/>
          <w:lang w:eastAsia="ja-JP"/>
        </w:rPr>
        <w:t>この条約</w:t>
      </w:r>
      <w:r>
        <w:rPr>
          <w:lang w:eastAsia="ja-JP"/>
        </w:rPr>
        <w:t>の構造や内容に関するさらなる知見をもたらすだけでなく、実施規定との関連についても示唆を与える可能性があ</w:t>
      </w:r>
      <w:r w:rsidR="003D1362">
        <w:rPr>
          <w:rFonts w:hint="eastAsia"/>
          <w:lang w:eastAsia="ja-JP"/>
        </w:rPr>
        <w:t>る</w:t>
      </w:r>
      <w:r>
        <w:rPr>
          <w:lang w:eastAsia="ja-JP"/>
        </w:rPr>
        <w:t>。</w:t>
      </w:r>
    </w:p>
    <w:p w14:paraId="16CA8A22" w14:textId="77777777" w:rsidR="001513DC" w:rsidRDefault="001513DC" w:rsidP="001513DC">
      <w:pPr>
        <w:rPr>
          <w:lang w:eastAsia="ja-JP"/>
        </w:rPr>
      </w:pPr>
    </w:p>
    <w:p w14:paraId="10726DF3" w14:textId="60D3A5B3" w:rsidR="001513DC" w:rsidRDefault="001513DC" w:rsidP="008221FE">
      <w:pPr>
        <w:jc w:val="right"/>
        <w:rPr>
          <w:lang w:eastAsia="ja-JP"/>
        </w:rPr>
      </w:pPr>
      <w:r w:rsidRPr="001513DC">
        <w:rPr>
          <w:rFonts w:hint="eastAsia"/>
          <w:lang w:eastAsia="ja-JP"/>
        </w:rPr>
        <w:t>（翻訳・佐藤久夫、　　）</w:t>
      </w:r>
    </w:p>
    <w:p w14:paraId="4B6EC49F" w14:textId="77777777" w:rsidR="001513DC" w:rsidRDefault="001513DC">
      <w:pPr>
        <w:rPr>
          <w:rFonts w:hint="eastAsia"/>
          <w:lang w:eastAsia="ja-JP"/>
        </w:rPr>
      </w:pPr>
    </w:p>
    <w:sectPr w:rsidR="001513DC" w:rsidSect="006A05DC">
      <w:footerReference w:type="even" r:id="rId7"/>
      <w:footerReference w:type="first" r:id="rId8"/>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2DEDA" w14:textId="77777777" w:rsidR="008221FE" w:rsidRDefault="008221FE" w:rsidP="008221FE">
      <w:r>
        <w:separator/>
      </w:r>
    </w:p>
  </w:endnote>
  <w:endnote w:type="continuationSeparator" w:id="0">
    <w:p w14:paraId="7ED7E135" w14:textId="77777777" w:rsidR="008221FE" w:rsidRDefault="008221FE" w:rsidP="0082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933030"/>
      <w:docPartObj>
        <w:docPartGallery w:val="Page Numbers (Bottom of Page)"/>
        <w:docPartUnique/>
      </w:docPartObj>
    </w:sdtPr>
    <w:sdtContent>
      <w:p w14:paraId="54AC06FC" w14:textId="75BB8197" w:rsidR="008221FE" w:rsidRDefault="008221FE">
        <w:pPr>
          <w:pStyle w:val="ac"/>
        </w:pPr>
        <w:r>
          <w:fldChar w:fldCharType="begin"/>
        </w:r>
        <w:r>
          <w:instrText>PAGE   \* MERGEFORMAT</w:instrText>
        </w:r>
        <w:r>
          <w:fldChar w:fldCharType="separate"/>
        </w:r>
        <w:r>
          <w:rPr>
            <w:lang w:val="ja-JP" w:eastAsia="ja-JP"/>
          </w:rPr>
          <w:t>2</w:t>
        </w:r>
        <w:r>
          <w:fldChar w:fldCharType="end"/>
        </w:r>
      </w:p>
    </w:sdtContent>
  </w:sdt>
  <w:p w14:paraId="0947F3EF" w14:textId="77777777" w:rsidR="008221FE" w:rsidRDefault="008221F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162108"/>
      <w:docPartObj>
        <w:docPartGallery w:val="Page Numbers (Bottom of Page)"/>
        <w:docPartUnique/>
      </w:docPartObj>
    </w:sdtPr>
    <w:sdtContent>
      <w:p w14:paraId="49243DA7" w14:textId="4909ED1D" w:rsidR="008221FE" w:rsidRDefault="008221FE">
        <w:pPr>
          <w:pStyle w:val="ac"/>
        </w:pPr>
        <w:r>
          <w:fldChar w:fldCharType="begin"/>
        </w:r>
        <w:r>
          <w:instrText>PAGE   \* MERGEFORMAT</w:instrText>
        </w:r>
        <w:r>
          <w:fldChar w:fldCharType="separate"/>
        </w:r>
        <w:r>
          <w:rPr>
            <w:lang w:val="ja-JP" w:eastAsia="ja-JP"/>
          </w:rPr>
          <w:t>2</w:t>
        </w:r>
        <w:r>
          <w:fldChar w:fldCharType="end"/>
        </w:r>
      </w:p>
    </w:sdtContent>
  </w:sdt>
  <w:p w14:paraId="05487E5C" w14:textId="77777777" w:rsidR="008221FE" w:rsidRDefault="008221F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1A1F" w14:textId="77777777" w:rsidR="008221FE" w:rsidRDefault="008221FE" w:rsidP="008221FE">
      <w:r>
        <w:separator/>
      </w:r>
    </w:p>
  </w:footnote>
  <w:footnote w:type="continuationSeparator" w:id="0">
    <w:p w14:paraId="1650CD4C" w14:textId="77777777" w:rsidR="008221FE" w:rsidRDefault="008221FE" w:rsidP="008221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DC"/>
    <w:rsid w:val="000B2AFD"/>
    <w:rsid w:val="001513DC"/>
    <w:rsid w:val="00152B39"/>
    <w:rsid w:val="003126F0"/>
    <w:rsid w:val="003A6E34"/>
    <w:rsid w:val="003D1362"/>
    <w:rsid w:val="003F275F"/>
    <w:rsid w:val="00692D7C"/>
    <w:rsid w:val="006A05DC"/>
    <w:rsid w:val="0081178F"/>
    <w:rsid w:val="008221FE"/>
    <w:rsid w:val="009471E9"/>
    <w:rsid w:val="00AF582A"/>
    <w:rsid w:val="00B37471"/>
    <w:rsid w:val="00B87832"/>
    <w:rsid w:val="00DB6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B7BE72"/>
  <w15:chartTrackingRefBased/>
  <w15:docId w15:val="{1CB0CEA2-B1C1-4F2D-A57A-A06CBF5D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513D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513D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513D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513D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513D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513D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513D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513D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513D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13D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513D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513D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513D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513D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513D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513D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13D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13D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513D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513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13D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513D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13DC"/>
    <w:pPr>
      <w:spacing w:before="160" w:after="160"/>
      <w:jc w:val="center"/>
    </w:pPr>
    <w:rPr>
      <w:i/>
      <w:iCs/>
      <w:color w:val="404040" w:themeColor="text1" w:themeTint="BF"/>
    </w:rPr>
  </w:style>
  <w:style w:type="character" w:customStyle="1" w:styleId="a8">
    <w:name w:val="引用文 (文字)"/>
    <w:basedOn w:val="a0"/>
    <w:link w:val="a7"/>
    <w:uiPriority w:val="29"/>
    <w:rsid w:val="001513DC"/>
    <w:rPr>
      <w:i/>
      <w:iCs/>
      <w:color w:val="404040" w:themeColor="text1" w:themeTint="BF"/>
    </w:rPr>
  </w:style>
  <w:style w:type="paragraph" w:styleId="a9">
    <w:name w:val="List Paragraph"/>
    <w:basedOn w:val="a"/>
    <w:uiPriority w:val="34"/>
    <w:qFormat/>
    <w:rsid w:val="001513DC"/>
    <w:pPr>
      <w:ind w:left="720"/>
      <w:contextualSpacing/>
    </w:pPr>
  </w:style>
  <w:style w:type="character" w:styleId="21">
    <w:name w:val="Intense Emphasis"/>
    <w:basedOn w:val="a0"/>
    <w:uiPriority w:val="21"/>
    <w:qFormat/>
    <w:rsid w:val="001513DC"/>
    <w:rPr>
      <w:i/>
      <w:iCs/>
      <w:color w:val="2F5496" w:themeColor="accent1" w:themeShade="BF"/>
    </w:rPr>
  </w:style>
  <w:style w:type="paragraph" w:styleId="22">
    <w:name w:val="Intense Quote"/>
    <w:basedOn w:val="a"/>
    <w:next w:val="a"/>
    <w:link w:val="23"/>
    <w:uiPriority w:val="30"/>
    <w:qFormat/>
    <w:rsid w:val="00151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513DC"/>
    <w:rPr>
      <w:i/>
      <w:iCs/>
      <w:color w:val="2F5496" w:themeColor="accent1" w:themeShade="BF"/>
    </w:rPr>
  </w:style>
  <w:style w:type="character" w:styleId="24">
    <w:name w:val="Intense Reference"/>
    <w:basedOn w:val="a0"/>
    <w:uiPriority w:val="32"/>
    <w:qFormat/>
    <w:rsid w:val="001513DC"/>
    <w:rPr>
      <w:b/>
      <w:bCs/>
      <w:smallCaps/>
      <w:color w:val="2F5496" w:themeColor="accent1" w:themeShade="BF"/>
      <w:spacing w:val="5"/>
    </w:rPr>
  </w:style>
  <w:style w:type="paragraph" w:styleId="aa">
    <w:name w:val="header"/>
    <w:basedOn w:val="a"/>
    <w:link w:val="ab"/>
    <w:uiPriority w:val="99"/>
    <w:unhideWhenUsed/>
    <w:rsid w:val="008221FE"/>
    <w:pPr>
      <w:tabs>
        <w:tab w:val="center" w:pos="4252"/>
        <w:tab w:val="right" w:pos="8504"/>
      </w:tabs>
      <w:snapToGrid w:val="0"/>
    </w:pPr>
  </w:style>
  <w:style w:type="character" w:customStyle="1" w:styleId="ab">
    <w:name w:val="ヘッダー (文字)"/>
    <w:basedOn w:val="a0"/>
    <w:link w:val="aa"/>
    <w:uiPriority w:val="99"/>
    <w:rsid w:val="008221FE"/>
  </w:style>
  <w:style w:type="paragraph" w:styleId="ac">
    <w:name w:val="footer"/>
    <w:basedOn w:val="a"/>
    <w:link w:val="ad"/>
    <w:uiPriority w:val="99"/>
    <w:unhideWhenUsed/>
    <w:rsid w:val="008221FE"/>
    <w:pPr>
      <w:tabs>
        <w:tab w:val="center" w:pos="4252"/>
        <w:tab w:val="right" w:pos="8504"/>
      </w:tabs>
      <w:snapToGrid w:val="0"/>
    </w:pPr>
  </w:style>
  <w:style w:type="character" w:customStyle="1" w:styleId="ad">
    <w:name w:val="フッター (文字)"/>
    <w:basedOn w:val="a0"/>
    <w:link w:val="ac"/>
    <w:uiPriority w:val="99"/>
    <w:rsid w:val="008221FE"/>
  </w:style>
  <w:style w:type="character" w:styleId="ae">
    <w:name w:val="annotation reference"/>
    <w:uiPriority w:val="99"/>
    <w:semiHidden/>
    <w:unhideWhenUsed/>
    <w:rsid w:val="003F275F"/>
    <w:rPr>
      <w:sz w:val="18"/>
      <w:szCs w:val="18"/>
    </w:rPr>
  </w:style>
  <w:style w:type="paragraph" w:styleId="af">
    <w:name w:val="annotation text"/>
    <w:basedOn w:val="a"/>
    <w:link w:val="af0"/>
    <w:uiPriority w:val="99"/>
    <w:unhideWhenUsed/>
    <w:rsid w:val="003F275F"/>
    <w:pPr>
      <w:jc w:val="left"/>
    </w:pPr>
    <w:rPr>
      <w:rFonts w:ascii="Century" w:eastAsia="ＭＳ 明朝" w:hAnsi="Century" w:cs="Times New Roman"/>
      <w:lang w:val="en-US" w:eastAsia="ja-JP"/>
      <w14:ligatures w14:val="none"/>
    </w:rPr>
  </w:style>
  <w:style w:type="character" w:customStyle="1" w:styleId="af0">
    <w:name w:val="コメント文字列 (文字)"/>
    <w:basedOn w:val="a0"/>
    <w:link w:val="af"/>
    <w:uiPriority w:val="99"/>
    <w:rsid w:val="003F275F"/>
    <w:rPr>
      <w:rFonts w:ascii="Century" w:eastAsia="ＭＳ 明朝" w:hAnsi="Century" w:cs="Times New Roman"/>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C4A3A-B68D-439C-AC88-32EC1D7D1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349</Words>
  <Characters>1992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c:description/>
  <cp:lastModifiedBy>久夫 佐藤</cp:lastModifiedBy>
  <cp:revision>2</cp:revision>
  <cp:lastPrinted>2026-05-16T02:51:00Z</cp:lastPrinted>
  <dcterms:created xsi:type="dcterms:W3CDTF">2026-05-16T10:56:00Z</dcterms:created>
  <dcterms:modified xsi:type="dcterms:W3CDTF">2026-05-16T10:56:00Z</dcterms:modified>
</cp:coreProperties>
</file>