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0239E" w14:textId="298157B9" w:rsidR="00045C14" w:rsidRPr="00045C14" w:rsidRDefault="00C44D88" w:rsidP="00B6272E">
      <w:pPr>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053　</w:t>
      </w:r>
      <w:r w:rsidR="00045C14" w:rsidRPr="00045C14">
        <w:rPr>
          <w:rFonts w:ascii="BIZ UDゴシック" w:eastAsia="BIZ UDゴシック" w:hAnsi="BIZ UDゴシック" w:hint="eastAsia"/>
          <w:sz w:val="24"/>
          <w:szCs w:val="24"/>
          <w:lang w:eastAsia="ja-JP"/>
        </w:rPr>
        <w:t>欧州エイジプラットフォーム（</w:t>
      </w:r>
      <w:r w:rsidR="00B6272E" w:rsidRPr="00045C14">
        <w:rPr>
          <w:rFonts w:ascii="BIZ UDゴシック" w:eastAsia="BIZ UDゴシック" w:hAnsi="BIZ UDゴシック"/>
          <w:sz w:val="24"/>
          <w:szCs w:val="24"/>
        </w:rPr>
        <w:t>AGE Platform Europe</w:t>
      </w:r>
      <w:r w:rsidR="00045C14" w:rsidRPr="00045C14">
        <w:rPr>
          <w:rFonts w:ascii="BIZ UDゴシック" w:eastAsia="BIZ UDゴシック" w:hAnsi="BIZ UDゴシック" w:hint="eastAsia"/>
          <w:sz w:val="24"/>
          <w:szCs w:val="24"/>
          <w:lang w:eastAsia="ja-JP"/>
        </w:rPr>
        <w:t>）</w:t>
      </w:r>
      <w:r w:rsidR="00B6272E" w:rsidRPr="00045C14">
        <w:rPr>
          <w:rFonts w:ascii="BIZ UDゴシック" w:eastAsia="BIZ UDゴシック" w:hAnsi="BIZ UDゴシック"/>
          <w:sz w:val="24"/>
          <w:szCs w:val="24"/>
        </w:rPr>
        <w:t>による</w:t>
      </w:r>
    </w:p>
    <w:p w14:paraId="47D3A8A2" w14:textId="67469A25" w:rsidR="00B6272E" w:rsidRPr="00045C14" w:rsidRDefault="00B6272E" w:rsidP="00B6272E">
      <w:pPr>
        <w:rPr>
          <w:rFonts w:ascii="BIZ UDゴシック" w:eastAsia="BIZ UDゴシック" w:hAnsi="BIZ UDゴシック"/>
          <w:sz w:val="24"/>
          <w:szCs w:val="24"/>
        </w:rPr>
      </w:pPr>
      <w:r w:rsidRPr="00045C14">
        <w:rPr>
          <w:rFonts w:ascii="BIZ UDゴシック" w:eastAsia="BIZ UDゴシック" w:hAnsi="BIZ UDゴシック" w:hint="eastAsia"/>
          <w:sz w:val="24"/>
          <w:szCs w:val="24"/>
        </w:rPr>
        <w:t>国連</w:t>
      </w:r>
      <w:r w:rsidR="00045C14" w:rsidRPr="00045C14">
        <w:rPr>
          <w:rFonts w:ascii="BIZ UDゴシック" w:eastAsia="BIZ UDゴシック" w:hAnsi="BIZ UDゴシック" w:hint="eastAsia"/>
          <w:sz w:val="24"/>
          <w:szCs w:val="24"/>
          <w:lang w:eastAsia="ja-JP"/>
        </w:rPr>
        <w:t>の</w:t>
      </w:r>
      <w:r w:rsidRPr="00045C14">
        <w:rPr>
          <w:rFonts w:ascii="BIZ UDゴシック" w:eastAsia="BIZ UDゴシック" w:hAnsi="BIZ UDゴシック" w:hint="eastAsia"/>
          <w:sz w:val="24"/>
          <w:szCs w:val="24"/>
        </w:rPr>
        <w:t>意見募集への提出文書</w:t>
      </w:r>
    </w:p>
    <w:p w14:paraId="1831FF0A" w14:textId="1C134497" w:rsidR="000B2AFD" w:rsidRPr="00045C14" w:rsidRDefault="00B6272E" w:rsidP="00B6272E">
      <w:pPr>
        <w:rPr>
          <w:rFonts w:ascii="BIZ UDゴシック" w:eastAsia="BIZ UDゴシック" w:hAnsi="BIZ UDゴシック"/>
          <w:lang w:eastAsia="ja-JP"/>
        </w:rPr>
      </w:pPr>
      <w:r w:rsidRPr="00045C14">
        <w:rPr>
          <w:rFonts w:ascii="BIZ UDゴシック" w:eastAsia="BIZ UDゴシック" w:hAnsi="BIZ UDゴシック" w:hint="eastAsia"/>
        </w:rPr>
        <w:t>高齢者の人権に関する法的拘束力のある文書に関する一般的な枠組み、構成、および指針</w:t>
      </w:r>
    </w:p>
    <w:p w14:paraId="52FFAB57" w14:textId="1A9473FB" w:rsidR="00B6272E" w:rsidRDefault="00B6272E" w:rsidP="00B6272E">
      <w:pPr>
        <w:rPr>
          <w:lang w:eastAsia="ja-JP"/>
        </w:rPr>
      </w:pPr>
      <w:r>
        <w:rPr>
          <w:lang w:eastAsia="ja-JP"/>
        </w:rPr>
        <w:t>2026年4月22</w:t>
      </w:r>
      <w:r>
        <w:rPr>
          <w:rFonts w:hint="eastAsia"/>
          <w:lang w:eastAsia="ja-JP"/>
        </w:rPr>
        <w:t>日</w:t>
      </w:r>
      <w:r>
        <w:rPr>
          <w:lang w:eastAsia="ja-JP"/>
        </w:rPr>
        <w:t xml:space="preserve"> </w:t>
      </w:r>
    </w:p>
    <w:p w14:paraId="4EFE9477" w14:textId="77777777" w:rsidR="00B6272E" w:rsidRDefault="00B6272E" w:rsidP="00B6272E">
      <w:pPr>
        <w:rPr>
          <w:lang w:eastAsia="ja-JP"/>
        </w:rPr>
      </w:pPr>
    </w:p>
    <w:p w14:paraId="7F518D7C" w14:textId="5DCBDA3C" w:rsidR="00B6272E" w:rsidRDefault="00045C14" w:rsidP="00045C14">
      <w:pPr>
        <w:ind w:firstLineChars="100" w:firstLine="210"/>
        <w:rPr>
          <w:lang w:eastAsia="ja-JP"/>
        </w:rPr>
      </w:pPr>
      <w:r w:rsidRPr="00045C14">
        <w:rPr>
          <w:rFonts w:hint="eastAsia"/>
          <w:b/>
          <w:bCs/>
          <w:lang w:eastAsia="ja-JP"/>
        </w:rPr>
        <w:t>欧州エイジプラットフォーム</w:t>
      </w:r>
      <w:r w:rsidR="00B6272E" w:rsidRPr="00045C14">
        <w:rPr>
          <w:b/>
          <w:bCs/>
          <w:lang w:eastAsia="ja-JP"/>
        </w:rPr>
        <w:t>（AGE）</w:t>
      </w:r>
      <w:r w:rsidR="00B6272E">
        <w:rPr>
          <w:lang w:eastAsia="ja-JP"/>
        </w:rPr>
        <w:t>は、高齢者による、そして高齢者のための組織からなる欧州最大の</w:t>
      </w:r>
      <w:r w:rsidR="00B6272E">
        <w:rPr>
          <w:rFonts w:hint="eastAsia"/>
          <w:lang w:eastAsia="ja-JP"/>
        </w:rPr>
        <w:t>ネットワークであり、地域全体で</w:t>
      </w:r>
      <w:r w:rsidR="00B6272E">
        <w:rPr>
          <w:lang w:eastAsia="ja-JP"/>
        </w:rPr>
        <w:t>104の加盟組織を結集しています。AGEは経済社会理事会（ECOSOC）の協議資格を有しています。</w:t>
      </w:r>
    </w:p>
    <w:p w14:paraId="5909D9C7" w14:textId="3B1B557E" w:rsidR="00B6272E" w:rsidRDefault="00B6272E" w:rsidP="00045C14">
      <w:pPr>
        <w:ind w:firstLineChars="100" w:firstLine="210"/>
        <w:rPr>
          <w:lang w:eastAsia="ja-JP"/>
        </w:rPr>
      </w:pPr>
      <w:r>
        <w:rPr>
          <w:rFonts w:hint="eastAsia"/>
          <w:lang w:eastAsia="ja-JP"/>
        </w:rPr>
        <w:t>本意見書は、高齢化という実体験に基づき、欧州連合（</w:t>
      </w:r>
      <w:r>
        <w:rPr>
          <w:lang w:eastAsia="ja-JP"/>
        </w:rPr>
        <w:t>EU）および欧州評議会の関連地域基準を参</w:t>
      </w:r>
      <w:r>
        <w:rPr>
          <w:rFonts w:hint="eastAsia"/>
          <w:lang w:eastAsia="ja-JP"/>
        </w:rPr>
        <w:t>考にした、欧州の高齢者の見解と期待を反映したものです。</w:t>
      </w:r>
      <w:r>
        <w:rPr>
          <w:lang w:eastAsia="ja-JP"/>
        </w:rPr>
        <w:t xml:space="preserve"> 本意見書は、4つのテーマ別タスクフォ</w:t>
      </w:r>
      <w:r>
        <w:rPr>
          <w:rFonts w:hint="eastAsia"/>
          <w:lang w:eastAsia="ja-JP"/>
        </w:rPr>
        <w:t>ースおよび国連条約に関する臨時タスクフォースを通じて組織された、当ネットワークの代表者（その大半は高齢者自身である）との協議に基づいています。また、国連高齢化に関する無期限作業部会との関与を通じて形成された</w:t>
      </w:r>
      <w:r>
        <w:rPr>
          <w:lang w:eastAsia="ja-JP"/>
        </w:rPr>
        <w:t>AGEの長年にわたる立場を基盤としています。</w:t>
      </w:r>
    </w:p>
    <w:p w14:paraId="7272358F" w14:textId="2E58F10D" w:rsidR="00B6272E" w:rsidRDefault="00B6272E" w:rsidP="00045C14">
      <w:pPr>
        <w:ind w:firstLineChars="100" w:firstLine="210"/>
        <w:rPr>
          <w:lang w:eastAsia="ja-JP"/>
        </w:rPr>
      </w:pPr>
      <w:r>
        <w:rPr>
          <w:rFonts w:hint="eastAsia"/>
          <w:lang w:eastAsia="ja-JP"/>
        </w:rPr>
        <w:t>私たちの活動を通じて、体系的な年齢差別によって引き起こされ、助長されている、高齢者が人権を平等に享受する上での重大な課題、および現在の人権枠組みに根強く残る欠陥、格差、限界に対処する必要性が明らかになりました。</w:t>
      </w:r>
    </w:p>
    <w:p w14:paraId="4B5635AC" w14:textId="25244C87" w:rsidR="00B6272E" w:rsidRDefault="00B6272E" w:rsidP="00045C14">
      <w:pPr>
        <w:ind w:firstLineChars="100" w:firstLine="210"/>
        <w:rPr>
          <w:lang w:eastAsia="ja-JP"/>
        </w:rPr>
      </w:pPr>
      <w:r>
        <w:rPr>
          <w:lang w:eastAsia="ja-JP"/>
        </w:rPr>
        <w:t>AGEは、その創設メンバーである「高齢者の権利のためのグローバル・アライアンス（GAROP）」</w:t>
      </w:r>
      <w:r>
        <w:rPr>
          <w:rFonts w:hint="eastAsia"/>
          <w:lang w:eastAsia="ja-JP"/>
        </w:rPr>
        <w:t>が提出した討議文書に賛同しています。</w:t>
      </w:r>
    </w:p>
    <w:p w14:paraId="4B459E7F" w14:textId="77777777" w:rsidR="00045C14" w:rsidRDefault="00045C14" w:rsidP="00B6272E">
      <w:pPr>
        <w:rPr>
          <w:lang w:eastAsia="ja-JP"/>
        </w:rPr>
      </w:pPr>
    </w:p>
    <w:p w14:paraId="4555E73E" w14:textId="44046B32" w:rsidR="00B6272E" w:rsidRDefault="00B6272E" w:rsidP="00B6272E">
      <w:pPr>
        <w:rPr>
          <w:lang w:eastAsia="ja-JP"/>
        </w:rPr>
      </w:pPr>
      <w:r>
        <w:rPr>
          <w:rFonts w:hint="eastAsia"/>
          <w:lang w:eastAsia="ja-JP"/>
        </w:rPr>
        <w:t>詳細情報</w:t>
      </w:r>
      <w:r w:rsidR="00045C14">
        <w:rPr>
          <w:rFonts w:hint="eastAsia"/>
          <w:lang w:eastAsia="ja-JP"/>
        </w:rPr>
        <w:t>は：</w:t>
      </w:r>
    </w:p>
    <w:p w14:paraId="623FFDBE" w14:textId="63DFCBA2" w:rsidR="00B6272E" w:rsidRDefault="00B6272E" w:rsidP="00B6272E">
      <w:pPr>
        <w:rPr>
          <w:lang w:eastAsia="ja-JP"/>
        </w:rPr>
      </w:pPr>
      <w:r>
        <w:rPr>
          <w:rFonts w:hint="eastAsia"/>
          <w:lang w:eastAsia="ja-JP"/>
        </w:rPr>
        <w:t>•</w:t>
      </w:r>
      <w:r>
        <w:rPr>
          <w:lang w:eastAsia="ja-JP"/>
        </w:rPr>
        <w:t xml:space="preserve"> </w:t>
      </w:r>
      <w:hyperlink r:id="rId6" w:history="1">
        <w:r w:rsidRPr="00CA5629">
          <w:rPr>
            <w:rStyle w:val="aa"/>
            <w:lang w:eastAsia="ja-JP"/>
          </w:rPr>
          <w:t>www.age-platform.eu</w:t>
        </w:r>
      </w:hyperlink>
    </w:p>
    <w:p w14:paraId="5C29F072" w14:textId="77777777" w:rsidR="00045C14" w:rsidRDefault="00B6272E" w:rsidP="00B6272E">
      <w:pPr>
        <w:rPr>
          <w:lang w:eastAsia="ja-JP"/>
        </w:rPr>
      </w:pPr>
      <w:r>
        <w:rPr>
          <w:rFonts w:hint="eastAsia"/>
          <w:lang w:eastAsia="ja-JP"/>
        </w:rPr>
        <w:t>•</w:t>
      </w:r>
      <w:r>
        <w:rPr>
          <w:lang w:eastAsia="ja-JP"/>
        </w:rPr>
        <w:t xml:space="preserve"> </w:t>
      </w:r>
      <w:r w:rsidR="00045C14">
        <w:rPr>
          <w:rFonts w:hint="eastAsia"/>
          <w:lang w:eastAsia="ja-JP"/>
        </w:rPr>
        <w:t>権利擁護</w:t>
      </w:r>
      <w:r>
        <w:rPr>
          <w:lang w:eastAsia="ja-JP"/>
        </w:rPr>
        <w:t>責任者、ネナ・ゲオルガンツィ（Nena Georgantzi）：</w:t>
      </w:r>
    </w:p>
    <w:p w14:paraId="68D93A3D" w14:textId="098205EC" w:rsidR="00B6272E" w:rsidRDefault="00B6272E" w:rsidP="00B6272E">
      <w:pPr>
        <w:rPr>
          <w:lang w:eastAsia="ja-JP"/>
        </w:rPr>
      </w:pPr>
      <w:r>
        <w:rPr>
          <w:lang w:eastAsia="ja-JP"/>
        </w:rPr>
        <w:t>nena.georgantzi@age-platform.eu</w:t>
      </w:r>
    </w:p>
    <w:p w14:paraId="1796C5D3" w14:textId="77777777" w:rsidR="00B6272E" w:rsidRDefault="00B6272E" w:rsidP="00B6272E">
      <w:pPr>
        <w:rPr>
          <w:lang w:eastAsia="ja-JP"/>
        </w:rPr>
      </w:pPr>
    </w:p>
    <w:p w14:paraId="0B52BCCB" w14:textId="77777777" w:rsidR="00B6272E" w:rsidRDefault="00B6272E" w:rsidP="00B6272E">
      <w:pPr>
        <w:rPr>
          <w:lang w:eastAsia="ja-JP"/>
        </w:rPr>
      </w:pPr>
    </w:p>
    <w:p w14:paraId="1FE347B0" w14:textId="77777777" w:rsidR="00C44D88" w:rsidRPr="00C44D88" w:rsidRDefault="00C44D88" w:rsidP="00C44D88">
      <w:pPr>
        <w:jc w:val="left"/>
        <w:rPr>
          <w:rFonts w:ascii="BIZ UDゴシック" w:eastAsia="BIZ UDゴシック" w:hAnsi="BIZ UDゴシック"/>
          <w:b/>
          <w:bCs/>
          <w:szCs w:val="21"/>
        </w:rPr>
      </w:pPr>
      <w:r w:rsidRPr="00C44D88">
        <w:rPr>
          <w:rFonts w:ascii="BIZ UDゴシック" w:eastAsia="BIZ UDゴシック" w:hAnsi="BIZ UDゴシック" w:hint="eastAsia"/>
          <w:b/>
          <w:bCs/>
          <w:szCs w:val="21"/>
        </w:rPr>
        <w:t>質問1. 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1A6D8F7D" w14:textId="48DE5D2E" w:rsidR="00B6272E" w:rsidRDefault="00045C14" w:rsidP="00B6272E">
      <w:pPr>
        <w:rPr>
          <w:lang w:eastAsia="ja-JP"/>
        </w:rPr>
      </w:pPr>
      <w:r>
        <w:rPr>
          <w:rFonts w:hint="eastAsia"/>
          <w:lang w:eastAsia="ja-JP"/>
        </w:rPr>
        <w:t xml:space="preserve">　</w:t>
      </w:r>
    </w:p>
    <w:p w14:paraId="2823DD04" w14:textId="16EE355F" w:rsidR="00B6272E" w:rsidRDefault="00B6272E" w:rsidP="00045C14">
      <w:pPr>
        <w:ind w:firstLineChars="100" w:firstLine="210"/>
        <w:rPr>
          <w:lang w:eastAsia="ja-JP"/>
        </w:rPr>
      </w:pPr>
      <w:r>
        <w:rPr>
          <w:rFonts w:hint="eastAsia"/>
          <w:lang w:eastAsia="ja-JP"/>
        </w:rPr>
        <w:t>この国際的な法的拘束力のある文書（</w:t>
      </w:r>
      <w:r>
        <w:rPr>
          <w:lang w:eastAsia="ja-JP"/>
        </w:rPr>
        <w:t>LBI）は、高齢者を、すべての人権と基本的自由を平等に享受</w:t>
      </w:r>
      <w:r>
        <w:rPr>
          <w:rFonts w:hint="eastAsia"/>
          <w:lang w:eastAsia="ja-JP"/>
        </w:rPr>
        <w:t>する権利を有する完全な権利主体として認める、強固な人権枠組みに基づくべきである。この文書は、既存の権利を再確認するだけでなく、高齢という文脈におけるそれらの適用を明確にし、高齢期における人権の完全な享受に対する現実的な障壁に対処するため、具体的な国家の義務、監視および説明責任のメカニズムを通じて、それらを具体化すべきである。</w:t>
      </w:r>
    </w:p>
    <w:p w14:paraId="7DC85725" w14:textId="051B9BDC" w:rsidR="00B6272E" w:rsidRDefault="00B6272E" w:rsidP="00045C14">
      <w:pPr>
        <w:ind w:firstLineChars="100" w:firstLine="210"/>
        <w:rPr>
          <w:lang w:eastAsia="ja-JP"/>
        </w:rPr>
      </w:pPr>
      <w:r>
        <w:rPr>
          <w:rFonts w:hint="eastAsia"/>
          <w:lang w:eastAsia="ja-JP"/>
        </w:rPr>
        <w:t>権利に基づくアプローチに沿い、この文書を策定するプロセスそのものが、高齢者およ</w:t>
      </w:r>
      <w:r>
        <w:rPr>
          <w:rFonts w:hint="eastAsia"/>
          <w:lang w:eastAsia="ja-JP"/>
        </w:rPr>
        <w:lastRenderedPageBreak/>
        <w:t>びその代表組織による有意義な参加を保証しなければならない。そのためには、起草委員会、専門家パネル、または作業部会、ならびにすべての関連する公式な議論に、高齢者組織の代表者を参加させる必要がある。</w:t>
      </w:r>
      <w:r>
        <w:rPr>
          <w:lang w:eastAsia="ja-JP"/>
        </w:rPr>
        <w:t xml:space="preserve"> このプロセスにおいては、高齢者がプロセスに対して十分な情報に基づいた効果的な貢献を行え</w:t>
      </w:r>
      <w:r>
        <w:rPr>
          <w:rFonts w:hint="eastAsia"/>
          <w:lang w:eastAsia="ja-JP"/>
        </w:rPr>
        <w:t>るよう、公式文書や草案への適時のアクセスを含め、国レベルおよび草の根レベルでの高齢者との協議に十分な時間を確保すべきである。各国は、交渉への高齢者の有意義な関与を技術的・財政的に支援し、政府間作業部会の各会合に先立ち、高齢者との構造的かつ体系的な協議を確実に行うべきである。</w:t>
      </w:r>
    </w:p>
    <w:p w14:paraId="0D9BD3F2" w14:textId="55392372" w:rsidR="00B6272E" w:rsidRDefault="00B6272E" w:rsidP="00045C14">
      <w:pPr>
        <w:ind w:firstLineChars="100" w:firstLine="210"/>
        <w:rPr>
          <w:lang w:eastAsia="ja-JP"/>
        </w:rPr>
      </w:pPr>
      <w:r>
        <w:rPr>
          <w:rFonts w:hint="eastAsia"/>
          <w:lang w:eastAsia="ja-JP"/>
        </w:rPr>
        <w:t>この文書の包括的な枠組みは、「ニーズ」ではなく「権利」に焦点を当て、高齢化や高齢者に対する医療的・慈善的なアプローチから脱却すべきである。</w:t>
      </w:r>
      <w:r>
        <w:rPr>
          <w:lang w:eastAsia="ja-JP"/>
        </w:rPr>
        <w:t xml:space="preserve"> この国際法的枠組み（LBI）は、高齢者を本質</w:t>
      </w:r>
      <w:r>
        <w:rPr>
          <w:rFonts w:hint="eastAsia"/>
          <w:lang w:eastAsia="ja-JP"/>
        </w:rPr>
        <w:t>的に脆弱で、依存的で、受動的なケアの受け手、あるいは保護を必要とする存在として位置づけてはならない。その代わりに、高齢者を権利の保有者として認識し、彼らが直面する不平等や権利侵害は、人権の平等な享受や社会への完全な参加・包摂を制限する、様々な社会的、環境的、法的、制度的な障壁や力学の結果であることを認めなければならない。</w:t>
      </w:r>
    </w:p>
    <w:p w14:paraId="63E9EFF2" w14:textId="5BF9CC08" w:rsidR="00B6272E" w:rsidRDefault="00B6272E" w:rsidP="00045C14">
      <w:pPr>
        <w:ind w:firstLineChars="100" w:firstLine="210"/>
        <w:rPr>
          <w:lang w:eastAsia="ja-JP"/>
        </w:rPr>
      </w:pPr>
      <w:r>
        <w:rPr>
          <w:rFonts w:hint="eastAsia"/>
          <w:lang w:eastAsia="ja-JP"/>
        </w:rPr>
        <w:t>この枠組みの重要な要素として、高齢期における多くの人権侵害の根本原因としてエイジズムを認識することが挙げられる。本枠組みは、エイジズムが、法律、政策、社会・経済制度、社会的態度、そしてますますデジタル・技術的空間において存在することを認めなければならない。</w:t>
      </w:r>
      <w:r>
        <w:rPr>
          <w:lang w:eastAsia="ja-JP"/>
        </w:rPr>
        <w:t xml:space="preserve"> さらに、エイジズム自体が、加齢、衰え、死に対する不快感を</w:t>
      </w:r>
      <w:r>
        <w:rPr>
          <w:rFonts w:hint="eastAsia"/>
          <w:lang w:eastAsia="ja-JP"/>
        </w:rPr>
        <w:t>含む、より根深い社会的認識や力学に根ざしている可能性があることを認めるべきである。これらは、加齢や高齢者に関する固定観念や前提を強化することもあれば、それに異議を唱えることもある、より広範な社会経済的、政治的、技術的動向の影響を受けている。したがって、エイジズムに対処するには、法や政策の変更だけでなく、加齢や高齢者がどのように理解され、表現され、評価されるかという点における、より広範な文化的変革も必要となる。</w:t>
      </w:r>
    </w:p>
    <w:p w14:paraId="1B00B1CA" w14:textId="5F94ED3F" w:rsidR="00B6272E" w:rsidRDefault="00B6272E" w:rsidP="00045C14">
      <w:pPr>
        <w:ind w:firstLineChars="100" w:firstLine="210"/>
        <w:rPr>
          <w:lang w:eastAsia="ja-JP"/>
        </w:rPr>
      </w:pPr>
      <w:r>
        <w:rPr>
          <w:lang w:eastAsia="ja-JP"/>
        </w:rPr>
        <w:t>LBIは、尊厳、平等および非差別、自律性と自立、参加と包摂に基づいていなければならない。同時</w:t>
      </w:r>
      <w:r>
        <w:rPr>
          <w:rFonts w:hint="eastAsia"/>
          <w:lang w:eastAsia="ja-JP"/>
        </w:rPr>
        <w:t>に、</w:t>
      </w:r>
      <w:r>
        <w:rPr>
          <w:lang w:eastAsia="ja-JP"/>
        </w:rPr>
        <w:t>LBIは、喪失の時期、脆弱な状況、支援の必要性、そして特に高齢化や高齢者に対する偏った態</w:t>
      </w:r>
      <w:r>
        <w:rPr>
          <w:rFonts w:hint="eastAsia"/>
          <w:lang w:eastAsia="ja-JP"/>
        </w:rPr>
        <w:t>度や認識を含む複数の要因が組み合わさって生じる危害への曝露など、高齢期の生きた現実を見失ってはならない。</w:t>
      </w:r>
    </w:p>
    <w:p w14:paraId="53DD95FE" w14:textId="5CAB9041" w:rsidR="00B6272E" w:rsidRDefault="00B6272E" w:rsidP="00045C14">
      <w:pPr>
        <w:ind w:firstLineChars="100" w:firstLine="210"/>
        <w:rPr>
          <w:lang w:eastAsia="ja-JP"/>
        </w:rPr>
      </w:pPr>
      <w:r>
        <w:rPr>
          <w:rFonts w:hint="eastAsia"/>
          <w:lang w:eastAsia="ja-JP"/>
        </w:rPr>
        <w:t>したがって、</w:t>
      </w:r>
      <w:r>
        <w:rPr>
          <w:lang w:eastAsia="ja-JP"/>
        </w:rPr>
        <w:t>LBIはこれらの原則を最優先に据える一方で、虐待の状況、高度な支援ニーズ、あるい</w:t>
      </w:r>
      <w:r>
        <w:rPr>
          <w:rFonts w:hint="eastAsia"/>
          <w:lang w:eastAsia="ja-JP"/>
        </w:rPr>
        <w:t>は人道危機や緊急事態の文脈において、他者と対等な立場で権利を行使するために、追加的な支援や保護措置を必要とする個人や集団が存在し得ることも認識すべきである。これらは否定されたり周縁化されたりすべき条件ではなく、必要に応じて危害から保護するための措置を含め、認識され対処されなければならない人間としての条件の一部である。</w:t>
      </w:r>
      <w:r>
        <w:rPr>
          <w:lang w:eastAsia="ja-JP"/>
        </w:rPr>
        <w:t xml:space="preserve"> 同時に、LBIは、そのような「保護」が尊厳、</w:t>
      </w:r>
      <w:r>
        <w:rPr>
          <w:rFonts w:hint="eastAsia"/>
          <w:lang w:eastAsia="ja-JP"/>
        </w:rPr>
        <w:t>平等、自律性、参加、包摂を犠牲にして行われることのないよう確保し、むしろ、それらの特定の状況において、それらを実現できるようにしなければならない。</w:t>
      </w:r>
    </w:p>
    <w:p w14:paraId="18F7960D" w14:textId="2D392B58" w:rsidR="00B6272E" w:rsidRDefault="00B6272E" w:rsidP="00045C14">
      <w:pPr>
        <w:ind w:firstLineChars="100" w:firstLine="210"/>
        <w:rPr>
          <w:lang w:eastAsia="ja-JP"/>
        </w:rPr>
      </w:pPr>
      <w:r>
        <w:rPr>
          <w:rFonts w:hint="eastAsia"/>
          <w:lang w:eastAsia="ja-JP"/>
        </w:rPr>
        <w:t>本枠組みは、加齢を自然な生物学的プロセスであり、極めて人間的な経験であると認識</w:t>
      </w:r>
      <w:r>
        <w:rPr>
          <w:rFonts w:hint="eastAsia"/>
          <w:lang w:eastAsia="ja-JP"/>
        </w:rPr>
        <w:lastRenderedPageBreak/>
        <w:t>しなければならない。また、高齢者の多様性や晩年の経験の多様性、そして人間生活のあらゆる複雑さを捉え、加齢に対する前向きで現実的かつ包括的な理解を促進すべきである。</w:t>
      </w:r>
    </w:p>
    <w:p w14:paraId="560BCAFC" w14:textId="18321192" w:rsidR="00B6272E" w:rsidRDefault="00B6272E" w:rsidP="00B6272E">
      <w:pPr>
        <w:rPr>
          <w:lang w:eastAsia="ja-JP"/>
        </w:rPr>
      </w:pPr>
      <w:r>
        <w:rPr>
          <w:lang w:eastAsia="ja-JP"/>
        </w:rPr>
        <w:t>LBIは、高齢期を、移行、喪失、能力やニーズの変化、成長、発達、そして死といった独自のプロセ</w:t>
      </w:r>
      <w:r>
        <w:rPr>
          <w:rFonts w:hint="eastAsia"/>
          <w:lang w:eastAsia="ja-JP"/>
        </w:rPr>
        <w:t>スを含む、人間のライフコースにおける独特かつ有意義な段階として認識すべきであり、その段階においても、すべての人権が平等に適用され続けることを明記すべきである。</w:t>
      </w:r>
    </w:p>
    <w:p w14:paraId="685FAB24" w14:textId="681077E9" w:rsidR="00B6272E" w:rsidRDefault="00B6272E" w:rsidP="00045C14">
      <w:pPr>
        <w:ind w:firstLineChars="100" w:firstLine="210"/>
        <w:rPr>
          <w:lang w:eastAsia="ja-JP"/>
        </w:rPr>
      </w:pPr>
      <w:r>
        <w:rPr>
          <w:rFonts w:hint="eastAsia"/>
          <w:lang w:eastAsia="ja-JP"/>
        </w:rPr>
        <w:t>同時に、</w:t>
      </w:r>
      <w:r>
        <w:rPr>
          <w:lang w:eastAsia="ja-JP"/>
        </w:rPr>
        <w:t>LBIはライフコース・アプローチを採用し、加齢がプロセスであり、人間の発達に不可欠な</w:t>
      </w:r>
      <w:r>
        <w:rPr>
          <w:rFonts w:hint="eastAsia"/>
          <w:lang w:eastAsia="ja-JP"/>
        </w:rPr>
        <w:t>一部であることを認識すべきである。また、人間の能力、状況、ニーズは時間とともに変化するものの、人権の普遍的かつ不可侵な性質、あるいはつながり、人間関係、安全、承認、発達、意義、参加といった人間の基本的ニーズが損なわれることはないことを認識すべきである。</w:t>
      </w:r>
      <w:r>
        <w:rPr>
          <w:lang w:eastAsia="ja-JP"/>
        </w:rPr>
        <w:t>LBIは、高齢期を含</w:t>
      </w:r>
      <w:r>
        <w:rPr>
          <w:rFonts w:hint="eastAsia"/>
          <w:lang w:eastAsia="ja-JP"/>
        </w:rPr>
        <w:t>む人生のあらゆる段階において、これらの人権と基本的ニーズが効果的に実現されることを確保すべきである。</w:t>
      </w:r>
    </w:p>
    <w:p w14:paraId="55F7CF22" w14:textId="6AA25848" w:rsidR="00B6272E" w:rsidRDefault="00B6272E" w:rsidP="00045C14">
      <w:pPr>
        <w:ind w:firstLineChars="100" w:firstLine="210"/>
        <w:rPr>
          <w:lang w:eastAsia="ja-JP"/>
        </w:rPr>
      </w:pPr>
      <w:r>
        <w:rPr>
          <w:rFonts w:hint="eastAsia"/>
          <w:lang w:eastAsia="ja-JP"/>
        </w:rPr>
        <w:t>加齢を生涯にわたる動的なプロセスとして認識することは、継続的な発達と成長を支援し、高齢期においても充実した有意義な人生を送る機会を提供する措置を伴う。これには、高齢者の固有の尊厳や人権の完全かつ平等な享受を損なう恣意的な年齢基準を排除することが含まれる。</w:t>
      </w:r>
      <w:r>
        <w:rPr>
          <w:lang w:eastAsia="ja-JP"/>
        </w:rPr>
        <w:t xml:space="preserve"> LBIはさらに、不</w:t>
      </w:r>
      <w:r>
        <w:rPr>
          <w:rFonts w:hint="eastAsia"/>
          <w:lang w:eastAsia="ja-JP"/>
        </w:rPr>
        <w:t>平等が時間の経過とともに蓄積され、性別、性的指向、障害、所得や社会経済的地位、民族、居住地などの要因によって、高齢期において個人ごとに異なる影響を及ぼすことを認識すべきである。高齢期における不平等や権利侵害に効果的に対処するためには、ライフコース全体にわたる措置や介入を採用することが必要となる場合がある。</w:t>
      </w:r>
    </w:p>
    <w:p w14:paraId="64A24EFE" w14:textId="5E72DEBB" w:rsidR="00B6272E" w:rsidRDefault="00B6272E" w:rsidP="00045C14">
      <w:pPr>
        <w:ind w:firstLineChars="100" w:firstLine="210"/>
        <w:rPr>
          <w:lang w:eastAsia="ja-JP"/>
        </w:rPr>
      </w:pPr>
      <w:r>
        <w:rPr>
          <w:rFonts w:hint="eastAsia"/>
          <w:lang w:eastAsia="ja-JP"/>
        </w:rPr>
        <w:t>この法的拘束力のある文書は、高齢期や高齢者を暦年齢に基づいて定義すべきではない。人権の完全な享受と行使に対する障壁となり得る、多様で文脈に即した経験や、加齢に対する認識の変化を反映し、誰が「高齢者」とみなされるかについて、柔軟かつ包括的な理解を可能にするべきである。この柔軟なアプローチは、解釈と実施の指針となり、包括性を確保しつつ、特定の法的・政策的文脈における適切な適応を可能にするものである。</w:t>
      </w:r>
    </w:p>
    <w:p w14:paraId="522DDD2A" w14:textId="77777777" w:rsidR="00B6272E" w:rsidRDefault="00B6272E" w:rsidP="00B6272E">
      <w:pPr>
        <w:rPr>
          <w:lang w:eastAsia="ja-JP"/>
        </w:rPr>
      </w:pPr>
    </w:p>
    <w:p w14:paraId="0D4E9E06" w14:textId="77777777" w:rsidR="00C44D88" w:rsidRPr="00C44D88" w:rsidRDefault="00C44D88" w:rsidP="00C44D88">
      <w:pPr>
        <w:jc w:val="left"/>
        <w:rPr>
          <w:rFonts w:ascii="BIZ UDゴシック" w:eastAsia="BIZ UDゴシック" w:hAnsi="BIZ UDゴシック"/>
          <w:b/>
          <w:bCs/>
          <w:szCs w:val="21"/>
        </w:rPr>
      </w:pPr>
      <w:r w:rsidRPr="00C44D88">
        <w:rPr>
          <w:rFonts w:ascii="BIZ UDゴシック" w:eastAsia="BIZ UDゴシック" w:hAnsi="BIZ UDゴシック" w:hint="eastAsia"/>
          <w:b/>
          <w:bCs/>
          <w:szCs w:val="21"/>
        </w:rPr>
        <w:t>質問2. 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44B2C9E8" w14:textId="77777777" w:rsidR="00B6272E" w:rsidRDefault="00B6272E" w:rsidP="00B6272E">
      <w:pPr>
        <w:rPr>
          <w:lang w:eastAsia="ja-JP"/>
        </w:rPr>
      </w:pPr>
    </w:p>
    <w:p w14:paraId="05BE7154" w14:textId="70B98366" w:rsidR="00B6272E" w:rsidRDefault="00B6272E" w:rsidP="00045C14">
      <w:pPr>
        <w:ind w:firstLineChars="100" w:firstLine="210"/>
        <w:rPr>
          <w:lang w:eastAsia="ja-JP"/>
        </w:rPr>
      </w:pPr>
      <w:r>
        <w:rPr>
          <w:rFonts w:hint="eastAsia"/>
          <w:lang w:eastAsia="ja-JP"/>
        </w:rPr>
        <w:t>法的拘束力のある文書は、その策定、解釈、監視、実施を導く一連の中核的原則に基づいていなければならない。これらには、固有の尊厳の尊重、平等と非差別、自律性と自立、そしてあらゆる多様性を持つ高齢者の完全かつ有意義な参加と包摂が含まれる。</w:t>
      </w:r>
    </w:p>
    <w:p w14:paraId="76DCF4E2" w14:textId="3A5EC420" w:rsidR="00B6272E" w:rsidRDefault="00B6272E" w:rsidP="00045C14">
      <w:pPr>
        <w:ind w:firstLineChars="100" w:firstLine="210"/>
        <w:rPr>
          <w:lang w:eastAsia="ja-JP"/>
        </w:rPr>
      </w:pPr>
      <w:r>
        <w:rPr>
          <w:rFonts w:hint="eastAsia"/>
          <w:lang w:eastAsia="ja-JP"/>
        </w:rPr>
        <w:t>中核的原則としての</w:t>
      </w:r>
      <w:r w:rsidRPr="00045C14">
        <w:rPr>
          <w:rFonts w:hint="eastAsia"/>
          <w:b/>
          <w:bCs/>
          <w:lang w:eastAsia="ja-JP"/>
        </w:rPr>
        <w:t>尊厳</w:t>
      </w:r>
      <w:r>
        <w:rPr>
          <w:rFonts w:hint="eastAsia"/>
          <w:lang w:eastAsia="ja-JP"/>
        </w:rPr>
        <w:t>は、高齢者を等しい価値を持つ権利主体として認識し、同等の配慮と尊重を受ける資格があることを認めることを要する。これには、</w:t>
      </w:r>
      <w:r>
        <w:rPr>
          <w:lang w:eastAsia="ja-JP"/>
        </w:rPr>
        <w:t>LBIに定められたいかなる権利も、個人の</w:t>
      </w:r>
      <w:r>
        <w:rPr>
          <w:rFonts w:hint="eastAsia"/>
          <w:lang w:eastAsia="ja-JP"/>
        </w:rPr>
        <w:t>尊厳や高齢者の道徳的・社会的地位を損なうような方法で解釈または適用されてはならないことが含まれる。また、高齢者の役割と潜在的な貢献を認識し、</w:t>
      </w:r>
      <w:r>
        <w:rPr>
          <w:rFonts w:hint="eastAsia"/>
          <w:lang w:eastAsia="ja-JP"/>
        </w:rPr>
        <w:lastRenderedPageBreak/>
        <w:t>その主体性を肯定し、社会に統合された状態を維持する能力を支援することも含まれる。</w:t>
      </w:r>
    </w:p>
    <w:p w14:paraId="2B465387" w14:textId="70416CF9" w:rsidR="00B6272E" w:rsidRDefault="00B6272E" w:rsidP="00045C14">
      <w:pPr>
        <w:ind w:firstLineChars="100" w:firstLine="210"/>
        <w:rPr>
          <w:lang w:eastAsia="ja-JP"/>
        </w:rPr>
      </w:pPr>
      <w:r>
        <w:rPr>
          <w:rFonts w:hint="eastAsia"/>
          <w:lang w:eastAsia="ja-JP"/>
        </w:rPr>
        <w:t>尊厳に基づくアプローチは、固定観念や年齢に基づく一般化を避けなければならない。年齢を理由に能力、貢献、価値の低下といった特性を帰属させることは、尊厳の侵害を構成し、年齢差別的な扱いを永続させる恐れがある。この原則はさらに、経済的配慮が人間の尊厳に優先してはならないこと、また、国家が物理的、経済的、デジタル的、社会的な制度的障壁を取り除くとともに、個人のニーズ、希望、能力の変化に応じて、個人が支援され、伴走され、認められることを確保することを求めている。</w:t>
      </w:r>
    </w:p>
    <w:p w14:paraId="34048129" w14:textId="315230C7" w:rsidR="00B6272E" w:rsidRDefault="00B6272E" w:rsidP="00045C14">
      <w:pPr>
        <w:ind w:firstLineChars="100" w:firstLine="210"/>
        <w:rPr>
          <w:lang w:eastAsia="ja-JP"/>
        </w:rPr>
      </w:pPr>
      <w:r w:rsidRPr="00045C14">
        <w:rPr>
          <w:rFonts w:hint="eastAsia"/>
          <w:b/>
          <w:bCs/>
          <w:lang w:eastAsia="ja-JP"/>
        </w:rPr>
        <w:t>平等と</w:t>
      </w:r>
      <w:r w:rsidR="00045C14" w:rsidRPr="00045C14">
        <w:rPr>
          <w:rFonts w:hint="eastAsia"/>
          <w:b/>
          <w:bCs/>
          <w:lang w:eastAsia="ja-JP"/>
        </w:rPr>
        <w:t>無</w:t>
      </w:r>
      <w:r w:rsidRPr="00045C14">
        <w:rPr>
          <w:rFonts w:hint="eastAsia"/>
          <w:b/>
          <w:bCs/>
          <w:lang w:eastAsia="ja-JP"/>
        </w:rPr>
        <w:t>差別</w:t>
      </w:r>
      <w:r>
        <w:rPr>
          <w:rFonts w:hint="eastAsia"/>
          <w:lang w:eastAsia="ja-JP"/>
        </w:rPr>
        <w:t>には、多様性の尊重と、加齢を人間としての経験の一部として受け入れることが求められます。これらは、あらゆる多様性を持つ高齢者が、他の人々と同等の立場で社会に完全に参加し、すべての人権を享受できることを保証するものです。</w:t>
      </w:r>
      <w:r>
        <w:rPr>
          <w:lang w:eastAsia="ja-JP"/>
        </w:rPr>
        <w:t xml:space="preserve"> 指針となる原則として、これらは、年齢差別</w:t>
      </w:r>
      <w:r>
        <w:rPr>
          <w:rFonts w:hint="eastAsia"/>
          <w:lang w:eastAsia="ja-JP"/>
        </w:rPr>
        <w:t>的な規範を含む権利の平等な享受に対する構造的な障壁に対処すること、および、制度的、組織的、交差的、アルゴリズムによる差別といった新たな形態を含むあらゆる形態の年齢差別を明示的に禁止することを含みます。また、高齢者が実際に権利を効果的に享受できるよう、実質的かつ変革的な平等を促進することも求められます。これには、機会の平等を実現し、高齢期における尊厳を損なう扱いや疎外を防ぐための積極的措置の実施も含まれます。これには、アクセシビリティと合理的配慮を強制力のある権利として確保すること、差別の累積的かつ交差的な性質を認識すること、ならびにジェンダー平等を尊重する必要性が含まれる。</w:t>
      </w:r>
    </w:p>
    <w:p w14:paraId="2D657797" w14:textId="636AA88C" w:rsidR="00B6272E" w:rsidRDefault="00B6272E" w:rsidP="00045C14">
      <w:pPr>
        <w:ind w:firstLineChars="100" w:firstLine="210"/>
        <w:rPr>
          <w:lang w:eastAsia="ja-JP"/>
        </w:rPr>
      </w:pPr>
      <w:r w:rsidRPr="00045C14">
        <w:rPr>
          <w:rFonts w:hint="eastAsia"/>
          <w:b/>
          <w:bCs/>
          <w:lang w:eastAsia="ja-JP"/>
        </w:rPr>
        <w:t>自律と</w:t>
      </w:r>
      <w:r w:rsidR="00045C14" w:rsidRPr="00045C14">
        <w:rPr>
          <w:rFonts w:hint="eastAsia"/>
          <w:b/>
          <w:bCs/>
          <w:lang w:eastAsia="ja-JP"/>
        </w:rPr>
        <w:t>独立</w:t>
      </w:r>
      <w:r>
        <w:rPr>
          <w:rFonts w:hint="eastAsia"/>
          <w:lang w:eastAsia="ja-JP"/>
        </w:rPr>
        <w:t>は、高齢者の主体性を認め、その意思や選好を尊重することを求めるものである。これには、必要に応じて適切な支援を受けつつ、他者と対等な立場で自らの生活に対する統制権を行使し、決定を下す高齢者の権利が含まれる。これらの原則は、政策や制度が個人の主体性と尊厳を損なうのではなく、むしろ高めることを求め、高齢化に対する権利に基づくアプローチへのパラダイムシフトに不可欠なものである。</w:t>
      </w:r>
    </w:p>
    <w:p w14:paraId="12229E4B" w14:textId="5EADEB0B" w:rsidR="00B6272E" w:rsidRDefault="00B6272E" w:rsidP="00045C14">
      <w:pPr>
        <w:ind w:firstLineChars="100" w:firstLine="210"/>
        <w:rPr>
          <w:lang w:eastAsia="ja-JP"/>
        </w:rPr>
      </w:pPr>
      <w:r>
        <w:rPr>
          <w:rFonts w:hint="eastAsia"/>
          <w:lang w:eastAsia="ja-JP"/>
        </w:rPr>
        <w:t>中核的原則としての自律と</w:t>
      </w:r>
      <w:r w:rsidR="00045C14">
        <w:rPr>
          <w:rFonts w:hint="eastAsia"/>
          <w:lang w:eastAsia="ja-JP"/>
        </w:rPr>
        <w:t>独立</w:t>
      </w:r>
      <w:r>
        <w:rPr>
          <w:rFonts w:hint="eastAsia"/>
          <w:lang w:eastAsia="ja-JP"/>
        </w:rPr>
        <w:t>は、高齢者が意思決定上の困難を経験しないことを意味するものではない。むしろ、高齢者が自らの生活について選択と統制を行えるよう支援されなければならないことを確認するものである。これには、高齢期の能力に関する年齢差別的な固定観念を克服すること、継続的な成長と参加の機会を保証すること、人間関係を維持すること、そして必要に応じて支援の継続性を確保することが含まれる。</w:t>
      </w:r>
    </w:p>
    <w:p w14:paraId="14D0290C" w14:textId="70C232D0" w:rsidR="00B6272E" w:rsidRDefault="00B6272E" w:rsidP="00045C14">
      <w:pPr>
        <w:ind w:firstLineChars="100" w:firstLine="210"/>
        <w:rPr>
          <w:lang w:eastAsia="ja-JP"/>
        </w:rPr>
      </w:pPr>
      <w:r w:rsidRPr="00045C14">
        <w:rPr>
          <w:rFonts w:hint="eastAsia"/>
          <w:b/>
          <w:bCs/>
          <w:lang w:eastAsia="ja-JP"/>
        </w:rPr>
        <w:t>参加と包摂</w:t>
      </w:r>
      <w:r>
        <w:rPr>
          <w:rFonts w:hint="eastAsia"/>
          <w:lang w:eastAsia="ja-JP"/>
        </w:rPr>
        <w:t>には、高齢者が社会のあらゆる側面に完全かつ効果的に関与することが求められる。これには、疎外や社会的孤立ではなく、社会的統合を優先し、帰属意識、つながり、世代間関係を育むアプローチが不可欠である。高齢者を権利の保有者として認めることは、公的事務への有意義な参加と権利の行使を可能にする。</w:t>
      </w:r>
      <w:r>
        <w:rPr>
          <w:lang w:eastAsia="ja-JP"/>
        </w:rPr>
        <w:t xml:space="preserve"> 国家には、代表組織を通じて、法律や政策の策定・実施、および共同設</w:t>
      </w:r>
      <w:r>
        <w:rPr>
          <w:rFonts w:hint="eastAsia"/>
          <w:lang w:eastAsia="ja-JP"/>
        </w:rPr>
        <w:t>計、共同決定、その他真に有意義な協議を含むその他の意思決定プロセスに、高齢者が効果的に関与できるよう確保する義務がある。これには、情報へのアクセス、研修、支援を確保すること、ならびに多様な高齢者の完全かつ効果的な参加と包摂を妨げる構造的な障壁や不平等に対処することも求められる。</w:t>
      </w:r>
    </w:p>
    <w:p w14:paraId="323A767E" w14:textId="42C066AC" w:rsidR="00B6272E" w:rsidRDefault="00B6272E" w:rsidP="00045C14">
      <w:pPr>
        <w:ind w:firstLineChars="100" w:firstLine="210"/>
        <w:rPr>
          <w:lang w:eastAsia="ja-JP"/>
        </w:rPr>
      </w:pPr>
      <w:r>
        <w:rPr>
          <w:rFonts w:hint="eastAsia"/>
          <w:lang w:eastAsia="ja-JP"/>
        </w:rPr>
        <w:t>内容面において、高齢者権利国際規約（</w:t>
      </w:r>
      <w:r>
        <w:rPr>
          <w:lang w:eastAsia="ja-JP"/>
        </w:rPr>
        <w:t>LBI）は、すべての人権が高齢者にも等しく適</w:t>
      </w:r>
      <w:r>
        <w:rPr>
          <w:lang w:eastAsia="ja-JP"/>
        </w:rPr>
        <w:lastRenderedPageBreak/>
        <w:t>用されること</w:t>
      </w:r>
      <w:r>
        <w:rPr>
          <w:rFonts w:hint="eastAsia"/>
          <w:lang w:eastAsia="ja-JP"/>
        </w:rPr>
        <w:t>を再確認するとともに、必要に応じて保護を強化すべきである。同規約は、既存の権利を再明文化し、高齢という文脈におけるその解釈と適用に関する指針を示し、明確かつ具体的な国家の義務を明示することで、実務における権利の有効な享受を確保すべきである。</w:t>
      </w:r>
    </w:p>
    <w:p w14:paraId="12916995" w14:textId="64BDF1E2" w:rsidR="00B6272E" w:rsidRDefault="00B6272E" w:rsidP="00045C14">
      <w:pPr>
        <w:ind w:firstLineChars="100" w:firstLine="210"/>
        <w:rPr>
          <w:lang w:eastAsia="ja-JP"/>
        </w:rPr>
      </w:pPr>
      <w:r>
        <w:rPr>
          <w:rFonts w:hint="eastAsia"/>
          <w:lang w:eastAsia="ja-JP"/>
        </w:rPr>
        <w:t>同時に、</w:t>
      </w:r>
      <w:r>
        <w:rPr>
          <w:lang w:eastAsia="ja-JP"/>
        </w:rPr>
        <w:t>LBIは、保護が不十分または未発達な分野において、より具体的な規定と規範的発展を提供</w:t>
      </w:r>
      <w:r>
        <w:rPr>
          <w:rFonts w:hint="eastAsia"/>
          <w:lang w:eastAsia="ja-JP"/>
        </w:rPr>
        <w:t>すべきである。これには、長年の課題と新たな課題の両方に対処し、社会、経済、技術、および人口動態（例：農村部の人口減少）の変容する状況において、高齢者の人権が効果的に保護されることを確保することが含まれる。</w:t>
      </w:r>
    </w:p>
    <w:p w14:paraId="1CE3A112" w14:textId="0FEF25DE" w:rsidR="00B6272E" w:rsidRDefault="00B6272E" w:rsidP="00045C14">
      <w:pPr>
        <w:ind w:firstLineChars="100" w:firstLine="210"/>
        <w:rPr>
          <w:lang w:eastAsia="ja-JP"/>
        </w:rPr>
      </w:pPr>
      <w:r>
        <w:rPr>
          <w:lang w:eastAsia="ja-JP"/>
        </w:rPr>
        <w:t>LBIが、より適切に調整された基準を通じて既存の枠組みの範囲と明確性をどのように拡大し得るか</w:t>
      </w:r>
      <w:r>
        <w:rPr>
          <w:rFonts w:hint="eastAsia"/>
          <w:lang w:eastAsia="ja-JP"/>
        </w:rPr>
        <w:t>を示す一例として、以下の非網羅的な例は、さらなる規範的発展が必要な選定された少数の分野を浮き彫りにしている。</w:t>
      </w:r>
    </w:p>
    <w:p w14:paraId="61EEFD65" w14:textId="1F891808" w:rsidR="00B6272E" w:rsidRDefault="00B6272E" w:rsidP="00045C14">
      <w:pPr>
        <w:ind w:firstLineChars="100" w:firstLine="210"/>
        <w:rPr>
          <w:lang w:eastAsia="ja-JP"/>
        </w:rPr>
      </w:pPr>
      <w:r>
        <w:rPr>
          <w:rFonts w:hint="eastAsia"/>
          <w:lang w:eastAsia="ja-JP"/>
        </w:rPr>
        <w:t>第一に、</w:t>
      </w:r>
      <w:r>
        <w:rPr>
          <w:lang w:eastAsia="ja-JP"/>
        </w:rPr>
        <w:t>LBIは、高齢者に適用される</w:t>
      </w:r>
      <w:r>
        <w:rPr>
          <w:rFonts w:hint="eastAsia"/>
          <w:lang w:eastAsia="ja-JP"/>
        </w:rPr>
        <w:t>平等と非差別の権利を明確にするべきである。これには、対人関係におけるものだけでなく、制度的、組織的、構造的な現れを含むあらゆる形態の年齢差別およびエイジズムを禁止・排除する明確な義務、ならびに有害なエイジズム的規範や慣行に対処する義務を含めるべきである。</w:t>
      </w:r>
    </w:p>
    <w:p w14:paraId="6D9CB481" w14:textId="45131502" w:rsidR="00B6272E" w:rsidRDefault="00B6272E" w:rsidP="00045C14">
      <w:pPr>
        <w:ind w:firstLineChars="100" w:firstLine="210"/>
        <w:rPr>
          <w:lang w:eastAsia="ja-JP"/>
        </w:rPr>
      </w:pPr>
      <w:r>
        <w:rPr>
          <w:rFonts w:hint="eastAsia"/>
          <w:lang w:eastAsia="ja-JP"/>
        </w:rPr>
        <w:t>この権利は、生活のあらゆる分野に適用され、既存および新たな形態の差別を包含すべきである。高齢に対する認識や先入観が差別的な態度や扱いを招く可能性があるため、保護は単なる暦年齢の基準のみに基づくべきではない。また、この権利は、排除、周縁化、虐待、およびネグレクトの一因となるエイジズムの悪影響に対処するために必要な措置の採用を含め、形式的、実質的、かつ変革的な平等の原則を反映すべきである。</w:t>
      </w:r>
    </w:p>
    <w:p w14:paraId="1CB24A35" w14:textId="141D91B5" w:rsidR="00B6272E" w:rsidRDefault="00B6272E" w:rsidP="00045C14">
      <w:pPr>
        <w:ind w:firstLineChars="100" w:firstLine="210"/>
        <w:rPr>
          <w:lang w:eastAsia="ja-JP"/>
        </w:rPr>
      </w:pPr>
      <w:r>
        <w:rPr>
          <w:rFonts w:hint="eastAsia"/>
          <w:lang w:eastAsia="ja-JP"/>
        </w:rPr>
        <w:t>この権利の実現には、年齢差別および年齢に基づく差別に対する意識向上、年齢別データの体系的な収集・分析・活用を含む法律や政策の影響の監視・評価、ならびに差別的な法律、政策、慣行の廃止など、国家に対する具体的な義務が伴うべきである。また、国家は、年齢に基づく区別が人権の完全かつ平等な享受を損なうことのないよう、年齢制限や例外規定を見直すべきである。</w:t>
      </w:r>
    </w:p>
    <w:p w14:paraId="6844ADCA" w14:textId="5BC88A6F" w:rsidR="00B6272E" w:rsidRDefault="00B6272E" w:rsidP="00045C14">
      <w:pPr>
        <w:ind w:firstLineChars="100" w:firstLine="210"/>
        <w:rPr>
          <w:lang w:eastAsia="ja-JP"/>
        </w:rPr>
      </w:pPr>
      <w:r>
        <w:rPr>
          <w:rFonts w:hint="eastAsia"/>
          <w:lang w:eastAsia="ja-JP"/>
        </w:rPr>
        <w:t>法的枠組みにおいては、合理的配慮の義務を年齢差別にまで拡大し、多重かつ交差する差別からの保護を提供するとともに、年齢差別に関する包括的な権限を有する国家平等機関など、効果的な監視メカニズムを確立または指定すべきである。特に、あらゆる多様性を持つ高齢者が、排除されたり不利益を被ったりしないよう、特に脆弱な状況にある周縁化された集団や少数派に属する人々に対して、細心の注意を払うべきである。</w:t>
      </w:r>
    </w:p>
    <w:p w14:paraId="3E012608" w14:textId="55692DE3" w:rsidR="00B6272E" w:rsidRDefault="00B6272E" w:rsidP="00045C14">
      <w:pPr>
        <w:ind w:firstLineChars="100" w:firstLine="210"/>
        <w:rPr>
          <w:lang w:eastAsia="ja-JP"/>
        </w:rPr>
      </w:pPr>
      <w:r>
        <w:rPr>
          <w:rFonts w:hint="eastAsia"/>
          <w:lang w:eastAsia="ja-JP"/>
        </w:rPr>
        <w:t>同様に、この法的拘束力のある文書は、高齢化という文脈において、高齢者が直面する具体的な障壁や不平等に対応し、労働権および社会保障の権利の実施を推進・明確化する可能性を秘めている。その際、必要に応じて国家の具体的な積極的義務を明文化することを含め、既存の基準を基盤とし、さらに発展させるべきである。</w:t>
      </w:r>
    </w:p>
    <w:p w14:paraId="4B46015A" w14:textId="13DD087C" w:rsidR="00B6272E" w:rsidRDefault="00B6272E" w:rsidP="00045C14">
      <w:pPr>
        <w:ind w:firstLineChars="100" w:firstLine="210"/>
        <w:rPr>
          <w:lang w:eastAsia="ja-JP"/>
        </w:rPr>
      </w:pPr>
      <w:r>
        <w:rPr>
          <w:rFonts w:hint="eastAsia"/>
          <w:lang w:eastAsia="ja-JP"/>
        </w:rPr>
        <w:t>例えば、この法的拘束力のある文書は、強制退職、研修や生涯学習へのアクセスにおける年齢に関連する障壁、労働市場への再参入が困難な長期失業の高齢労働者の状況といった構造的な問題に取り組むことができる。また、現在制度の対象外となっている高齢者を</w:t>
      </w:r>
      <w:r>
        <w:rPr>
          <w:rFonts w:hint="eastAsia"/>
          <w:lang w:eastAsia="ja-JP"/>
        </w:rPr>
        <w:lastRenderedPageBreak/>
        <w:t>確実にカバーするため、社会保護の最低基準を含む社会保障制度を強化・拡大するための道筋を定めるべきである。</w:t>
      </w:r>
      <w:r>
        <w:rPr>
          <w:lang w:eastAsia="ja-JP"/>
        </w:rPr>
        <w:t xml:space="preserve"> このようにして、</w:t>
      </w:r>
      <w:r>
        <w:rPr>
          <w:rFonts w:hint="eastAsia"/>
          <w:lang w:eastAsia="ja-JP"/>
        </w:rPr>
        <w:t>この枠組みは、高齢者の主体性、貢献、そして社会への完全かつ効果的な参加と包摂を認識し、支援する根本的な変革に寄与することになる。</w:t>
      </w:r>
    </w:p>
    <w:p w14:paraId="4EF4417D" w14:textId="33662320" w:rsidR="00B6272E" w:rsidRDefault="00B6272E" w:rsidP="00045C14">
      <w:pPr>
        <w:ind w:firstLineChars="100" w:firstLine="210"/>
        <w:rPr>
          <w:lang w:eastAsia="ja-JP"/>
        </w:rPr>
      </w:pPr>
      <w:r>
        <w:rPr>
          <w:rFonts w:hint="eastAsia"/>
          <w:lang w:eastAsia="ja-JP"/>
        </w:rPr>
        <w:t>また、</w:t>
      </w:r>
      <w:r>
        <w:rPr>
          <w:lang w:eastAsia="ja-JP"/>
        </w:rPr>
        <w:t>LBIは、既存の基準を前進させる新たな概念や定義を策定することも可能である。例えば、</w:t>
      </w:r>
      <w:r>
        <w:rPr>
          <w:rFonts w:hint="eastAsia"/>
          <w:lang w:eastAsia="ja-JP"/>
        </w:rPr>
        <w:t>「高齢者虐待」の包括的な定義を定めることで、非人道的かつ品位を傷つける扱いからの保護の範囲を拡大し、高齢期におけるあらゆる形態の虐待、暴力、およびネグレクトを網羅することができる。これには、意図的か否かを問わず、対人的な性質のものから制度的・組織的な性質のものまで、公的・私的を問わずあらゆる場面（家庭や居住型介護施設を含む）における行為が含まれる。</w:t>
      </w:r>
    </w:p>
    <w:p w14:paraId="6E5CF5CE" w14:textId="3CC65E47" w:rsidR="00B6272E" w:rsidRDefault="00B6272E" w:rsidP="00045C14">
      <w:pPr>
        <w:ind w:firstLineChars="100" w:firstLine="210"/>
        <w:rPr>
          <w:lang w:eastAsia="ja-JP"/>
        </w:rPr>
      </w:pPr>
      <w:r>
        <w:rPr>
          <w:rFonts w:hint="eastAsia"/>
          <w:lang w:eastAsia="ja-JP"/>
        </w:rPr>
        <w:t>さらに、この枠組みは、デジタル・インクルージョンへの権利や、伝統的あるいは医療化された概念から脱却したケアと支援を受ける権利といった、新たな権利や概念を明文化し、それによって、変化する状況下における高齢者の人権の保護とダイナミックな実現をさらに強化することができる。</w:t>
      </w:r>
    </w:p>
    <w:p w14:paraId="019CBA80" w14:textId="211B8F7A" w:rsidR="00B6272E" w:rsidRDefault="00B6272E" w:rsidP="00045C14">
      <w:pPr>
        <w:ind w:firstLineChars="100" w:firstLine="210"/>
        <w:rPr>
          <w:lang w:eastAsia="ja-JP"/>
        </w:rPr>
      </w:pPr>
      <w:r>
        <w:rPr>
          <w:rFonts w:hint="eastAsia"/>
          <w:lang w:eastAsia="ja-JP"/>
        </w:rPr>
        <w:t>全体として、この文書は、既存の人権基準を損なったり、高齢者の人権の平等な保護と享受を弱めるような留保や例外を導入したりしてはならない。</w:t>
      </w:r>
    </w:p>
    <w:p w14:paraId="17132066" w14:textId="77777777" w:rsidR="00B6272E" w:rsidRDefault="00B6272E" w:rsidP="00B6272E">
      <w:pPr>
        <w:rPr>
          <w:lang w:eastAsia="ja-JP"/>
        </w:rPr>
      </w:pPr>
    </w:p>
    <w:p w14:paraId="34B893F7" w14:textId="77777777" w:rsidR="00C44D88" w:rsidRPr="00C44D88" w:rsidRDefault="00C44D88" w:rsidP="00C44D88">
      <w:pPr>
        <w:jc w:val="left"/>
        <w:rPr>
          <w:rFonts w:ascii="BIZ UDゴシック" w:eastAsia="BIZ UDゴシック" w:hAnsi="BIZ UDゴシック"/>
          <w:b/>
          <w:bCs/>
          <w:szCs w:val="21"/>
        </w:rPr>
      </w:pPr>
      <w:r w:rsidRPr="00C44D88">
        <w:rPr>
          <w:rFonts w:ascii="BIZ UDゴシック" w:eastAsia="BIZ UDゴシック" w:hAnsi="BIZ UDゴシック" w:hint="eastAsia"/>
          <w:b/>
          <w:bCs/>
          <w:szCs w:val="21"/>
        </w:rPr>
        <w:t>質問3. 法的拘束力のある文書は、明確性と実効性を確保するために、どのような全体構成（</w:t>
      </w:r>
      <w:r w:rsidRPr="00C44D88">
        <w:rPr>
          <w:rFonts w:ascii="BIZ UDゴシック" w:eastAsia="BIZ UDゴシック" w:hAnsi="BIZ UDゴシック"/>
          <w:b/>
          <w:bCs/>
          <w:szCs w:val="21"/>
        </w:rPr>
        <w:t>structure</w:t>
      </w:r>
      <w:r w:rsidRPr="00C44D88">
        <w:rPr>
          <w:rFonts w:ascii="BIZ UDゴシック" w:eastAsia="BIZ UDゴシック" w:hAnsi="BIZ UDゴシック" w:hint="eastAsia"/>
          <w:b/>
          <w:bCs/>
          <w:szCs w:val="21"/>
        </w:rPr>
        <w:t>）や設計枠組み（</w:t>
      </w:r>
      <w:r w:rsidRPr="00C44D88">
        <w:rPr>
          <w:rFonts w:ascii="BIZ UDゴシック" w:eastAsia="BIZ UDゴシック" w:hAnsi="BIZ UDゴシック"/>
          <w:b/>
          <w:bCs/>
          <w:szCs w:val="21"/>
        </w:rPr>
        <w:t>architecture</w:t>
      </w:r>
      <w:r w:rsidRPr="00C44D88">
        <w:rPr>
          <w:rFonts w:ascii="BIZ UDゴシック" w:eastAsia="BIZ UDゴシック" w:hAnsi="BIZ UDゴシック" w:hint="eastAsia"/>
          <w:b/>
          <w:bCs/>
          <w:szCs w:val="21"/>
        </w:rPr>
        <w:t>）を採用すべきか？例えば、前文、定義、一般原則、一般的義務、具体的権利、および実施規定を含めるべきか？</w:t>
      </w:r>
    </w:p>
    <w:p w14:paraId="44F8C5B2" w14:textId="77777777" w:rsidR="00B6272E" w:rsidRDefault="00B6272E" w:rsidP="00B6272E">
      <w:pPr>
        <w:rPr>
          <w:lang w:eastAsia="ja-JP"/>
        </w:rPr>
      </w:pPr>
    </w:p>
    <w:p w14:paraId="496E0208" w14:textId="16C51C27" w:rsidR="00B6272E" w:rsidRDefault="00B6272E" w:rsidP="00045C14">
      <w:pPr>
        <w:ind w:firstLineChars="100" w:firstLine="210"/>
        <w:rPr>
          <w:lang w:eastAsia="ja-JP"/>
        </w:rPr>
      </w:pPr>
      <w:r>
        <w:rPr>
          <w:rFonts w:hint="eastAsia"/>
          <w:lang w:eastAsia="ja-JP"/>
        </w:rPr>
        <w:t>法的拘束力のある文書は、既存の国連人権条約の構造を参考にし、アクセシビリティ、一貫性、有効性を確保する、明確かつ包括的な構造を採用すべきである。</w:t>
      </w:r>
    </w:p>
    <w:p w14:paraId="3CDAEB3F" w14:textId="35C66113" w:rsidR="00B6272E" w:rsidRDefault="00B6272E" w:rsidP="00045C14">
      <w:pPr>
        <w:ind w:firstLineChars="100" w:firstLine="210"/>
        <w:rPr>
          <w:lang w:eastAsia="ja-JP"/>
        </w:rPr>
      </w:pPr>
      <w:r>
        <w:rPr>
          <w:rFonts w:hint="eastAsia"/>
          <w:lang w:eastAsia="ja-JP"/>
        </w:rPr>
        <w:t>まず、前文から始めるべきであり、そこには、高齢者が経験してきた、また現在も経験している歴史的かつ継続的な差別や排除、そしてエイジズムが個人や社会に与える影響など、条約の根拠が明記されるべきである。</w:t>
      </w:r>
      <w:r>
        <w:rPr>
          <w:lang w:eastAsia="ja-JP"/>
        </w:rPr>
        <w:t xml:space="preserve"> また、人口動態の変化がもたらす影響にも言及すべきであるが、それを単なる問</w:t>
      </w:r>
      <w:r>
        <w:rPr>
          <w:rFonts w:hint="eastAsia"/>
          <w:lang w:eastAsia="ja-JP"/>
        </w:rPr>
        <w:t>題や課題として捉えるのではなく、長寿化がもたらす機会に焦点を当て、この変化する現実を人権の枠組みに反映させ、人生のあらゆる段階において平等に人権を保障することの重要性を強調すべきである。さらに、前文では、地域社会において、また人権の促進と監視において、高齢者およびその代表組織が果たす重要な役割を認識すべきである。</w:t>
      </w:r>
    </w:p>
    <w:p w14:paraId="62F35E06" w14:textId="16787C77" w:rsidR="00B6272E" w:rsidRDefault="00B6272E" w:rsidP="00045C14">
      <w:pPr>
        <w:ind w:firstLineChars="100" w:firstLine="210"/>
        <w:rPr>
          <w:lang w:eastAsia="ja-JP"/>
        </w:rPr>
      </w:pPr>
      <w:r>
        <w:rPr>
          <w:rFonts w:hint="eastAsia"/>
          <w:lang w:eastAsia="ja-JP"/>
        </w:rPr>
        <w:t>前文では、さらに、この条約の包括的なビジョンと、国際人権枠組みを強化する上でのその役割を明確にすべきである。中心的な焦点は、人権システムにおいて高齢者の存在をより可視化すること、権利の完全な享受に影響を及ぼす構造的障壁を克服するために普遍的権利をいかに保障すべきかを明確にすること、そして高齢期に権利を行使するための支援体制をいかに構築するかに置かれるべきである。</w:t>
      </w:r>
      <w:r>
        <w:rPr>
          <w:lang w:eastAsia="ja-JP"/>
        </w:rPr>
        <w:t xml:space="preserve"> また、この国際的な枠組みは、人権システムにおいて高齢化問題への持続的な注目と専門知識</w:t>
      </w:r>
      <w:r>
        <w:rPr>
          <w:rFonts w:hint="eastAsia"/>
          <w:lang w:eastAsia="ja-JP"/>
        </w:rPr>
        <w:t>の向上を確実にするものでなければならない。そうすることで、既存のメカニズムにおいて高齢者の権利をより適切に主流</w:t>
      </w:r>
      <w:r>
        <w:rPr>
          <w:rFonts w:hint="eastAsia"/>
          <w:lang w:eastAsia="ja-JP"/>
        </w:rPr>
        <w:lastRenderedPageBreak/>
        <w:t>化し、交差する不平等によりよく対処することができるようになる。</w:t>
      </w:r>
    </w:p>
    <w:p w14:paraId="0566C88A" w14:textId="7F57FFE8" w:rsidR="00B6272E" w:rsidRDefault="00B6272E" w:rsidP="00045C14">
      <w:pPr>
        <w:ind w:firstLineChars="100" w:firstLine="210"/>
        <w:rPr>
          <w:lang w:eastAsia="ja-JP"/>
        </w:rPr>
      </w:pPr>
      <w:r>
        <w:rPr>
          <w:rFonts w:hint="eastAsia"/>
          <w:lang w:eastAsia="ja-JP"/>
        </w:rPr>
        <w:t>これに続いて、目的、範囲、概念、定義に関する規定を設けるべきであり、そこには、高齢化の経験の多様性を反映した、「高齢者」に対する柔軟かつ包括的な理解を含める必要がある。この定義は、人権を十分に享受する上での障壁を特定し、それに対処するための基礎となり、また、状況に応じた適用を可能にするものでなければならない。また、この定義は、厳格な</w:t>
      </w:r>
      <w:r>
        <w:rPr>
          <w:lang w:eastAsia="ja-JP"/>
        </w:rPr>
        <w:t>年代的な理解に基づき、高齢の定義について社会構築論的アプローチを採用した2014年の欧州評議</w:t>
      </w:r>
      <w:r>
        <w:rPr>
          <w:rFonts w:hint="eastAsia"/>
          <w:lang w:eastAsia="ja-JP"/>
        </w:rPr>
        <w:t>会勧告</w:t>
      </w:r>
      <w:r>
        <w:rPr>
          <w:lang w:eastAsia="ja-JP"/>
        </w:rPr>
        <w:t>1 から着想を得ることができる。また、この定義においては、高齢者が社会に完全かつ効果的</w:t>
      </w:r>
      <w:r>
        <w:rPr>
          <w:rFonts w:hint="eastAsia"/>
          <w:lang w:eastAsia="ja-JP"/>
        </w:rPr>
        <w:t>に参加するとともに、継続的に成長していくことの重要性をさらに反映させることも可能である。</w:t>
      </w:r>
    </w:p>
    <w:p w14:paraId="321DD8FD" w14:textId="6198210C" w:rsidR="00B6272E" w:rsidRDefault="00B6272E" w:rsidP="00045C14">
      <w:pPr>
        <w:ind w:firstLineChars="100" w:firstLine="210"/>
        <w:rPr>
          <w:lang w:eastAsia="ja-JP"/>
        </w:rPr>
      </w:pPr>
      <w:r>
        <w:rPr>
          <w:rFonts w:hint="eastAsia"/>
          <w:lang w:eastAsia="ja-JP"/>
        </w:rPr>
        <w:t>続いて、</w:t>
      </w:r>
      <w:r>
        <w:rPr>
          <w:lang w:eastAsia="ja-JP"/>
        </w:rPr>
        <w:t>LBIは、条約全体を支え、前項の回答で述べた方針に沿ってその解釈を導く一般原則を定め</w:t>
      </w:r>
      <w:r>
        <w:rPr>
          <w:rFonts w:hint="eastAsia"/>
          <w:lang w:eastAsia="ja-JP"/>
        </w:rPr>
        <w:t>るべきである。</w:t>
      </w:r>
      <w:r>
        <w:rPr>
          <w:lang w:eastAsia="ja-JP"/>
        </w:rPr>
        <w:t xml:space="preserve"> これらには、当該条約に含まれる権利を尊重し、保護し、実現するという締約国の</w:t>
      </w:r>
      <w:r>
        <w:rPr>
          <w:rFonts w:hint="eastAsia"/>
          <w:lang w:eastAsia="ja-JP"/>
        </w:rPr>
        <w:t>一般的な義務が併せて盛り込まれるべきである。こうした義務には、立法上および政策上の措置の見直しと採択、差別の撤廃、司法へのアクセスの確保、意識啓発の促進、細分化されたデータの収集・分析、ならびに高齢者の代表組織を通じて、高齢者の権利に影響を及ぼす意思決定プロセスや政策の策定への高齢者の完全かつ効果的な参加の確保が含まれるべきである。</w:t>
      </w:r>
    </w:p>
    <w:p w14:paraId="469A39C9" w14:textId="64F1A6F1" w:rsidR="00B6272E" w:rsidRDefault="00B6272E" w:rsidP="00045C14">
      <w:pPr>
        <w:ind w:firstLineChars="100" w:firstLine="210"/>
        <w:rPr>
          <w:lang w:eastAsia="ja-JP"/>
        </w:rPr>
      </w:pPr>
      <w:r>
        <w:rPr>
          <w:rFonts w:hint="eastAsia"/>
          <w:lang w:eastAsia="ja-JP"/>
        </w:rPr>
        <w:t>年齢差別が高齢期における不平等や人権侵害の常態化に寄与している状況において、高齢期における人権の完全な享受には、高齢化や高齢者に対する認識のあり方において、より広範な文化的・社会的変革が必要である。したがって、</w:t>
      </w:r>
      <w:r>
        <w:rPr>
          <w:lang w:eastAsia="ja-JP"/>
        </w:rPr>
        <w:t>LBIには、高齢者を権利の保有者かつ社会の貴重な一員として認識</w:t>
      </w:r>
      <w:r>
        <w:rPr>
          <w:rFonts w:hint="eastAsia"/>
          <w:lang w:eastAsia="ja-JP"/>
        </w:rPr>
        <w:t>することを強化し、相互尊重と世代間連帯の文化を促進し、高齢者が自らの権利を知り、行使できるようエンパワーメントすることを目的とした、国家の一般的な義務も盛り込まれるべきである。</w:t>
      </w:r>
    </w:p>
    <w:p w14:paraId="5D92C6CD" w14:textId="4D401151" w:rsidR="00B6272E" w:rsidRDefault="00B6272E" w:rsidP="00045C14">
      <w:pPr>
        <w:ind w:firstLineChars="100" w:firstLine="210"/>
        <w:rPr>
          <w:lang w:eastAsia="ja-JP"/>
        </w:rPr>
      </w:pPr>
      <w:r>
        <w:rPr>
          <w:rFonts w:hint="eastAsia"/>
          <w:lang w:eastAsia="ja-JP"/>
        </w:rPr>
        <w:t>この文書の主要部分では、人権の全範囲を網羅する権利を規定するとともに、それらが高齢者の現実や経験にどのように適用されるかを明確にするべきである。</w:t>
      </w:r>
      <w:r>
        <w:rPr>
          <w:lang w:eastAsia="ja-JP"/>
        </w:rPr>
        <w:t xml:space="preserve"> これには、緩和ケアを含むケアと支援</w:t>
      </w:r>
      <w:r>
        <w:rPr>
          <w:rFonts w:hint="eastAsia"/>
          <w:lang w:eastAsia="ja-JP"/>
        </w:rPr>
        <w:t>、暴力・虐待・ネグレクトからの保護、労働、経済的安定と社会的保護、教育と生涯学習、デジタル・インクルージョンおよび人工知能を含む新技術へのアクセス、ならびに気候変動、災害、人道上の緊急事態が高齢者に与える影響など、さらなる規範的発展が必要な分野が含まれる</w:t>
      </w:r>
      <w:r>
        <w:rPr>
          <w:lang w:eastAsia="ja-JP"/>
        </w:rPr>
        <w:t>2。</w:t>
      </w:r>
    </w:p>
    <w:p w14:paraId="5577629A" w14:textId="4E8A223B" w:rsidR="00B6272E" w:rsidRDefault="00B6272E" w:rsidP="00045C14">
      <w:pPr>
        <w:ind w:firstLineChars="100" w:firstLine="210"/>
        <w:rPr>
          <w:lang w:eastAsia="ja-JP"/>
        </w:rPr>
      </w:pPr>
      <w:r>
        <w:rPr>
          <w:lang w:eastAsia="ja-JP"/>
        </w:rPr>
        <w:t>1 本勧告において、高齢者は「</w:t>
      </w:r>
      <w:r>
        <w:rPr>
          <w:rFonts w:hint="eastAsia"/>
          <w:lang w:eastAsia="ja-JP"/>
        </w:rPr>
        <w:t>高齢という事実が、単独で、あるいは認識や態度を含む他の要因と相まって、人権および基本的自由の完全な享受、ならびに平等な立場で社会に完全かつ効果的に参加することに対する障壁となっている者」と定義される。</w:t>
      </w:r>
    </w:p>
    <w:p w14:paraId="2A2E1F2B" w14:textId="24502367" w:rsidR="00B6272E" w:rsidRDefault="00B6272E" w:rsidP="00045C14">
      <w:pPr>
        <w:ind w:firstLineChars="100" w:firstLine="210"/>
        <w:rPr>
          <w:lang w:eastAsia="ja-JP"/>
        </w:rPr>
      </w:pPr>
      <w:r>
        <w:rPr>
          <w:lang w:eastAsia="ja-JP"/>
        </w:rPr>
        <w:t>2 この網羅的ではないリストは、国連機関、市民社会組織、およびその他のステークホルダーの活動において、一貫して課題が指摘さ</w:t>
      </w:r>
      <w:r>
        <w:rPr>
          <w:rFonts w:hint="eastAsia"/>
          <w:lang w:eastAsia="ja-JP"/>
        </w:rPr>
        <w:t>れてきた分野を反映している。</w:t>
      </w:r>
    </w:p>
    <w:p w14:paraId="6F8F734D" w14:textId="51519589" w:rsidR="00B6272E" w:rsidRDefault="00B6272E" w:rsidP="00B6272E">
      <w:pPr>
        <w:rPr>
          <w:lang w:eastAsia="ja-JP"/>
        </w:rPr>
      </w:pPr>
      <w:r>
        <w:rPr>
          <w:lang w:eastAsia="ja-JP"/>
        </w:rPr>
        <w:t>最後に、この枠組みには、国内および国際レベルにおける実施、監視、執行、説明責任に関する強力</w:t>
      </w:r>
      <w:r>
        <w:rPr>
          <w:rFonts w:hint="eastAsia"/>
          <w:lang w:eastAsia="ja-JP"/>
        </w:rPr>
        <w:t>な規定を含めるべきである。これには、国際レベルでの効果的なデータ収集、報告、独立した監視に加え、高齢者の権利の促進、保護、監視を担当する、独立したかつ十分な資源を備えた国内機関の設置または指定が含まれるべきである。また、個人申立て</w:t>
      </w:r>
      <w:r>
        <w:rPr>
          <w:rFonts w:hint="eastAsia"/>
          <w:lang w:eastAsia="ja-JP"/>
        </w:rPr>
        <w:lastRenderedPageBreak/>
        <w:t>や集団的救済メカニズム</w:t>
      </w:r>
      <w:r>
        <w:rPr>
          <w:lang w:eastAsia="ja-JP"/>
        </w:rPr>
        <w:t>3 などを通じた救済</w:t>
      </w:r>
      <w:r>
        <w:rPr>
          <w:rFonts w:hint="eastAsia"/>
          <w:lang w:eastAsia="ja-JP"/>
        </w:rPr>
        <w:t>へのアクセスを確保すべきである。</w:t>
      </w:r>
      <w:r>
        <w:rPr>
          <w:lang w:eastAsia="ja-JP"/>
        </w:rPr>
        <w:t xml:space="preserve"> また、LBIは、国連障害者権利条約第33条を参考にしつつ、LBI</w:t>
      </w:r>
      <w:r>
        <w:rPr>
          <w:rFonts w:hint="eastAsia"/>
          <w:lang w:eastAsia="ja-JP"/>
        </w:rPr>
        <w:t>のモニタリングおよび実施において高齢者団体が有意義な役割を果たせるよう規定しなければならない。</w:t>
      </w:r>
    </w:p>
    <w:p w14:paraId="798653DB" w14:textId="5F76EE49" w:rsidR="00B6272E" w:rsidRDefault="00B6272E" w:rsidP="00045C14">
      <w:pPr>
        <w:ind w:firstLineChars="100" w:firstLine="210"/>
        <w:rPr>
          <w:lang w:eastAsia="ja-JP"/>
        </w:rPr>
      </w:pPr>
      <w:r>
        <w:rPr>
          <w:rFonts w:hint="eastAsia"/>
          <w:lang w:eastAsia="ja-JP"/>
        </w:rPr>
        <w:t>さらに、啓発活動や人権教育は、監視、執行、説明責任に不可欠である。したがって、</w:t>
      </w:r>
      <w:r>
        <w:rPr>
          <w:lang w:eastAsia="ja-JP"/>
        </w:rPr>
        <w:t>LBIを活用す</w:t>
      </w:r>
      <w:r>
        <w:rPr>
          <w:rFonts w:hint="eastAsia"/>
          <w:lang w:eastAsia="ja-JP"/>
        </w:rPr>
        <w:t>る能力を構築し、高齢者が自らの権利を認識し、生活のあらゆる側面においてその権利を十分に行使できるようエンパワーメントすることに留意しなければならない。人権指標や一般意見、勧告は、</w:t>
      </w:r>
      <w:r>
        <w:rPr>
          <w:lang w:eastAsia="ja-JP"/>
        </w:rPr>
        <w:t>LBIに基づく義務の範囲をさらに明確にし、変化する状況下でのその動的な解釈を支援することがで</w:t>
      </w:r>
      <w:r>
        <w:rPr>
          <w:rFonts w:hint="eastAsia"/>
          <w:lang w:eastAsia="ja-JP"/>
        </w:rPr>
        <w:t>きる。</w:t>
      </w:r>
    </w:p>
    <w:p w14:paraId="38E1D8DF" w14:textId="70A05616" w:rsidR="00B6272E" w:rsidRDefault="00B6272E" w:rsidP="00045C14">
      <w:pPr>
        <w:ind w:firstLineChars="100" w:firstLine="210"/>
        <w:rPr>
          <w:lang w:eastAsia="ja-JP"/>
        </w:rPr>
      </w:pPr>
      <w:r>
        <w:rPr>
          <w:rFonts w:hint="eastAsia"/>
          <w:lang w:eastAsia="ja-JP"/>
        </w:rPr>
        <w:t>全体として、その枠組みは、同法に定められた権利が実際に実現されることを確保するために、明確かつ実用的であり、かつ十分に強固なものでなければならない。</w:t>
      </w:r>
    </w:p>
    <w:p w14:paraId="352A7489" w14:textId="77777777" w:rsidR="00B6272E" w:rsidRDefault="00B6272E" w:rsidP="00B6272E">
      <w:pPr>
        <w:rPr>
          <w:lang w:eastAsia="ja-JP"/>
        </w:rPr>
      </w:pPr>
    </w:p>
    <w:p w14:paraId="3144B516" w14:textId="77777777" w:rsidR="00B6272E" w:rsidRPr="00045C14" w:rsidRDefault="00B6272E" w:rsidP="00B6272E">
      <w:pPr>
        <w:rPr>
          <w:rFonts w:ascii="BIZ UDゴシック" w:eastAsia="BIZ UDゴシック" w:hAnsi="BIZ UDゴシック"/>
          <w:b/>
          <w:bCs/>
          <w:lang w:eastAsia="ja-JP"/>
        </w:rPr>
      </w:pPr>
      <w:r w:rsidRPr="00045C14">
        <w:rPr>
          <w:rFonts w:ascii="BIZ UDゴシック" w:eastAsia="BIZ UDゴシック" w:hAnsi="BIZ UDゴシック" w:hint="eastAsia"/>
          <w:b/>
          <w:bCs/>
          <w:lang w:eastAsia="ja-JP"/>
        </w:rPr>
        <w:t>結論</w:t>
      </w:r>
    </w:p>
    <w:p w14:paraId="27E712E5" w14:textId="68C1D6D0" w:rsidR="00B6272E" w:rsidRDefault="00B6272E" w:rsidP="00045C14">
      <w:pPr>
        <w:ind w:firstLineChars="100" w:firstLine="210"/>
        <w:rPr>
          <w:lang w:eastAsia="ja-JP"/>
        </w:rPr>
      </w:pPr>
      <w:r>
        <w:rPr>
          <w:rFonts w:hint="eastAsia"/>
          <w:lang w:eastAsia="ja-JP"/>
        </w:rPr>
        <w:t>法的拘束力のある専用条約の起草は、既存の人権基準を単に再確認する以上のことを成し遂げる、唯一無二かつ時宜を得た機会を提供する。それは、高齢期における権利の理解と実現の在り方を根本的に変革し得るものである。</w:t>
      </w:r>
      <w:r>
        <w:rPr>
          <w:lang w:eastAsia="ja-JP"/>
        </w:rPr>
        <w:t xml:space="preserve"> 尊厳、平等と非差別、自律と自立、そして参加と包摂を中核に据えるこ</w:t>
      </w:r>
      <w:r>
        <w:rPr>
          <w:rFonts w:hint="eastAsia"/>
          <w:lang w:eastAsia="ja-JP"/>
        </w:rPr>
        <w:t>とで、</w:t>
      </w:r>
      <w:r>
        <w:rPr>
          <w:lang w:eastAsia="ja-JP"/>
        </w:rPr>
        <w:t>LBI は、（実際の、あるいは認識上の）高齢を理由に個人を軽視し、人権の平等な享受を損な</w:t>
      </w:r>
      <w:r>
        <w:rPr>
          <w:rFonts w:hint="eastAsia"/>
          <w:lang w:eastAsia="ja-JP"/>
        </w:rPr>
        <w:t>う、年齢差別的な規範、認識、態度、慣行に異議を唱える可能性を秘めている。</w:t>
      </w:r>
    </w:p>
    <w:p w14:paraId="47C7E40F" w14:textId="165C0F87" w:rsidR="00B6272E" w:rsidRDefault="00B6272E" w:rsidP="00045C14">
      <w:pPr>
        <w:ind w:firstLineChars="100" w:firstLine="210"/>
        <w:rPr>
          <w:lang w:eastAsia="ja-JP"/>
        </w:rPr>
      </w:pPr>
      <w:r>
        <w:rPr>
          <w:lang w:eastAsia="ja-JP"/>
        </w:rPr>
        <w:t>LBIは、高齢期においても普遍的な権利が平等に享受されるために必要な政策の変更、支援の種類、</w:t>
      </w:r>
      <w:r>
        <w:rPr>
          <w:rFonts w:hint="eastAsia"/>
          <w:lang w:eastAsia="ja-JP"/>
        </w:rPr>
        <w:t>および実現のための条件を具体的に定義することで、これを実現できる。このようにして、</w:t>
      </w:r>
      <w:r>
        <w:rPr>
          <w:lang w:eastAsia="ja-JP"/>
        </w:rPr>
        <w:t>LBIは説</w:t>
      </w:r>
      <w:r>
        <w:rPr>
          <w:rFonts w:hint="eastAsia"/>
          <w:lang w:eastAsia="ja-JP"/>
        </w:rPr>
        <w:t>明責任を強化するだけでなく、</w:t>
      </w:r>
      <w:r>
        <w:rPr>
          <w:lang w:eastAsia="ja-JP"/>
        </w:rPr>
        <w:t>改正欧州社会憲章に基づく集団苦情処理制度などの事例を参照。</w:t>
      </w:r>
    </w:p>
    <w:p w14:paraId="5A83C054" w14:textId="1191E84D" w:rsidR="00B6272E" w:rsidRDefault="00B6272E" w:rsidP="00045C14">
      <w:pPr>
        <w:ind w:firstLineChars="100" w:firstLine="210"/>
        <w:rPr>
          <w:lang w:eastAsia="ja-JP"/>
        </w:rPr>
      </w:pPr>
      <w:r>
        <w:rPr>
          <w:lang w:eastAsia="ja-JP"/>
        </w:rPr>
        <w:t>高齢者に対する差別、疎外、ネグレクト、虐待、その他の権利侵害を無視、軽視、あるいは常態化さ</w:t>
      </w:r>
      <w:r>
        <w:rPr>
          <w:rFonts w:hint="eastAsia"/>
          <w:lang w:eastAsia="ja-JP"/>
        </w:rPr>
        <w:t>せることを、はるかに困難にする。</w:t>
      </w:r>
    </w:p>
    <w:p w14:paraId="2926262B" w14:textId="137FBA2B" w:rsidR="00B6272E" w:rsidRDefault="00B6272E" w:rsidP="00045C14">
      <w:pPr>
        <w:ind w:firstLineChars="100" w:firstLine="210"/>
        <w:rPr>
          <w:lang w:eastAsia="ja-JP"/>
        </w:rPr>
      </w:pPr>
      <w:r>
        <w:rPr>
          <w:rFonts w:hint="eastAsia"/>
          <w:lang w:eastAsia="ja-JP"/>
        </w:rPr>
        <w:t>同時に、</w:t>
      </w:r>
      <w:r>
        <w:rPr>
          <w:lang w:eastAsia="ja-JP"/>
        </w:rPr>
        <w:t>LBIは高齢者自身に力を与え、自らの権利を主張し、公的生活に有意義に参加し、自身に影</w:t>
      </w:r>
      <w:r>
        <w:rPr>
          <w:rFonts w:hint="eastAsia"/>
          <w:lang w:eastAsia="ja-JP"/>
        </w:rPr>
        <w:t>響を与える決定を形作る能力を強化するだろう。それは、高齢者の権利に対する認識を高め、長寿化や交差する不平等の現実に対処する上で、既存の人権枠組みをより効果的かつ首尾一貫したものにするのに役立つだろう。そうすることで、あらゆる年齢層にとってより包摂的で、平等で、権利に基づく社会に向けた決定的な一歩となる可能性がある。</w:t>
      </w:r>
    </w:p>
    <w:p w14:paraId="24DBB139" w14:textId="77777777" w:rsidR="00045C14" w:rsidRDefault="00045C14" w:rsidP="00045C14">
      <w:pPr>
        <w:ind w:firstLineChars="100" w:firstLine="210"/>
        <w:rPr>
          <w:lang w:eastAsia="ja-JP"/>
        </w:rPr>
      </w:pPr>
    </w:p>
    <w:p w14:paraId="379300E2" w14:textId="77777777" w:rsidR="00B6272E" w:rsidRPr="00045C14" w:rsidRDefault="00B6272E" w:rsidP="00045C14">
      <w:pPr>
        <w:rPr>
          <w:b/>
          <w:bCs/>
          <w:lang w:eastAsia="ja-JP"/>
        </w:rPr>
      </w:pPr>
      <w:r w:rsidRPr="00045C14">
        <w:rPr>
          <w:b/>
          <w:bCs/>
          <w:lang w:eastAsia="ja-JP"/>
        </w:rPr>
        <w:t>AGE Platform Europeについて</w:t>
      </w:r>
    </w:p>
    <w:p w14:paraId="226C2866" w14:textId="2A184C04" w:rsidR="00B6272E" w:rsidRDefault="00B6272E" w:rsidP="00045C14">
      <w:pPr>
        <w:ind w:firstLineChars="100" w:firstLine="210"/>
        <w:rPr>
          <w:lang w:eastAsia="ja-JP"/>
        </w:rPr>
      </w:pPr>
      <w:r>
        <w:rPr>
          <w:lang w:eastAsia="ja-JP"/>
        </w:rPr>
        <w:t>AGE Platform Europeは、高齢者による、そして高齢者のための非営利団体からなる欧州最大のネ</w:t>
      </w:r>
      <w:r>
        <w:rPr>
          <w:rFonts w:hint="eastAsia"/>
          <w:lang w:eastAsia="ja-JP"/>
        </w:rPr>
        <w:t>ットワークです。私たちは高齢者の声を高め、その経験と願いを議論の場に持ち込み、高齢化を称え、あらゆる年齢層における平等の実現のために闘っています。</w:t>
      </w:r>
    </w:p>
    <w:p w14:paraId="4CD0BD3A" w14:textId="77777777" w:rsidR="00045C14" w:rsidRDefault="00045C14" w:rsidP="00B6272E">
      <w:pPr>
        <w:rPr>
          <w:lang w:eastAsia="ja-JP"/>
        </w:rPr>
      </w:pPr>
    </w:p>
    <w:p w14:paraId="2A56A101" w14:textId="648DFC92" w:rsidR="00B6272E" w:rsidRPr="00045C14" w:rsidRDefault="00045C14" w:rsidP="00B6272E">
      <w:pPr>
        <w:rPr>
          <w:b/>
          <w:bCs/>
          <w:lang w:eastAsia="ja-JP"/>
        </w:rPr>
      </w:pPr>
      <w:r w:rsidRPr="00045C14">
        <w:rPr>
          <w:rFonts w:hint="eastAsia"/>
          <w:b/>
          <w:bCs/>
          <w:lang w:eastAsia="ja-JP"/>
        </w:rPr>
        <w:t>連絡先</w:t>
      </w:r>
    </w:p>
    <w:p w14:paraId="2D98321C" w14:textId="0128F0BA" w:rsidR="00B6272E" w:rsidRDefault="00B6272E" w:rsidP="00B6272E">
      <w:pPr>
        <w:rPr>
          <w:lang w:eastAsia="ja-JP"/>
        </w:rPr>
      </w:pPr>
      <w:r>
        <w:rPr>
          <w:rFonts w:hint="eastAsia"/>
          <w:lang w:eastAsia="ja-JP"/>
        </w:rPr>
        <w:lastRenderedPageBreak/>
        <w:t>詳細については、アドボカシー責任者</w:t>
      </w:r>
      <w:r>
        <w:rPr>
          <w:lang w:eastAsia="ja-JP"/>
        </w:rPr>
        <w:t xml:space="preserve"> Nena Georgantzi までお問い合わせくだ</w:t>
      </w:r>
      <w:r>
        <w:rPr>
          <w:rFonts w:hint="eastAsia"/>
          <w:lang w:eastAsia="ja-JP"/>
        </w:rPr>
        <w:t>さい。</w:t>
      </w:r>
      <w:r>
        <w:rPr>
          <w:lang w:eastAsia="ja-JP"/>
        </w:rPr>
        <w:t xml:space="preserve"> nena.georgantzi@age-platform.eu</w:t>
      </w:r>
    </w:p>
    <w:p w14:paraId="10D59B60" w14:textId="77777777" w:rsidR="00045C14" w:rsidRDefault="00045C14" w:rsidP="00B6272E">
      <w:pPr>
        <w:rPr>
          <w:lang w:eastAsia="ja-JP"/>
        </w:rPr>
      </w:pPr>
    </w:p>
    <w:p w14:paraId="42C71F4F" w14:textId="7EF825F8" w:rsidR="00B6272E" w:rsidRPr="00045C14" w:rsidRDefault="00B6272E" w:rsidP="00B6272E">
      <w:pPr>
        <w:rPr>
          <w:b/>
          <w:bCs/>
          <w:lang w:eastAsia="ja-JP"/>
        </w:rPr>
      </w:pPr>
      <w:r w:rsidRPr="00045C14">
        <w:rPr>
          <w:rFonts w:hint="eastAsia"/>
          <w:b/>
          <w:bCs/>
          <w:lang w:eastAsia="ja-JP"/>
        </w:rPr>
        <w:t>関連資料</w:t>
      </w:r>
    </w:p>
    <w:p w14:paraId="0CC0420E" w14:textId="1AA7B6AF" w:rsidR="00B6272E" w:rsidRDefault="00B6272E" w:rsidP="00B6272E">
      <w:pPr>
        <w:rPr>
          <w:lang w:eastAsia="ja-JP"/>
        </w:rPr>
      </w:pPr>
      <w:r>
        <w:rPr>
          <w:rFonts w:hint="eastAsia"/>
          <w:lang w:eastAsia="ja-JP"/>
        </w:rPr>
        <w:t>•</w:t>
      </w:r>
      <w:r>
        <w:rPr>
          <w:lang w:eastAsia="ja-JP"/>
        </w:rPr>
        <w:t xml:space="preserve"> 高齢者の権利に関するグローバル・アライアンス（GAROP）による条約の概念的基礎に関</w:t>
      </w:r>
      <w:r>
        <w:rPr>
          <w:rFonts w:hint="eastAsia"/>
          <w:lang w:eastAsia="ja-JP"/>
        </w:rPr>
        <w:t>する報告書</w:t>
      </w:r>
    </w:p>
    <w:p w14:paraId="15A7A992" w14:textId="77777777" w:rsidR="007625D0" w:rsidRDefault="007625D0" w:rsidP="00B6272E">
      <w:pPr>
        <w:rPr>
          <w:lang w:eastAsia="ja-JP"/>
        </w:rPr>
      </w:pPr>
    </w:p>
    <w:p w14:paraId="79AEFC00" w14:textId="3BCF895F" w:rsidR="007625D0" w:rsidRDefault="007625D0" w:rsidP="007625D0">
      <w:pPr>
        <w:jc w:val="right"/>
        <w:rPr>
          <w:rFonts w:hint="eastAsia"/>
          <w:lang w:eastAsia="ja-JP"/>
        </w:rPr>
      </w:pPr>
      <w:r>
        <w:rPr>
          <w:rFonts w:hint="eastAsia"/>
          <w:lang w:eastAsia="ja-JP"/>
        </w:rPr>
        <w:t>（翻訳・佐藤久夫、　　　　　）</w:t>
      </w:r>
    </w:p>
    <w:sectPr w:rsidR="007625D0" w:rsidSect="006A05DC">
      <w:footerReference w:type="even" r:id="rId7"/>
      <w:footerReference w:type="default" r:id="rId8"/>
      <w:footerReference w:type="first" r:id="rId9"/>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18A26" w14:textId="77777777" w:rsidR="00B6272E" w:rsidRDefault="00B6272E" w:rsidP="00B6272E">
      <w:r>
        <w:separator/>
      </w:r>
    </w:p>
  </w:endnote>
  <w:endnote w:type="continuationSeparator" w:id="0">
    <w:p w14:paraId="1A25BDF5" w14:textId="77777777" w:rsidR="00B6272E" w:rsidRDefault="00B6272E" w:rsidP="00B6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36066"/>
      <w:docPartObj>
        <w:docPartGallery w:val="Page Numbers (Bottom of Page)"/>
        <w:docPartUnique/>
      </w:docPartObj>
    </w:sdtPr>
    <w:sdtEndPr/>
    <w:sdtContent>
      <w:p w14:paraId="08A71ED0" w14:textId="0B9480E3" w:rsidR="00B6272E" w:rsidRDefault="00B6272E">
        <w:pPr>
          <w:pStyle w:val="ae"/>
        </w:pPr>
        <w:r>
          <w:fldChar w:fldCharType="begin"/>
        </w:r>
        <w:r>
          <w:instrText>PAGE   \* MERGEFORMAT</w:instrText>
        </w:r>
        <w:r>
          <w:fldChar w:fldCharType="separate"/>
        </w:r>
        <w:r>
          <w:rPr>
            <w:lang w:val="ja-JP" w:eastAsia="ja-JP"/>
          </w:rPr>
          <w:t>2</w:t>
        </w:r>
        <w:r>
          <w:fldChar w:fldCharType="end"/>
        </w:r>
      </w:p>
    </w:sdtContent>
  </w:sdt>
  <w:p w14:paraId="399DF67C" w14:textId="77777777" w:rsidR="00B6272E" w:rsidRDefault="00B6272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733941"/>
      <w:docPartObj>
        <w:docPartGallery w:val="Page Numbers (Bottom of Page)"/>
        <w:docPartUnique/>
      </w:docPartObj>
    </w:sdtPr>
    <w:sdtEndPr/>
    <w:sdtContent>
      <w:p w14:paraId="2A00682F" w14:textId="43168D4B" w:rsidR="00B6272E" w:rsidRDefault="00B6272E">
        <w:pPr>
          <w:pStyle w:val="ae"/>
        </w:pPr>
        <w:r>
          <w:fldChar w:fldCharType="begin"/>
        </w:r>
        <w:r>
          <w:instrText>PAGE   \* MERGEFORMAT</w:instrText>
        </w:r>
        <w:r>
          <w:fldChar w:fldCharType="separate"/>
        </w:r>
        <w:r>
          <w:rPr>
            <w:lang w:val="ja-JP" w:eastAsia="ja-JP"/>
          </w:rPr>
          <w:t>2</w:t>
        </w:r>
        <w:r>
          <w:fldChar w:fldCharType="end"/>
        </w:r>
      </w:p>
    </w:sdtContent>
  </w:sdt>
  <w:p w14:paraId="10D569A6" w14:textId="77777777" w:rsidR="00B6272E" w:rsidRDefault="00B6272E">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37031"/>
      <w:docPartObj>
        <w:docPartGallery w:val="Page Numbers (Bottom of Page)"/>
        <w:docPartUnique/>
      </w:docPartObj>
    </w:sdtPr>
    <w:sdtEndPr/>
    <w:sdtContent>
      <w:p w14:paraId="2FEE35E7" w14:textId="0F3B132C" w:rsidR="00B6272E" w:rsidRDefault="00B6272E">
        <w:pPr>
          <w:pStyle w:val="ae"/>
        </w:pPr>
        <w:r>
          <w:fldChar w:fldCharType="begin"/>
        </w:r>
        <w:r>
          <w:instrText>PAGE   \* MERGEFORMAT</w:instrText>
        </w:r>
        <w:r>
          <w:fldChar w:fldCharType="separate"/>
        </w:r>
        <w:r>
          <w:rPr>
            <w:lang w:val="ja-JP" w:eastAsia="ja-JP"/>
          </w:rPr>
          <w:t>2</w:t>
        </w:r>
        <w:r>
          <w:fldChar w:fldCharType="end"/>
        </w:r>
      </w:p>
    </w:sdtContent>
  </w:sdt>
  <w:p w14:paraId="27E8FAE7" w14:textId="77777777" w:rsidR="00B6272E" w:rsidRDefault="00B6272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FC75" w14:textId="77777777" w:rsidR="00B6272E" w:rsidRDefault="00B6272E" w:rsidP="00B6272E">
      <w:r>
        <w:separator/>
      </w:r>
    </w:p>
  </w:footnote>
  <w:footnote w:type="continuationSeparator" w:id="0">
    <w:p w14:paraId="3A4BE328" w14:textId="77777777" w:rsidR="00B6272E" w:rsidRDefault="00B6272E" w:rsidP="00B62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2E"/>
    <w:rsid w:val="00045C14"/>
    <w:rsid w:val="000B2AFD"/>
    <w:rsid w:val="00152B39"/>
    <w:rsid w:val="003126F0"/>
    <w:rsid w:val="003A6E34"/>
    <w:rsid w:val="00554881"/>
    <w:rsid w:val="006153EA"/>
    <w:rsid w:val="00692D7C"/>
    <w:rsid w:val="006A05DC"/>
    <w:rsid w:val="007625D0"/>
    <w:rsid w:val="00AF582A"/>
    <w:rsid w:val="00B37471"/>
    <w:rsid w:val="00B6272E"/>
    <w:rsid w:val="00C44D88"/>
    <w:rsid w:val="00DB6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E6E763"/>
  <w15:chartTrackingRefBased/>
  <w15:docId w15:val="{47214661-784F-47C8-B327-7EFAC196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27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27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27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27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27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27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27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27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27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27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27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272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27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27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27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27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27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27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27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27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27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27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272E"/>
    <w:pPr>
      <w:spacing w:before="160" w:after="160"/>
      <w:jc w:val="center"/>
    </w:pPr>
    <w:rPr>
      <w:i/>
      <w:iCs/>
      <w:color w:val="404040" w:themeColor="text1" w:themeTint="BF"/>
    </w:rPr>
  </w:style>
  <w:style w:type="character" w:customStyle="1" w:styleId="a8">
    <w:name w:val="引用文 (文字)"/>
    <w:basedOn w:val="a0"/>
    <w:link w:val="a7"/>
    <w:uiPriority w:val="29"/>
    <w:rsid w:val="00B6272E"/>
    <w:rPr>
      <w:i/>
      <w:iCs/>
      <w:color w:val="404040" w:themeColor="text1" w:themeTint="BF"/>
    </w:rPr>
  </w:style>
  <w:style w:type="paragraph" w:styleId="a9">
    <w:name w:val="List Paragraph"/>
    <w:basedOn w:val="a"/>
    <w:uiPriority w:val="34"/>
    <w:qFormat/>
    <w:rsid w:val="00B6272E"/>
    <w:pPr>
      <w:ind w:left="720"/>
      <w:contextualSpacing/>
    </w:pPr>
  </w:style>
  <w:style w:type="character" w:styleId="21">
    <w:name w:val="Intense Emphasis"/>
    <w:basedOn w:val="a0"/>
    <w:uiPriority w:val="21"/>
    <w:qFormat/>
    <w:rsid w:val="00B6272E"/>
    <w:rPr>
      <w:i/>
      <w:iCs/>
      <w:color w:val="2F5496" w:themeColor="accent1" w:themeShade="BF"/>
    </w:rPr>
  </w:style>
  <w:style w:type="paragraph" w:styleId="22">
    <w:name w:val="Intense Quote"/>
    <w:basedOn w:val="a"/>
    <w:next w:val="a"/>
    <w:link w:val="23"/>
    <w:uiPriority w:val="30"/>
    <w:qFormat/>
    <w:rsid w:val="00B627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6272E"/>
    <w:rPr>
      <w:i/>
      <w:iCs/>
      <w:color w:val="2F5496" w:themeColor="accent1" w:themeShade="BF"/>
    </w:rPr>
  </w:style>
  <w:style w:type="character" w:styleId="24">
    <w:name w:val="Intense Reference"/>
    <w:basedOn w:val="a0"/>
    <w:uiPriority w:val="32"/>
    <w:qFormat/>
    <w:rsid w:val="00B6272E"/>
    <w:rPr>
      <w:b/>
      <w:bCs/>
      <w:smallCaps/>
      <w:color w:val="2F5496" w:themeColor="accent1" w:themeShade="BF"/>
      <w:spacing w:val="5"/>
    </w:rPr>
  </w:style>
  <w:style w:type="character" w:styleId="aa">
    <w:name w:val="Hyperlink"/>
    <w:basedOn w:val="a0"/>
    <w:uiPriority w:val="99"/>
    <w:unhideWhenUsed/>
    <w:rsid w:val="00B6272E"/>
    <w:rPr>
      <w:color w:val="0563C1" w:themeColor="hyperlink"/>
      <w:u w:val="single"/>
    </w:rPr>
  </w:style>
  <w:style w:type="character" w:styleId="ab">
    <w:name w:val="Unresolved Mention"/>
    <w:basedOn w:val="a0"/>
    <w:uiPriority w:val="99"/>
    <w:semiHidden/>
    <w:unhideWhenUsed/>
    <w:rsid w:val="00B6272E"/>
    <w:rPr>
      <w:color w:val="605E5C"/>
      <w:shd w:val="clear" w:color="auto" w:fill="E1DFDD"/>
    </w:rPr>
  </w:style>
  <w:style w:type="paragraph" w:styleId="ac">
    <w:name w:val="header"/>
    <w:basedOn w:val="a"/>
    <w:link w:val="ad"/>
    <w:uiPriority w:val="99"/>
    <w:unhideWhenUsed/>
    <w:rsid w:val="00B6272E"/>
    <w:pPr>
      <w:tabs>
        <w:tab w:val="center" w:pos="4252"/>
        <w:tab w:val="right" w:pos="8504"/>
      </w:tabs>
      <w:snapToGrid w:val="0"/>
    </w:pPr>
  </w:style>
  <w:style w:type="character" w:customStyle="1" w:styleId="ad">
    <w:name w:val="ヘッダー (文字)"/>
    <w:basedOn w:val="a0"/>
    <w:link w:val="ac"/>
    <w:uiPriority w:val="99"/>
    <w:rsid w:val="00B6272E"/>
  </w:style>
  <w:style w:type="paragraph" w:styleId="ae">
    <w:name w:val="footer"/>
    <w:basedOn w:val="a"/>
    <w:link w:val="af"/>
    <w:uiPriority w:val="99"/>
    <w:unhideWhenUsed/>
    <w:rsid w:val="00B6272E"/>
    <w:pPr>
      <w:tabs>
        <w:tab w:val="center" w:pos="4252"/>
        <w:tab w:val="right" w:pos="8504"/>
      </w:tabs>
      <w:snapToGrid w:val="0"/>
    </w:pPr>
  </w:style>
  <w:style w:type="character" w:customStyle="1" w:styleId="af">
    <w:name w:val="フッター (文字)"/>
    <w:basedOn w:val="a0"/>
    <w:link w:val="ae"/>
    <w:uiPriority w:val="99"/>
    <w:rsid w:val="00B62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ge-platform.e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1597</Words>
  <Characters>9105</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dcterms:created xsi:type="dcterms:W3CDTF">2026-07-07T11:45:00Z</dcterms:created>
  <dcterms:modified xsi:type="dcterms:W3CDTF">2026-07-07T11:45:00Z</dcterms:modified>
</cp:coreProperties>
</file>