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ED93A" w14:textId="77777777" w:rsidR="00993B29" w:rsidRPr="00D93294" w:rsidRDefault="00993B29" w:rsidP="00993B29">
      <w:pPr>
        <w:rPr>
          <w:rFonts w:ascii="BIZ UDゴシック" w:eastAsia="BIZ UDゴシック" w:hAnsi="BIZ UDゴシック"/>
          <w:sz w:val="24"/>
          <w:szCs w:val="24"/>
          <w:lang w:eastAsia="ja-JP"/>
        </w:rPr>
      </w:pPr>
      <w:r w:rsidRPr="00D93294">
        <w:rPr>
          <w:rFonts w:ascii="BIZ UDゴシック" w:eastAsia="BIZ UDゴシック" w:hAnsi="BIZ UDゴシック" w:hint="eastAsia"/>
          <w:sz w:val="24"/>
          <w:szCs w:val="24"/>
          <w:lang w:eastAsia="ja-JP"/>
        </w:rPr>
        <w:t>061　アムネステイ・インタナショナル</w:t>
      </w:r>
    </w:p>
    <w:p w14:paraId="178DBB82" w14:textId="7734365D" w:rsidR="00993B29" w:rsidRPr="00D93294" w:rsidRDefault="00993B29" w:rsidP="00993B29">
      <w:pPr>
        <w:rPr>
          <w:rFonts w:ascii="BIZ UDゴシック" w:eastAsia="BIZ UDゴシック" w:hAnsi="BIZ UDゴシック"/>
          <w:sz w:val="24"/>
          <w:szCs w:val="24"/>
        </w:rPr>
      </w:pPr>
      <w:r w:rsidRPr="00D93294">
        <w:rPr>
          <w:rFonts w:ascii="BIZ UDゴシック" w:eastAsia="BIZ UDゴシック" w:hAnsi="BIZ UDゴシック" w:hint="eastAsia"/>
          <w:sz w:val="24"/>
          <w:szCs w:val="24"/>
        </w:rPr>
        <w:t>高齢者の人権に関する法的拘束力のある文書の</w:t>
      </w:r>
      <w:r w:rsidRPr="00D93294">
        <w:rPr>
          <w:rFonts w:ascii="BIZ UDゴシック" w:eastAsia="BIZ UDゴシック" w:hAnsi="BIZ UDゴシック" w:hint="eastAsia"/>
          <w:sz w:val="24"/>
          <w:szCs w:val="24"/>
          <w:lang w:eastAsia="ja-JP"/>
        </w:rPr>
        <w:t>枠組み</w:t>
      </w:r>
      <w:r w:rsidRPr="00D93294">
        <w:rPr>
          <w:rFonts w:ascii="BIZ UDゴシック" w:eastAsia="BIZ UDゴシック" w:hAnsi="BIZ UDゴシック" w:hint="eastAsia"/>
          <w:sz w:val="24"/>
          <w:szCs w:val="24"/>
        </w:rPr>
        <w:t>、構成、および指針</w:t>
      </w:r>
    </w:p>
    <w:p w14:paraId="1D50838A" w14:textId="2B06A69E" w:rsidR="000B2AFD" w:rsidRPr="00D93294" w:rsidRDefault="00993B29" w:rsidP="00993B29">
      <w:pPr>
        <w:rPr>
          <w:rFonts w:ascii="BIZ UDゴシック" w:eastAsia="BIZ UDゴシック" w:hAnsi="BIZ UDゴシック"/>
          <w:sz w:val="24"/>
          <w:szCs w:val="24"/>
          <w:lang w:eastAsia="ja-JP"/>
        </w:rPr>
      </w:pPr>
      <w:r w:rsidRPr="00D93294">
        <w:rPr>
          <w:rFonts w:ascii="BIZ UDゴシック" w:eastAsia="BIZ UDゴシック" w:hAnsi="BIZ UDゴシック" w:hint="eastAsia"/>
          <w:sz w:val="24"/>
          <w:szCs w:val="24"/>
        </w:rPr>
        <w:t>国連高齢者</w:t>
      </w:r>
      <w:r w:rsidR="00B42F18">
        <w:rPr>
          <w:rFonts w:ascii="BIZ UDゴシック" w:eastAsia="BIZ UDゴシック" w:hAnsi="BIZ UDゴシック" w:hint="eastAsia"/>
          <w:sz w:val="24"/>
          <w:szCs w:val="24"/>
          <w:lang w:eastAsia="ja-JP"/>
        </w:rPr>
        <w:t>に関する</w:t>
      </w:r>
      <w:r w:rsidRPr="00D93294">
        <w:rPr>
          <w:rFonts w:ascii="BIZ UDゴシック" w:eastAsia="BIZ UDゴシック" w:hAnsi="BIZ UDゴシック" w:hint="eastAsia"/>
          <w:sz w:val="24"/>
          <w:szCs w:val="24"/>
        </w:rPr>
        <w:t>政府間作業部会への提出文書</w:t>
      </w:r>
    </w:p>
    <w:p w14:paraId="5DCE3D36" w14:textId="77777777" w:rsidR="00993B29" w:rsidRDefault="00993B29" w:rsidP="00993B29">
      <w:pPr>
        <w:rPr>
          <w:lang w:eastAsia="ja-JP"/>
        </w:rPr>
      </w:pPr>
    </w:p>
    <w:p w14:paraId="1BE72B86" w14:textId="77777777" w:rsidR="00993B29" w:rsidRPr="00D93294" w:rsidRDefault="00993B29" w:rsidP="00993B29">
      <w:pPr>
        <w:rPr>
          <w:rFonts w:ascii="BIZ UDゴシック" w:eastAsia="BIZ UDゴシック" w:hAnsi="BIZ UDゴシック"/>
          <w:lang w:eastAsia="ja-JP"/>
        </w:rPr>
      </w:pPr>
      <w:r w:rsidRPr="00D93294">
        <w:rPr>
          <w:rFonts w:ascii="BIZ UDゴシック" w:eastAsia="BIZ UDゴシック" w:hAnsi="BIZ UDゴシック" w:hint="eastAsia"/>
          <w:lang w:eastAsia="ja-JP"/>
        </w:rPr>
        <w:t>目次</w:t>
      </w:r>
    </w:p>
    <w:p w14:paraId="0E7D82E2" w14:textId="25353326" w:rsidR="00993B29" w:rsidRDefault="00993B29" w:rsidP="00993B29">
      <w:pPr>
        <w:rPr>
          <w:lang w:eastAsia="ja-JP"/>
        </w:rPr>
      </w:pPr>
      <w:r>
        <w:rPr>
          <w:rFonts w:hint="eastAsia"/>
          <w:lang w:eastAsia="ja-JP"/>
        </w:rPr>
        <w:t>はじめに</w:t>
      </w:r>
      <w:r>
        <w:rPr>
          <w:lang w:eastAsia="ja-JP"/>
        </w:rPr>
        <w:t xml:space="preserve"> </w:t>
      </w:r>
    </w:p>
    <w:p w14:paraId="0012CB5B" w14:textId="04F7EE3C" w:rsidR="00993B29" w:rsidRDefault="00993B29" w:rsidP="00993B29">
      <w:pPr>
        <w:rPr>
          <w:lang w:eastAsia="ja-JP"/>
        </w:rPr>
      </w:pPr>
      <w:r>
        <w:rPr>
          <w:lang w:eastAsia="ja-JP"/>
        </w:rPr>
        <w:t xml:space="preserve">1. 質問 1 に対する回答 </w:t>
      </w:r>
    </w:p>
    <w:p w14:paraId="6C101ED3" w14:textId="367B1477" w:rsidR="00993B29" w:rsidRDefault="00993B29" w:rsidP="00D93294">
      <w:pPr>
        <w:ind w:leftChars="202" w:left="424"/>
        <w:rPr>
          <w:lang w:eastAsia="ja-JP"/>
        </w:rPr>
      </w:pPr>
      <w:r>
        <w:rPr>
          <w:rFonts w:hint="eastAsia"/>
          <w:lang w:eastAsia="ja-JP"/>
        </w:rPr>
        <w:t>人権の再確認、さらなる発展、および革新</w:t>
      </w:r>
      <w:r>
        <w:rPr>
          <w:lang w:eastAsia="ja-JP"/>
        </w:rPr>
        <w:t xml:space="preserve"> </w:t>
      </w:r>
    </w:p>
    <w:p w14:paraId="417B6A68" w14:textId="2ACCFA90" w:rsidR="00993B29" w:rsidRDefault="00993B29" w:rsidP="00D93294">
      <w:pPr>
        <w:ind w:leftChars="202" w:left="424"/>
        <w:rPr>
          <w:lang w:eastAsia="ja-JP"/>
        </w:rPr>
      </w:pPr>
      <w:r>
        <w:rPr>
          <w:rFonts w:hint="eastAsia"/>
          <w:lang w:eastAsia="ja-JP"/>
        </w:rPr>
        <w:t>起草プロセスへの高齢者の参加</w:t>
      </w:r>
      <w:r>
        <w:rPr>
          <w:lang w:eastAsia="ja-JP"/>
        </w:rPr>
        <w:t xml:space="preserve"> </w:t>
      </w:r>
    </w:p>
    <w:p w14:paraId="36ADF2AC" w14:textId="52DC9931" w:rsidR="00993B29" w:rsidRDefault="00993B29" w:rsidP="00993B29">
      <w:pPr>
        <w:rPr>
          <w:lang w:eastAsia="ja-JP"/>
        </w:rPr>
      </w:pPr>
      <w:r>
        <w:rPr>
          <w:lang w:eastAsia="ja-JP"/>
        </w:rPr>
        <w:t>2. 質問2への回答</w:t>
      </w:r>
    </w:p>
    <w:p w14:paraId="4A43709F" w14:textId="08230D14" w:rsidR="00993B29" w:rsidRDefault="00993B29" w:rsidP="00D93294">
      <w:pPr>
        <w:ind w:leftChars="202" w:left="424"/>
        <w:rPr>
          <w:lang w:eastAsia="ja-JP"/>
        </w:rPr>
      </w:pPr>
      <w:r>
        <w:rPr>
          <w:rFonts w:hint="eastAsia"/>
          <w:lang w:eastAsia="ja-JP"/>
        </w:rPr>
        <w:t>基本原則</w:t>
      </w:r>
      <w:r>
        <w:rPr>
          <w:lang w:eastAsia="ja-JP"/>
        </w:rPr>
        <w:t xml:space="preserve"> </w:t>
      </w:r>
    </w:p>
    <w:p w14:paraId="18447030" w14:textId="73EDCD75" w:rsidR="00993B29" w:rsidRDefault="00993B29" w:rsidP="00993B29">
      <w:pPr>
        <w:rPr>
          <w:lang w:eastAsia="ja-JP"/>
        </w:rPr>
      </w:pPr>
      <w:r>
        <w:rPr>
          <w:lang w:eastAsia="ja-JP"/>
        </w:rPr>
        <w:t>3. 質問3への回答</w:t>
      </w:r>
    </w:p>
    <w:p w14:paraId="7A516DDB" w14:textId="39871F4B" w:rsidR="00993B29" w:rsidRDefault="00993B29" w:rsidP="00D93294">
      <w:pPr>
        <w:ind w:leftChars="202" w:left="424"/>
        <w:rPr>
          <w:lang w:eastAsia="ja-JP"/>
        </w:rPr>
      </w:pPr>
      <w:r>
        <w:rPr>
          <w:rFonts w:hint="eastAsia"/>
          <w:lang w:eastAsia="ja-JP"/>
        </w:rPr>
        <w:t>全体構造の主要構成要素</w:t>
      </w:r>
      <w:r>
        <w:rPr>
          <w:lang w:eastAsia="ja-JP"/>
        </w:rPr>
        <w:t xml:space="preserve"> </w:t>
      </w:r>
    </w:p>
    <w:p w14:paraId="487F11E5" w14:textId="77777777" w:rsidR="00993B29" w:rsidRDefault="00993B29" w:rsidP="00993B29">
      <w:pPr>
        <w:rPr>
          <w:lang w:eastAsia="ja-JP"/>
        </w:rPr>
      </w:pPr>
    </w:p>
    <w:p w14:paraId="6520855F" w14:textId="7FB83FB2" w:rsidR="00993B29" w:rsidRDefault="00993B29" w:rsidP="00B42F18">
      <w:pPr>
        <w:ind w:leftChars="945" w:left="1984" w:firstLineChars="100" w:firstLine="210"/>
        <w:rPr>
          <w:lang w:eastAsia="ja-JP"/>
        </w:rPr>
      </w:pPr>
      <w:r w:rsidRPr="008C5B74">
        <w:rPr>
          <w:rFonts w:hint="eastAsia"/>
          <w:lang w:eastAsia="ja-JP"/>
        </w:rPr>
        <w:t>本意見書は、作業部会の第</w:t>
      </w:r>
      <w:r w:rsidRPr="008C5B74">
        <w:rPr>
          <w:lang w:eastAsia="ja-JP"/>
        </w:rPr>
        <w:t>1回実質会合</w:t>
      </w:r>
      <w:r>
        <w:rPr>
          <w:lang w:eastAsia="ja-JP"/>
        </w:rPr>
        <w:t>（2026年7月13日～17日）に先立ち、高齢者の人権に関する法的拘束力のある</w:t>
      </w:r>
      <w:r>
        <w:rPr>
          <w:rFonts w:hint="eastAsia"/>
          <w:lang w:eastAsia="ja-JP"/>
        </w:rPr>
        <w:t>文書の一般的な枠組み、構成、および指針となる原則に関する審議に資する意見の募集に応えて提出されるものである。本意見書では、将来の法的拘束力のある文書に関するアムネスティ・インターナショナルの主要な考察を概説するとともに、アムネスティ・インターナショナルの主な所見、提言、および過去の活動に関する情報を提示する。</w:t>
      </w:r>
    </w:p>
    <w:p w14:paraId="2B9387B4" w14:textId="77777777" w:rsidR="00993B29" w:rsidRDefault="00993B29" w:rsidP="00993B29">
      <w:pPr>
        <w:rPr>
          <w:lang w:eastAsia="ja-JP"/>
        </w:rPr>
      </w:pPr>
    </w:p>
    <w:p w14:paraId="176E2DED" w14:textId="77777777" w:rsidR="00993B29" w:rsidRPr="00D93294" w:rsidRDefault="00993B29" w:rsidP="00993B29">
      <w:pPr>
        <w:rPr>
          <w:rFonts w:ascii="BIZ UDゴシック" w:eastAsia="BIZ UDゴシック" w:hAnsi="BIZ UDゴシック"/>
          <w:lang w:eastAsia="ja-JP"/>
        </w:rPr>
      </w:pPr>
      <w:r w:rsidRPr="00D93294">
        <w:rPr>
          <w:rFonts w:ascii="BIZ UDゴシック" w:eastAsia="BIZ UDゴシック" w:hAnsi="BIZ UDゴシック" w:hint="eastAsia"/>
          <w:lang w:eastAsia="ja-JP"/>
        </w:rPr>
        <w:t>はじめに</w:t>
      </w:r>
    </w:p>
    <w:p w14:paraId="207EA416" w14:textId="220AD6DD" w:rsidR="00993B29" w:rsidRDefault="00993B29" w:rsidP="00D93294">
      <w:pPr>
        <w:ind w:firstLineChars="100" w:firstLine="210"/>
        <w:rPr>
          <w:lang w:eastAsia="ja-JP"/>
        </w:rPr>
      </w:pPr>
      <w:r>
        <w:rPr>
          <w:rFonts w:hint="eastAsia"/>
          <w:lang w:eastAsia="ja-JP"/>
        </w:rPr>
        <w:t>本意見書は、</w:t>
      </w:r>
      <w:r>
        <w:rPr>
          <w:lang w:eastAsia="ja-JP"/>
        </w:rPr>
        <w:t>2026年7月13日から17日に開催される作業部会の第1回実質会合に備え、高齢者の人権に関する「法的拘束力の</w:t>
      </w:r>
      <w:r>
        <w:rPr>
          <w:rFonts w:hint="eastAsia"/>
          <w:lang w:eastAsia="ja-JP"/>
        </w:rPr>
        <w:t>ある文書」（条約）</w:t>
      </w:r>
      <w:r w:rsidR="0052290E">
        <w:rPr>
          <w:rStyle w:val="af0"/>
          <w:lang w:eastAsia="ja-JP"/>
        </w:rPr>
        <w:footnoteReference w:id="1"/>
      </w:r>
      <w:r>
        <w:rPr>
          <w:lang w:eastAsia="ja-JP"/>
        </w:rPr>
        <w:t>の一般的枠組み、構成、および指針となる原則に関する審議に資するため、意見募集</w:t>
      </w:r>
      <w:r w:rsidR="0052290E">
        <w:rPr>
          <w:rStyle w:val="af0"/>
          <w:lang w:eastAsia="ja-JP"/>
        </w:rPr>
        <w:footnoteReference w:id="2"/>
      </w:r>
      <w:r>
        <w:rPr>
          <w:lang w:eastAsia="ja-JP"/>
        </w:rPr>
        <w:t>に応じて提出</w:t>
      </w:r>
      <w:r>
        <w:rPr>
          <w:rFonts w:hint="eastAsia"/>
          <w:lang w:eastAsia="ja-JP"/>
        </w:rPr>
        <w:t>される。</w:t>
      </w:r>
    </w:p>
    <w:p w14:paraId="1BD59A49" w14:textId="4E5F8AB2" w:rsidR="00993B29" w:rsidRDefault="00993B29" w:rsidP="00D93294">
      <w:pPr>
        <w:ind w:firstLineChars="100" w:firstLine="210"/>
        <w:rPr>
          <w:lang w:eastAsia="ja-JP"/>
        </w:rPr>
      </w:pPr>
      <w:r>
        <w:rPr>
          <w:rFonts w:hint="eastAsia"/>
          <w:lang w:eastAsia="ja-JP"/>
        </w:rPr>
        <w:t>アムネスティ・インターナショナルは、まず初めに、この</w:t>
      </w:r>
      <w:r w:rsidR="003842B9">
        <w:rPr>
          <w:rFonts w:hint="eastAsia"/>
          <w:lang w:eastAsia="ja-JP"/>
        </w:rPr>
        <w:t>取り組み</w:t>
      </w:r>
      <w:r>
        <w:rPr>
          <w:rFonts w:hint="eastAsia"/>
          <w:lang w:eastAsia="ja-JP"/>
        </w:rPr>
        <w:t>への強い支持を表明するとともに、以下の所見を提出する機会を歓迎する。当団体は、将来</w:t>
      </w:r>
      <w:r w:rsidR="008C5B74">
        <w:rPr>
          <w:rFonts w:hint="eastAsia"/>
          <w:lang w:eastAsia="ja-JP"/>
        </w:rPr>
        <w:t>の</w:t>
      </w:r>
      <w:r>
        <w:rPr>
          <w:rFonts w:hint="eastAsia"/>
          <w:lang w:eastAsia="ja-JP"/>
        </w:rPr>
        <w:t>法的拘束力のある文書の草案を含め、補足的な所見を提出する</w:t>
      </w:r>
      <w:r w:rsidR="008C5B74">
        <w:rPr>
          <w:rFonts w:hint="eastAsia"/>
          <w:lang w:eastAsia="ja-JP"/>
        </w:rPr>
        <w:t>今後の</w:t>
      </w:r>
      <w:r>
        <w:rPr>
          <w:rFonts w:hint="eastAsia"/>
          <w:lang w:eastAsia="ja-JP"/>
        </w:rPr>
        <w:t>機会</w:t>
      </w:r>
      <w:r w:rsidR="003842B9">
        <w:rPr>
          <w:rFonts w:hint="eastAsia"/>
          <w:lang w:eastAsia="ja-JP"/>
        </w:rPr>
        <w:t>も</w:t>
      </w:r>
      <w:r>
        <w:rPr>
          <w:rFonts w:hint="eastAsia"/>
          <w:lang w:eastAsia="ja-JP"/>
        </w:rPr>
        <w:t>歓迎する。</w:t>
      </w:r>
    </w:p>
    <w:p w14:paraId="1719D512" w14:textId="5B8D9E3C" w:rsidR="00993B29" w:rsidRDefault="00993B29" w:rsidP="00D93294">
      <w:pPr>
        <w:ind w:firstLineChars="100" w:firstLine="210"/>
        <w:rPr>
          <w:lang w:eastAsia="ja-JP"/>
        </w:rPr>
      </w:pPr>
      <w:r>
        <w:rPr>
          <w:rFonts w:hint="eastAsia"/>
          <w:lang w:eastAsia="ja-JP"/>
        </w:rPr>
        <w:t>本意見書は、将来の高齢者の権利に関する条約の主要な側面についてコメントするとと</w:t>
      </w:r>
      <w:r>
        <w:rPr>
          <w:rFonts w:hint="eastAsia"/>
          <w:lang w:eastAsia="ja-JP"/>
        </w:rPr>
        <w:lastRenderedPageBreak/>
        <w:t>もに、アムネスティ・インターナショナルの主な所見、提言、および過去の活動に関する情報を提供することで、審議に資することを目的としてい</w:t>
      </w:r>
      <w:r w:rsidR="008C5B74">
        <w:rPr>
          <w:rFonts w:hint="eastAsia"/>
          <w:lang w:eastAsia="ja-JP"/>
        </w:rPr>
        <w:t>る</w:t>
      </w:r>
      <w:r>
        <w:rPr>
          <w:rFonts w:hint="eastAsia"/>
          <w:lang w:eastAsia="ja-JP"/>
        </w:rPr>
        <w:t>。これは提案の網羅的なリストでは</w:t>
      </w:r>
      <w:r w:rsidR="008C5B74">
        <w:rPr>
          <w:rFonts w:hint="eastAsia"/>
          <w:lang w:eastAsia="ja-JP"/>
        </w:rPr>
        <w:t>ない</w:t>
      </w:r>
      <w:r>
        <w:rPr>
          <w:rFonts w:hint="eastAsia"/>
          <w:lang w:eastAsia="ja-JP"/>
        </w:rPr>
        <w:t>が、条約に盛り込まれるべき基本的な要素を提示</w:t>
      </w:r>
      <w:r w:rsidR="008C5B74">
        <w:rPr>
          <w:rFonts w:hint="eastAsia"/>
          <w:lang w:eastAsia="ja-JP"/>
        </w:rPr>
        <w:t>している</w:t>
      </w:r>
      <w:r>
        <w:rPr>
          <w:rFonts w:hint="eastAsia"/>
          <w:lang w:eastAsia="ja-JP"/>
        </w:rPr>
        <w:t>。</w:t>
      </w:r>
    </w:p>
    <w:p w14:paraId="123D9F48" w14:textId="77777777" w:rsidR="00D93294" w:rsidRDefault="00D93294" w:rsidP="00993B29">
      <w:pPr>
        <w:rPr>
          <w:lang w:eastAsia="ja-JP"/>
        </w:rPr>
      </w:pPr>
    </w:p>
    <w:p w14:paraId="550FDF97" w14:textId="0D22FC81" w:rsidR="00993B29" w:rsidRPr="00D93294" w:rsidRDefault="00993B29" w:rsidP="00993B29">
      <w:pPr>
        <w:rPr>
          <w:rFonts w:ascii="BIZ UDゴシック" w:eastAsia="BIZ UDゴシック" w:hAnsi="BIZ UDゴシック"/>
          <w:lang w:eastAsia="ja-JP"/>
        </w:rPr>
      </w:pPr>
      <w:r w:rsidRPr="00D93294">
        <w:rPr>
          <w:rFonts w:ascii="BIZ UDゴシック" w:eastAsia="BIZ UDゴシック" w:hAnsi="BIZ UDゴシック"/>
          <w:lang w:eastAsia="ja-JP"/>
        </w:rPr>
        <w:t>1. 質問1への回答</w:t>
      </w:r>
    </w:p>
    <w:p w14:paraId="5D018BB4" w14:textId="77777777" w:rsidR="00993B29" w:rsidRPr="00D93294" w:rsidRDefault="00993B29" w:rsidP="00993B29">
      <w:pPr>
        <w:rPr>
          <w:rFonts w:ascii="BIZ UDゴシック" w:eastAsia="BIZ UDゴシック" w:hAnsi="BIZ UDゴシック"/>
          <w:lang w:eastAsia="ja-JP"/>
        </w:rPr>
      </w:pPr>
      <w:r w:rsidRPr="00D93294">
        <w:rPr>
          <w:rFonts w:ascii="BIZ UDゴシック" w:eastAsia="BIZ UDゴシック" w:hAnsi="BIZ UDゴシック" w:hint="eastAsia"/>
          <w:lang w:eastAsia="ja-JP"/>
        </w:rPr>
        <w:t>人権の再確認、さらなる発展、および革新</w:t>
      </w:r>
    </w:p>
    <w:p w14:paraId="5E072DBC" w14:textId="77777777" w:rsidR="00D93294" w:rsidRDefault="00D93294" w:rsidP="00D93294">
      <w:pPr>
        <w:ind w:firstLineChars="100" w:firstLine="210"/>
        <w:rPr>
          <w:lang w:eastAsia="ja-JP"/>
        </w:rPr>
      </w:pPr>
    </w:p>
    <w:p w14:paraId="04BB4B84" w14:textId="04C0AFC3" w:rsidR="00993B29" w:rsidRDefault="00993B29" w:rsidP="00D93294">
      <w:pPr>
        <w:ind w:firstLineChars="100" w:firstLine="210"/>
        <w:rPr>
          <w:lang w:eastAsia="ja-JP"/>
        </w:rPr>
      </w:pPr>
      <w:r>
        <w:rPr>
          <w:rFonts w:hint="eastAsia"/>
          <w:lang w:eastAsia="ja-JP"/>
        </w:rPr>
        <w:t>本条約は、あらゆる多様性を持つ高齢者にすべての人権が適用されることを再確認するとともに、こうした権利に関する一般的な義務が、高齢者が一般的に、あるいは特に不釣り合いに</w:t>
      </w:r>
      <w:r w:rsidR="008C5B74">
        <w:rPr>
          <w:rFonts w:hint="eastAsia"/>
          <w:lang w:eastAsia="ja-JP"/>
        </w:rPr>
        <w:t>多く</w:t>
      </w:r>
      <w:r>
        <w:rPr>
          <w:rFonts w:hint="eastAsia"/>
          <w:lang w:eastAsia="ja-JP"/>
        </w:rPr>
        <w:t>経験する状況に</w:t>
      </w:r>
      <w:r w:rsidR="003842B9">
        <w:rPr>
          <w:rFonts w:hint="eastAsia"/>
          <w:lang w:eastAsia="ja-JP"/>
        </w:rPr>
        <w:t>、</w:t>
      </w:r>
      <w:r>
        <w:rPr>
          <w:rFonts w:hint="eastAsia"/>
          <w:lang w:eastAsia="ja-JP"/>
        </w:rPr>
        <w:t>どのように適用されるべきかを明記すべきである</w:t>
      </w:r>
      <w:r w:rsidR="0052290E">
        <w:rPr>
          <w:rStyle w:val="af0"/>
          <w:lang w:eastAsia="ja-JP"/>
        </w:rPr>
        <w:footnoteReference w:id="3"/>
      </w:r>
      <w:r>
        <w:rPr>
          <w:rFonts w:hint="eastAsia"/>
          <w:lang w:eastAsia="ja-JP"/>
        </w:rPr>
        <w:t>。</w:t>
      </w:r>
      <w:r>
        <w:rPr>
          <w:lang w:eastAsia="ja-JP"/>
        </w:rPr>
        <w:t>本条約は、高齢者が他者と平等に、かついかなる差別もなく、すべての人権と基本的自由を享受すること</w:t>
      </w:r>
      <w:r>
        <w:rPr>
          <w:rFonts w:hint="eastAsia"/>
          <w:lang w:eastAsia="ja-JP"/>
        </w:rPr>
        <w:t>を確認すべきである</w:t>
      </w:r>
      <w:r>
        <w:rPr>
          <w:lang w:eastAsia="ja-JP"/>
        </w:rPr>
        <w:t>とともに、多くの高齢者が直面する差別の交差的な性質を明示的に認識すべきである</w:t>
      </w:r>
      <w:r w:rsidR="008C5B74">
        <w:rPr>
          <w:rStyle w:val="af0"/>
          <w:lang w:eastAsia="ja-JP"/>
        </w:rPr>
        <w:footnoteReference w:id="4"/>
      </w:r>
      <w:r>
        <w:rPr>
          <w:lang w:eastAsia="ja-JP"/>
        </w:rPr>
        <w:t>。条約</w:t>
      </w:r>
      <w:r w:rsidR="008C5B74">
        <w:rPr>
          <w:rFonts w:hint="eastAsia"/>
          <w:lang w:eastAsia="ja-JP"/>
        </w:rPr>
        <w:t>における</w:t>
      </w:r>
      <w:r>
        <w:rPr>
          <w:rFonts w:hint="eastAsia"/>
          <w:lang w:eastAsia="ja-JP"/>
        </w:rPr>
        <w:t>権利の</w:t>
      </w:r>
      <w:r w:rsidR="008C5B74">
        <w:rPr>
          <w:rFonts w:hint="eastAsia"/>
          <w:lang w:eastAsia="ja-JP"/>
        </w:rPr>
        <w:t>規定</w:t>
      </w:r>
      <w:r>
        <w:rPr>
          <w:rFonts w:hint="eastAsia"/>
          <w:lang w:eastAsia="ja-JP"/>
        </w:rPr>
        <w:t>には、保障された権利を促進、尊重、保護、および実現する締約国の義務に関する明確な記述が伴うべきである</w:t>
      </w:r>
      <w:r w:rsidR="0052290E">
        <w:rPr>
          <w:rStyle w:val="af0"/>
          <w:lang w:eastAsia="ja-JP"/>
        </w:rPr>
        <w:footnoteReference w:id="5"/>
      </w:r>
      <w:r>
        <w:rPr>
          <w:rFonts w:hint="eastAsia"/>
          <w:lang w:eastAsia="ja-JP"/>
        </w:rPr>
        <w:t>。</w:t>
      </w:r>
    </w:p>
    <w:p w14:paraId="1FF92940" w14:textId="47D0C428" w:rsidR="00D93294" w:rsidRDefault="00993B29" w:rsidP="00D93294">
      <w:pPr>
        <w:ind w:firstLineChars="100" w:firstLine="210"/>
        <w:rPr>
          <w:lang w:eastAsia="ja-JP"/>
        </w:rPr>
      </w:pPr>
      <w:r>
        <w:rPr>
          <w:rFonts w:hint="eastAsia"/>
          <w:lang w:eastAsia="ja-JP"/>
        </w:rPr>
        <w:t>また、この条約は革新的なものであ</w:t>
      </w:r>
      <w:r w:rsidR="008C5B74">
        <w:rPr>
          <w:rFonts w:hint="eastAsia"/>
          <w:lang w:eastAsia="ja-JP"/>
        </w:rPr>
        <w:t>るべきである。つまり、一方で、</w:t>
      </w:r>
      <w:r>
        <w:rPr>
          <w:rFonts w:hint="eastAsia"/>
          <w:lang w:eastAsia="ja-JP"/>
        </w:rPr>
        <w:t>複数の国際的・地域的</w:t>
      </w:r>
      <w:r w:rsidR="008C5B74">
        <w:rPr>
          <w:rFonts w:hint="eastAsia"/>
          <w:lang w:eastAsia="ja-JP"/>
        </w:rPr>
        <w:t>機関</w:t>
      </w:r>
      <w:r>
        <w:rPr>
          <w:rFonts w:hint="eastAsia"/>
          <w:lang w:eastAsia="ja-JP"/>
        </w:rPr>
        <w:t>によって策定され、国際法の下で認められている既存の基準を統合するとともに、</w:t>
      </w:r>
      <w:r w:rsidR="008C5B74">
        <w:rPr>
          <w:rFonts w:hint="eastAsia"/>
          <w:lang w:eastAsia="ja-JP"/>
        </w:rPr>
        <w:t>他方で、</w:t>
      </w:r>
      <w:r>
        <w:rPr>
          <w:rFonts w:hint="eastAsia"/>
          <w:lang w:eastAsia="ja-JP"/>
        </w:rPr>
        <w:t>それ</w:t>
      </w:r>
      <w:r w:rsidR="008C5B74">
        <w:rPr>
          <w:rFonts w:hint="eastAsia"/>
          <w:lang w:eastAsia="ja-JP"/>
        </w:rPr>
        <w:t>ら</w:t>
      </w:r>
      <w:r>
        <w:rPr>
          <w:rFonts w:hint="eastAsia"/>
          <w:lang w:eastAsia="ja-JP"/>
        </w:rPr>
        <w:t>を基盤とし</w:t>
      </w:r>
      <w:r w:rsidR="008C5B74">
        <w:rPr>
          <w:rFonts w:hint="eastAsia"/>
          <w:lang w:eastAsia="ja-JP"/>
        </w:rPr>
        <w:t>つつ</w:t>
      </w:r>
      <w:r>
        <w:rPr>
          <w:rFonts w:hint="eastAsia"/>
          <w:lang w:eastAsia="ja-JP"/>
        </w:rPr>
        <w:t>、高齢者</w:t>
      </w:r>
      <w:r w:rsidR="008C5B74">
        <w:rPr>
          <w:rFonts w:hint="eastAsia"/>
          <w:lang w:eastAsia="ja-JP"/>
        </w:rPr>
        <w:t>への</w:t>
      </w:r>
      <w:r>
        <w:rPr>
          <w:rFonts w:hint="eastAsia"/>
          <w:lang w:eastAsia="ja-JP"/>
        </w:rPr>
        <w:t>特有の差別パターンに対処するために既存の権利の概念、表現、解釈を再確認し、さらに発展させる</w:t>
      </w:r>
      <w:r w:rsidR="008C5B74">
        <w:rPr>
          <w:rFonts w:hint="eastAsia"/>
          <w:lang w:eastAsia="ja-JP"/>
        </w:rPr>
        <w:t>べきである。</w:t>
      </w:r>
      <w:r>
        <w:rPr>
          <w:rFonts w:hint="eastAsia"/>
          <w:lang w:eastAsia="ja-JP"/>
        </w:rPr>
        <w:t>各国に</w:t>
      </w:r>
      <w:r w:rsidR="00AC32DE">
        <w:rPr>
          <w:rFonts w:hint="eastAsia"/>
          <w:lang w:eastAsia="ja-JP"/>
        </w:rPr>
        <w:t>このよう</w:t>
      </w:r>
      <w:r w:rsidR="00AC32DE">
        <w:rPr>
          <w:rFonts w:hint="eastAsia"/>
          <w:lang w:eastAsia="ja-JP"/>
        </w:rPr>
        <w:t>な</w:t>
      </w:r>
      <w:r>
        <w:rPr>
          <w:rFonts w:hint="eastAsia"/>
          <w:lang w:eastAsia="ja-JP"/>
        </w:rPr>
        <w:t>明確さと指針を提供すべきである。</w:t>
      </w:r>
      <w:r>
        <w:rPr>
          <w:lang w:eastAsia="ja-JP"/>
        </w:rPr>
        <w:t>高齢者に関連するこれらの</w:t>
      </w:r>
      <w:r w:rsidR="008C5B74">
        <w:rPr>
          <w:rFonts w:hint="eastAsia"/>
          <w:lang w:eastAsia="ja-JP"/>
        </w:rPr>
        <w:t>差別の</w:t>
      </w:r>
      <w:r>
        <w:rPr>
          <w:lang w:eastAsia="ja-JP"/>
        </w:rPr>
        <w:t>パターン</w:t>
      </w:r>
      <w:r>
        <w:rPr>
          <w:rFonts w:hint="eastAsia"/>
          <w:lang w:eastAsia="ja-JP"/>
        </w:rPr>
        <w:t>を明示的に取り上げることで、本条約は既存の人権条約の下で提供される保護の範囲を超えることになる</w:t>
      </w:r>
      <w:r w:rsidR="0052290E">
        <w:rPr>
          <w:rStyle w:val="af0"/>
          <w:lang w:eastAsia="ja-JP"/>
        </w:rPr>
        <w:footnoteReference w:id="6"/>
      </w:r>
      <w:r>
        <w:rPr>
          <w:rFonts w:hint="eastAsia"/>
          <w:lang w:eastAsia="ja-JP"/>
        </w:rPr>
        <w:t>。</w:t>
      </w:r>
      <w:r>
        <w:rPr>
          <w:lang w:eastAsia="ja-JP"/>
        </w:rPr>
        <w:t xml:space="preserve"> </w:t>
      </w:r>
    </w:p>
    <w:p w14:paraId="595B2440" w14:textId="58F78356" w:rsidR="00993B29" w:rsidRDefault="00993B29" w:rsidP="00D93294">
      <w:pPr>
        <w:ind w:firstLineChars="100" w:firstLine="210"/>
        <w:rPr>
          <w:lang w:eastAsia="ja-JP"/>
        </w:rPr>
      </w:pPr>
      <w:r>
        <w:rPr>
          <w:lang w:eastAsia="ja-JP"/>
        </w:rPr>
        <w:t>最後に、この新</w:t>
      </w:r>
      <w:r>
        <w:rPr>
          <w:rFonts w:hint="eastAsia"/>
          <w:lang w:eastAsia="ja-JP"/>
        </w:rPr>
        <w:t>たな法的拘束力のある国際的枠組みは、高齢者の人権侵害の防止と是正を図るという是正的なアプローチにとどまるべきではない。その展望において変革的であり、高齢化に対する医療や慈善に基づくアプローチから、人権に基づくアプローチへとパラダイムシフトを推進するものでなければならない。歴史的に、</w:t>
      </w:r>
      <w:r w:rsidR="008C5B74">
        <w:rPr>
          <w:rFonts w:hint="eastAsia"/>
          <w:lang w:eastAsia="ja-JP"/>
        </w:rPr>
        <w:t>従来</w:t>
      </w:r>
      <w:r>
        <w:rPr>
          <w:rFonts w:hint="eastAsia"/>
          <w:lang w:eastAsia="ja-JP"/>
        </w:rPr>
        <w:t>のモデルは、高齢者を、独自の尊厳と主体性を持つ人権保有者ではなく、福祉や医療の受動的な受益者として捉えてきた</w:t>
      </w:r>
      <w:r w:rsidR="0052290E">
        <w:rPr>
          <w:rStyle w:val="af0"/>
          <w:lang w:eastAsia="ja-JP"/>
        </w:rPr>
        <w:footnoteReference w:id="7"/>
      </w:r>
      <w:r>
        <w:rPr>
          <w:rFonts w:hint="eastAsia"/>
          <w:lang w:eastAsia="ja-JP"/>
        </w:rPr>
        <w:t>。</w:t>
      </w:r>
    </w:p>
    <w:p w14:paraId="11357A3C" w14:textId="77777777" w:rsidR="00D93294" w:rsidRDefault="00D93294" w:rsidP="00993B29">
      <w:pPr>
        <w:rPr>
          <w:lang w:eastAsia="ja-JP"/>
        </w:rPr>
      </w:pPr>
    </w:p>
    <w:p w14:paraId="188A7DE6" w14:textId="052C57EB" w:rsidR="00993B29" w:rsidRPr="00D93294" w:rsidRDefault="00993B29" w:rsidP="00993B29">
      <w:pPr>
        <w:rPr>
          <w:rFonts w:ascii="BIZ UDゴシック" w:eastAsia="BIZ UDゴシック" w:hAnsi="BIZ UDゴシック"/>
          <w:lang w:eastAsia="ja-JP"/>
        </w:rPr>
      </w:pPr>
      <w:r w:rsidRPr="00D93294">
        <w:rPr>
          <w:rFonts w:ascii="BIZ UDゴシック" w:eastAsia="BIZ UDゴシック" w:hAnsi="BIZ UDゴシック" w:hint="eastAsia"/>
          <w:lang w:eastAsia="ja-JP"/>
        </w:rPr>
        <w:t>起草プロセスへの高齢者の参加</w:t>
      </w:r>
    </w:p>
    <w:p w14:paraId="4E2AE47B" w14:textId="2CAD1312" w:rsidR="00993B29" w:rsidRDefault="00993B29" w:rsidP="00D93294">
      <w:pPr>
        <w:ind w:firstLineChars="100" w:firstLine="210"/>
        <w:rPr>
          <w:lang w:eastAsia="ja-JP"/>
        </w:rPr>
      </w:pPr>
      <w:r w:rsidRPr="00B42D41">
        <w:rPr>
          <w:rFonts w:hint="eastAsia"/>
          <w:lang w:eastAsia="ja-JP"/>
        </w:rPr>
        <w:t>条約の起草プロセスにおいて、高齢者およびその代表組織が完全かつ有意義に参加する</w:t>
      </w:r>
      <w:r>
        <w:rPr>
          <w:rFonts w:hint="eastAsia"/>
          <w:lang w:eastAsia="ja-JP"/>
        </w:rPr>
        <w:t>ことは、高齢者の実体験がプロセスに適切に反映されるために不可欠である。そのためには、アクセシブルな形式での情報提供、物理的およびデジタル上の障壁の除去、ならびに柔軟な発言時間の設定、ライブ字幕、必要に応じた移動支援など、会議における合理的配慮</w:t>
      </w:r>
      <w:r w:rsidR="00B42D41">
        <w:rPr>
          <w:rFonts w:hint="eastAsia"/>
          <w:lang w:eastAsia="ja-JP"/>
        </w:rPr>
        <w:t>などの</w:t>
      </w:r>
      <w:r>
        <w:rPr>
          <w:rFonts w:hint="eastAsia"/>
          <w:lang w:eastAsia="ja-JP"/>
        </w:rPr>
        <w:t>アクセシビリティ対策の実施が必要となる。</w:t>
      </w:r>
      <w:r>
        <w:rPr>
          <w:lang w:eastAsia="ja-JP"/>
        </w:rPr>
        <w:t>これにより、プロセスが高齢者のニーズに効果的に対応できるようになり、その</w:t>
      </w:r>
      <w:r>
        <w:rPr>
          <w:rFonts w:hint="eastAsia"/>
          <w:lang w:eastAsia="ja-JP"/>
        </w:rPr>
        <w:t>正当性と持続性が確保される</w:t>
      </w:r>
      <w:r w:rsidR="0052290E">
        <w:rPr>
          <w:rStyle w:val="af0"/>
          <w:lang w:eastAsia="ja-JP"/>
        </w:rPr>
        <w:footnoteReference w:id="8"/>
      </w:r>
      <w:r>
        <w:rPr>
          <w:rFonts w:hint="eastAsia"/>
          <w:lang w:eastAsia="ja-JP"/>
        </w:rPr>
        <w:t>。</w:t>
      </w:r>
    </w:p>
    <w:p w14:paraId="30FE58C0" w14:textId="77777777" w:rsidR="00993B29" w:rsidRDefault="00993B29" w:rsidP="00993B29">
      <w:pPr>
        <w:rPr>
          <w:lang w:eastAsia="ja-JP"/>
        </w:rPr>
      </w:pPr>
    </w:p>
    <w:p w14:paraId="65DF1B99" w14:textId="77777777" w:rsidR="00993B29" w:rsidRPr="00D93294" w:rsidRDefault="00993B29" w:rsidP="00993B29">
      <w:pPr>
        <w:rPr>
          <w:rFonts w:ascii="BIZ UDゴシック" w:eastAsia="BIZ UDゴシック" w:hAnsi="BIZ UDゴシック"/>
          <w:lang w:eastAsia="ja-JP"/>
        </w:rPr>
      </w:pPr>
      <w:r w:rsidRPr="00D93294">
        <w:rPr>
          <w:rFonts w:ascii="BIZ UDゴシック" w:eastAsia="BIZ UDゴシック" w:hAnsi="BIZ UDゴシック"/>
          <w:lang w:eastAsia="ja-JP"/>
        </w:rPr>
        <w:t>2. 質問2への回答</w:t>
      </w:r>
    </w:p>
    <w:p w14:paraId="3B329898" w14:textId="77777777" w:rsidR="00993B29" w:rsidRDefault="00993B29" w:rsidP="00993B29">
      <w:pPr>
        <w:rPr>
          <w:rFonts w:ascii="BIZ UDゴシック" w:eastAsia="BIZ UDゴシック" w:hAnsi="BIZ UDゴシック"/>
          <w:lang w:eastAsia="ja-JP"/>
        </w:rPr>
      </w:pPr>
      <w:r w:rsidRPr="00D93294">
        <w:rPr>
          <w:rFonts w:ascii="BIZ UDゴシック" w:eastAsia="BIZ UDゴシック" w:hAnsi="BIZ UDゴシック" w:hint="eastAsia"/>
          <w:lang w:eastAsia="ja-JP"/>
        </w:rPr>
        <w:t>基本原則</w:t>
      </w:r>
    </w:p>
    <w:p w14:paraId="42E20B09" w14:textId="77777777" w:rsidR="00B42D41" w:rsidRPr="00D93294" w:rsidRDefault="00B42D41" w:rsidP="00993B29">
      <w:pPr>
        <w:rPr>
          <w:rFonts w:ascii="BIZ UDゴシック" w:eastAsia="BIZ UDゴシック" w:hAnsi="BIZ UDゴシック" w:hint="eastAsia"/>
          <w:lang w:eastAsia="ja-JP"/>
        </w:rPr>
      </w:pPr>
    </w:p>
    <w:p w14:paraId="7E28627F" w14:textId="56C7B866" w:rsidR="00993B29" w:rsidRDefault="00993B29" w:rsidP="00D93294">
      <w:pPr>
        <w:ind w:firstLineChars="100" w:firstLine="210"/>
        <w:rPr>
          <w:lang w:eastAsia="ja-JP"/>
        </w:rPr>
      </w:pPr>
      <w:r>
        <w:rPr>
          <w:rFonts w:hint="eastAsia"/>
          <w:lang w:eastAsia="ja-JP"/>
        </w:rPr>
        <w:t>高齢者の人権を効果的に保護するためには、この枠組みは、法律の解釈と適用を導く中核的原則に基づいて構築されるべきである。これらには以下が含まれる：</w:t>
      </w:r>
    </w:p>
    <w:p w14:paraId="549F1958" w14:textId="77777777" w:rsidR="00D93294" w:rsidRDefault="00D93294" w:rsidP="00993B29">
      <w:pPr>
        <w:rPr>
          <w:lang w:eastAsia="ja-JP"/>
        </w:rPr>
      </w:pPr>
    </w:p>
    <w:p w14:paraId="45DB2921" w14:textId="333569CE" w:rsidR="00993B29" w:rsidRDefault="00993B29" w:rsidP="00993B29">
      <w:pPr>
        <w:rPr>
          <w:lang w:eastAsia="ja-JP"/>
        </w:rPr>
      </w:pPr>
      <w:r>
        <w:rPr>
          <w:lang w:eastAsia="ja-JP"/>
        </w:rPr>
        <w:t xml:space="preserve">1. </w:t>
      </w:r>
      <w:r w:rsidR="00B42D41" w:rsidRPr="00B42D41">
        <w:rPr>
          <w:rFonts w:hint="eastAsia"/>
          <w:b/>
          <w:bCs/>
          <w:lang w:eastAsia="ja-JP"/>
        </w:rPr>
        <w:t>生来</w:t>
      </w:r>
      <w:r w:rsidRPr="00B42D41">
        <w:rPr>
          <w:b/>
          <w:bCs/>
          <w:lang w:eastAsia="ja-JP"/>
        </w:rPr>
        <w:t>の尊厳、自律</w:t>
      </w:r>
      <w:r w:rsidR="00B42D41" w:rsidRPr="00B42D41">
        <w:rPr>
          <w:rFonts w:hint="eastAsia"/>
          <w:b/>
          <w:bCs/>
          <w:lang w:eastAsia="ja-JP"/>
        </w:rPr>
        <w:t>と独立</w:t>
      </w:r>
      <w:r w:rsidRPr="00B42D41">
        <w:rPr>
          <w:b/>
          <w:bCs/>
          <w:lang w:eastAsia="ja-JP"/>
        </w:rPr>
        <w:t>の尊重</w:t>
      </w:r>
      <w:r>
        <w:rPr>
          <w:lang w:eastAsia="ja-JP"/>
        </w:rPr>
        <w:t>：本条約は、高齢者が生活のあらゆる分野において自ら決定を下す権利を</w:t>
      </w:r>
      <w:r w:rsidR="00B42D41">
        <w:rPr>
          <w:rFonts w:hint="eastAsia"/>
          <w:lang w:eastAsia="ja-JP"/>
        </w:rPr>
        <w:t>もつ</w:t>
      </w:r>
      <w:r>
        <w:rPr>
          <w:rFonts w:hint="eastAsia"/>
          <w:lang w:eastAsia="ja-JP"/>
        </w:rPr>
        <w:t>ことを明確に規定すべきである。</w:t>
      </w:r>
      <w:r>
        <w:rPr>
          <w:lang w:eastAsia="ja-JP"/>
        </w:rPr>
        <w:t>高齢者は、差別的な障壁や、家族や国家が経済面や健康面での選択権を代行</w:t>
      </w:r>
      <w:r>
        <w:rPr>
          <w:rFonts w:hint="eastAsia"/>
          <w:lang w:eastAsia="ja-JP"/>
        </w:rPr>
        <w:t>する後見制度に基づく意思決定といった、より露骨な慣行によって、自律を失うことがあまりにも多い。条約は、単に既存の制度を適応させるのではなく、制度そのものを再構築し、長寿化が進む社会において、高齢者が社会のあらゆる側面で自律、主体性、参加を実現できるようにすべきである</w:t>
      </w:r>
      <w:r w:rsidR="0052290E">
        <w:rPr>
          <w:rStyle w:val="af0"/>
          <w:lang w:eastAsia="ja-JP"/>
        </w:rPr>
        <w:footnoteReference w:id="9"/>
      </w:r>
      <w:r>
        <w:rPr>
          <w:rFonts w:hint="eastAsia"/>
          <w:lang w:eastAsia="ja-JP"/>
        </w:rPr>
        <w:t>。</w:t>
      </w:r>
    </w:p>
    <w:p w14:paraId="5F00553D" w14:textId="77777777" w:rsidR="00D93294" w:rsidRDefault="00D93294" w:rsidP="00993B29">
      <w:pPr>
        <w:rPr>
          <w:lang w:eastAsia="ja-JP"/>
        </w:rPr>
      </w:pPr>
    </w:p>
    <w:p w14:paraId="2E1FD720" w14:textId="2F021464" w:rsidR="00993B29" w:rsidRDefault="00993B29" w:rsidP="00993B29">
      <w:pPr>
        <w:rPr>
          <w:lang w:eastAsia="ja-JP"/>
        </w:rPr>
      </w:pPr>
      <w:r>
        <w:rPr>
          <w:lang w:eastAsia="ja-JP"/>
        </w:rPr>
        <w:t xml:space="preserve">2. </w:t>
      </w:r>
      <w:r w:rsidRPr="00B42D41">
        <w:rPr>
          <w:b/>
          <w:bCs/>
          <w:lang w:eastAsia="ja-JP"/>
        </w:rPr>
        <w:t>平等と</w:t>
      </w:r>
      <w:r w:rsidR="00B42D41" w:rsidRPr="00B42D41">
        <w:rPr>
          <w:rFonts w:hint="eastAsia"/>
          <w:b/>
          <w:bCs/>
          <w:lang w:eastAsia="ja-JP"/>
        </w:rPr>
        <w:t>無</w:t>
      </w:r>
      <w:r w:rsidRPr="00B42D41">
        <w:rPr>
          <w:b/>
          <w:bCs/>
          <w:lang w:eastAsia="ja-JP"/>
        </w:rPr>
        <w:t>差別</w:t>
      </w:r>
      <w:r>
        <w:rPr>
          <w:lang w:eastAsia="ja-JP"/>
        </w:rPr>
        <w:t>：本条約は、</w:t>
      </w:r>
      <w:bookmarkStart w:id="0" w:name="_Hlk231593228"/>
      <w:r w:rsidR="00543CC9">
        <w:rPr>
          <w:rFonts w:hint="eastAsia"/>
          <w:lang w:eastAsia="ja-JP"/>
        </w:rPr>
        <w:t>エイジズム</w:t>
      </w:r>
      <w:bookmarkEnd w:id="0"/>
      <w:r w:rsidR="00543CC9">
        <w:rPr>
          <w:rFonts w:hint="eastAsia"/>
          <w:lang w:eastAsia="ja-JP"/>
        </w:rPr>
        <w:t>(</w:t>
      </w:r>
      <w:r>
        <w:rPr>
          <w:lang w:eastAsia="ja-JP"/>
        </w:rPr>
        <w:t>年齢差別</w:t>
      </w:r>
      <w:r w:rsidR="00543CC9">
        <w:rPr>
          <w:rFonts w:hint="eastAsia"/>
          <w:lang w:eastAsia="ja-JP"/>
        </w:rPr>
        <w:t>)</w:t>
      </w:r>
      <w:r>
        <w:rPr>
          <w:lang w:eastAsia="ja-JP"/>
        </w:rPr>
        <w:t>が、高齢期における多くの人権侵害や虐待の重要な根本原因であることを認識</w:t>
      </w:r>
      <w:r>
        <w:rPr>
          <w:rFonts w:hint="eastAsia"/>
          <w:lang w:eastAsia="ja-JP"/>
        </w:rPr>
        <w:t>すべきである。</w:t>
      </w:r>
      <w:r>
        <w:rPr>
          <w:lang w:eastAsia="ja-JP"/>
        </w:rPr>
        <w:t>国家および民間による</w:t>
      </w:r>
      <w:r w:rsidR="00543CC9" w:rsidRPr="00543CC9">
        <w:rPr>
          <w:rFonts w:hint="eastAsia"/>
          <w:lang w:eastAsia="ja-JP"/>
        </w:rPr>
        <w:t>エイジズム</w:t>
      </w:r>
      <w:r>
        <w:rPr>
          <w:lang w:eastAsia="ja-JP"/>
        </w:rPr>
        <w:t>は、それ自体として、また他の態度的、環境的、社会的な障壁</w:t>
      </w:r>
      <w:r>
        <w:rPr>
          <w:rFonts w:hint="eastAsia"/>
          <w:lang w:eastAsia="ja-JP"/>
        </w:rPr>
        <w:t>と相まって、差別、排除、および放置につながる。しかし、既存の条約には、</w:t>
      </w:r>
      <w:r w:rsidR="00543CC9" w:rsidRPr="00543CC9">
        <w:rPr>
          <w:rFonts w:hint="eastAsia"/>
          <w:lang w:eastAsia="ja-JP"/>
        </w:rPr>
        <w:t>エイジズム</w:t>
      </w:r>
      <w:r w:rsidR="00543CC9">
        <w:rPr>
          <w:rFonts w:hint="eastAsia"/>
          <w:lang w:eastAsia="ja-JP"/>
        </w:rPr>
        <w:t>の</w:t>
      </w:r>
      <w:r>
        <w:rPr>
          <w:rFonts w:hint="eastAsia"/>
          <w:lang w:eastAsia="ja-JP"/>
        </w:rPr>
        <w:t>固定観念や偏見と闘うための国家に対する具体的かつ詳細な積極的義務</w:t>
      </w:r>
      <w:r w:rsidR="00543CC9">
        <w:rPr>
          <w:rFonts w:hint="eastAsia"/>
          <w:lang w:eastAsia="ja-JP"/>
        </w:rPr>
        <w:t>（</w:t>
      </w:r>
      <w:r w:rsidR="00543CC9" w:rsidRPr="00543CC9">
        <w:rPr>
          <w:lang w:eastAsia="ja-JP"/>
        </w:rPr>
        <w:t>positive obligations</w:t>
      </w:r>
      <w:r w:rsidR="00543CC9">
        <w:rPr>
          <w:rFonts w:hint="eastAsia"/>
          <w:lang w:eastAsia="ja-JP"/>
        </w:rPr>
        <w:t>）</w:t>
      </w:r>
      <w:r>
        <w:rPr>
          <w:rFonts w:hint="eastAsia"/>
          <w:lang w:eastAsia="ja-JP"/>
        </w:rPr>
        <w:t>が含まれておらず、国際法における年齢</w:t>
      </w:r>
      <w:r w:rsidR="00543CC9">
        <w:rPr>
          <w:rFonts w:hint="eastAsia"/>
          <w:lang w:eastAsia="ja-JP"/>
        </w:rPr>
        <w:t>による</w:t>
      </w:r>
      <w:r>
        <w:rPr>
          <w:rFonts w:hint="eastAsia"/>
          <w:lang w:eastAsia="ja-JP"/>
        </w:rPr>
        <w:t>差別からの保護は不十分である</w:t>
      </w:r>
      <w:r w:rsidR="0052290E">
        <w:rPr>
          <w:rStyle w:val="af0"/>
          <w:lang w:eastAsia="ja-JP"/>
        </w:rPr>
        <w:footnoteReference w:id="10"/>
      </w:r>
      <w:r>
        <w:rPr>
          <w:rFonts w:hint="eastAsia"/>
          <w:lang w:eastAsia="ja-JP"/>
        </w:rPr>
        <w:t>。</w:t>
      </w:r>
    </w:p>
    <w:p w14:paraId="73E0B561" w14:textId="7C6E352E" w:rsidR="00993B29" w:rsidRDefault="00993B29" w:rsidP="00D93294">
      <w:pPr>
        <w:ind w:firstLineChars="100" w:firstLine="210"/>
        <w:rPr>
          <w:lang w:eastAsia="ja-JP"/>
        </w:rPr>
      </w:pPr>
      <w:r>
        <w:rPr>
          <w:rFonts w:hint="eastAsia"/>
          <w:lang w:eastAsia="ja-JP"/>
        </w:rPr>
        <w:lastRenderedPageBreak/>
        <w:t>したがって、本条約には、年齢に基づく平等と</w:t>
      </w:r>
      <w:r w:rsidR="00543CC9">
        <w:rPr>
          <w:rFonts w:hint="eastAsia"/>
          <w:lang w:eastAsia="ja-JP"/>
        </w:rPr>
        <w:t>無</w:t>
      </w:r>
      <w:r>
        <w:rPr>
          <w:rFonts w:hint="eastAsia"/>
          <w:lang w:eastAsia="ja-JP"/>
        </w:rPr>
        <w:t>差別に関する一般的な保障を盛り込むべきである。これらの保障は、実質的平等</w:t>
      </w:r>
      <w:r w:rsidR="0052290E">
        <w:rPr>
          <w:rStyle w:val="af0"/>
          <w:lang w:eastAsia="ja-JP"/>
        </w:rPr>
        <w:footnoteReference w:id="11"/>
      </w:r>
      <w:r>
        <w:rPr>
          <w:lang w:eastAsia="ja-JP"/>
        </w:rPr>
        <w:t>および変革的平等</w:t>
      </w:r>
      <w:r w:rsidR="0052290E">
        <w:rPr>
          <w:rStyle w:val="af0"/>
          <w:lang w:eastAsia="ja-JP"/>
        </w:rPr>
        <w:footnoteReference w:id="12"/>
      </w:r>
      <w:r>
        <w:rPr>
          <w:lang w:eastAsia="ja-JP"/>
        </w:rPr>
        <w:t>の両概念を体現するものでなければならない。また、これらの保障は、内面</w:t>
      </w:r>
      <w:r>
        <w:rPr>
          <w:rFonts w:hint="eastAsia"/>
          <w:lang w:eastAsia="ja-JP"/>
        </w:rPr>
        <w:t>化された</w:t>
      </w:r>
      <w:r w:rsidR="00AC32DE">
        <w:rPr>
          <w:rFonts w:hint="eastAsia"/>
          <w:lang w:eastAsia="ja-JP"/>
        </w:rPr>
        <w:t>エイジズム</w:t>
      </w:r>
      <w:r>
        <w:rPr>
          <w:rFonts w:hint="eastAsia"/>
          <w:lang w:eastAsia="ja-JP"/>
        </w:rPr>
        <w:t>および対人関係における</w:t>
      </w:r>
      <w:r w:rsidR="00F17707" w:rsidRPr="00F17707">
        <w:rPr>
          <w:rFonts w:hint="eastAsia"/>
          <w:lang w:eastAsia="ja-JP"/>
        </w:rPr>
        <w:t>エイジズム</w:t>
      </w:r>
      <w:r>
        <w:rPr>
          <w:rFonts w:hint="eastAsia"/>
          <w:lang w:eastAsia="ja-JP"/>
        </w:rPr>
        <w:t>だけでなく、生活のあらゆる分野に浸透している制度的・組織的な形態</w:t>
      </w:r>
      <w:r w:rsidR="0052290E">
        <w:rPr>
          <w:rStyle w:val="af0"/>
          <w:lang w:eastAsia="ja-JP"/>
        </w:rPr>
        <w:footnoteReference w:id="13"/>
      </w:r>
      <w:r w:rsidR="00D3175D">
        <w:rPr>
          <w:rFonts w:hint="eastAsia"/>
          <w:lang w:eastAsia="ja-JP"/>
        </w:rPr>
        <w:t>のエイジズム</w:t>
      </w:r>
      <w:r>
        <w:rPr>
          <w:rFonts w:hint="eastAsia"/>
          <w:lang w:eastAsia="ja-JP"/>
        </w:rPr>
        <w:t>について</w:t>
      </w:r>
      <w:r w:rsidR="00D3175D">
        <w:rPr>
          <w:rFonts w:hint="eastAsia"/>
          <w:lang w:eastAsia="ja-JP"/>
        </w:rPr>
        <w:t>も</w:t>
      </w:r>
      <w:r>
        <w:rPr>
          <w:rFonts w:hint="eastAsia"/>
          <w:lang w:eastAsia="ja-JP"/>
        </w:rPr>
        <w:t>、性差別、障害者差別、人種差別に対処する他の条約で採用されているアプローチに沿って</w:t>
      </w:r>
      <w:r w:rsidR="0052290E">
        <w:rPr>
          <w:rStyle w:val="af0"/>
          <w:lang w:eastAsia="ja-JP"/>
        </w:rPr>
        <w:footnoteReference w:id="14"/>
      </w:r>
      <w:r w:rsidR="00D3175D">
        <w:rPr>
          <w:rFonts w:hint="eastAsia"/>
          <w:lang w:eastAsia="ja-JP"/>
        </w:rPr>
        <w:t>対処する必要がある</w:t>
      </w:r>
      <w:r>
        <w:rPr>
          <w:lang w:eastAsia="ja-JP"/>
        </w:rPr>
        <w:t>。</w:t>
      </w:r>
    </w:p>
    <w:p w14:paraId="7A81E979" w14:textId="77777777" w:rsidR="00D93294" w:rsidRDefault="00D93294" w:rsidP="00D93294">
      <w:pPr>
        <w:ind w:firstLineChars="100" w:firstLine="210"/>
        <w:rPr>
          <w:lang w:eastAsia="ja-JP"/>
        </w:rPr>
      </w:pPr>
    </w:p>
    <w:p w14:paraId="13883069" w14:textId="27542628" w:rsidR="00993B29" w:rsidRDefault="00993B29" w:rsidP="00993B29">
      <w:pPr>
        <w:rPr>
          <w:lang w:eastAsia="ja-JP"/>
        </w:rPr>
      </w:pPr>
      <w:r w:rsidRPr="00683B8A">
        <w:rPr>
          <w:lang w:eastAsia="ja-JP"/>
        </w:rPr>
        <w:t xml:space="preserve">3. </w:t>
      </w:r>
      <w:r w:rsidRPr="00683B8A">
        <w:rPr>
          <w:b/>
          <w:bCs/>
          <w:lang w:eastAsia="ja-JP"/>
        </w:rPr>
        <w:t>交差性と多様性</w:t>
      </w:r>
      <w:r w:rsidRPr="00683B8A">
        <w:rPr>
          <w:lang w:eastAsia="ja-JP"/>
        </w:rPr>
        <w:t>：条約は、高齢者の多様性への言及を含め、交差的な差別</w:t>
      </w:r>
      <w:r w:rsidR="00AC32DE">
        <w:rPr>
          <w:rFonts w:hint="eastAsia"/>
          <w:lang w:eastAsia="ja-JP"/>
        </w:rPr>
        <w:t>の</w:t>
      </w:r>
      <w:r w:rsidRPr="00683B8A">
        <w:rPr>
          <w:lang w:eastAsia="ja-JP"/>
        </w:rPr>
        <w:t>問題に対処</w:t>
      </w:r>
      <w:r>
        <w:rPr>
          <w:lang w:eastAsia="ja-JP"/>
        </w:rPr>
        <w:t>すべきである。多くの高齢</w:t>
      </w:r>
      <w:r>
        <w:rPr>
          <w:rFonts w:hint="eastAsia"/>
          <w:lang w:eastAsia="ja-JP"/>
        </w:rPr>
        <w:t>者は、性別、障害、民族、その他の地位に基づいて、複数の形態の差別を同時に経験している。本条約は、あらゆる多様性を持つ高齢者にすべての人権が適用されることを再確認し、高齢者が複数の、累積的、あるいは交差的な差別のリスクにさらされている状況において、人権をどのように解釈し、実施すべきかを明確にするべきである</w:t>
      </w:r>
      <w:r w:rsidR="0052290E">
        <w:rPr>
          <w:rStyle w:val="af0"/>
          <w:lang w:eastAsia="ja-JP"/>
        </w:rPr>
        <w:footnoteReference w:id="15"/>
      </w:r>
      <w:r>
        <w:rPr>
          <w:rFonts w:hint="eastAsia"/>
          <w:lang w:eastAsia="ja-JP"/>
        </w:rPr>
        <w:t>。</w:t>
      </w:r>
    </w:p>
    <w:p w14:paraId="05143A67" w14:textId="77777777" w:rsidR="00D93294" w:rsidRDefault="00D93294" w:rsidP="00993B29">
      <w:pPr>
        <w:rPr>
          <w:lang w:eastAsia="ja-JP"/>
        </w:rPr>
      </w:pPr>
    </w:p>
    <w:p w14:paraId="22D49763" w14:textId="46FA8C02" w:rsidR="00993B29" w:rsidRDefault="00993B29" w:rsidP="00993B29">
      <w:pPr>
        <w:rPr>
          <w:lang w:eastAsia="ja-JP"/>
        </w:rPr>
      </w:pPr>
      <w:r>
        <w:rPr>
          <w:lang w:eastAsia="ja-JP"/>
        </w:rPr>
        <w:t xml:space="preserve">4. </w:t>
      </w:r>
      <w:r w:rsidRPr="00B42D41">
        <w:rPr>
          <w:b/>
          <w:bCs/>
          <w:lang w:eastAsia="ja-JP"/>
        </w:rPr>
        <w:t>社会への完全かつ有意義な参加</w:t>
      </w:r>
      <w:r>
        <w:rPr>
          <w:lang w:eastAsia="ja-JP"/>
        </w:rPr>
        <w:t>：高齢者は、政治的プロセスを含め、社会に完全に参加する上で数多くの障壁に直</w:t>
      </w:r>
      <w:r>
        <w:rPr>
          <w:rFonts w:hint="eastAsia"/>
          <w:lang w:eastAsia="ja-JP"/>
        </w:rPr>
        <w:t>面している</w:t>
      </w:r>
      <w:r w:rsidR="0052290E">
        <w:rPr>
          <w:rStyle w:val="af0"/>
          <w:lang w:eastAsia="ja-JP"/>
        </w:rPr>
        <w:footnoteReference w:id="16"/>
      </w:r>
      <w:r>
        <w:rPr>
          <w:rFonts w:hint="eastAsia"/>
          <w:lang w:eastAsia="ja-JP"/>
        </w:rPr>
        <w:t>。</w:t>
      </w:r>
      <w:r>
        <w:rPr>
          <w:lang w:eastAsia="ja-JP"/>
        </w:rPr>
        <w:t>これは、障害のある高齢者</w:t>
      </w:r>
      <w:r w:rsidR="00683B8A">
        <w:rPr>
          <w:rFonts w:hint="eastAsia"/>
          <w:lang w:eastAsia="ja-JP"/>
        </w:rPr>
        <w:t>にとっての</w:t>
      </w:r>
      <w:r>
        <w:rPr>
          <w:lang w:eastAsia="ja-JP"/>
        </w:rPr>
        <w:t>アクセシ</w:t>
      </w:r>
      <w:r>
        <w:rPr>
          <w:lang w:eastAsia="ja-JP"/>
        </w:rPr>
        <w:lastRenderedPageBreak/>
        <w:t>ビリティの欠如、</w:t>
      </w:r>
      <w:r w:rsidR="00957CB9">
        <w:rPr>
          <w:rFonts w:hint="eastAsia"/>
          <w:lang w:eastAsia="ja-JP"/>
        </w:rPr>
        <w:t>人々の</w:t>
      </w:r>
      <w:r>
        <w:rPr>
          <w:lang w:eastAsia="ja-JP"/>
        </w:rPr>
        <w:t>間のデジタル・ディバイド、あるい</w:t>
      </w:r>
      <w:r>
        <w:rPr>
          <w:rFonts w:hint="eastAsia"/>
          <w:lang w:eastAsia="ja-JP"/>
        </w:rPr>
        <w:t>はその他の形態の差別や排除によって引き起こされる可能性がある</w:t>
      </w:r>
      <w:r w:rsidR="0052290E">
        <w:rPr>
          <w:rStyle w:val="af0"/>
          <w:lang w:eastAsia="ja-JP"/>
        </w:rPr>
        <w:footnoteReference w:id="17"/>
      </w:r>
      <w:r>
        <w:rPr>
          <w:rFonts w:hint="eastAsia"/>
          <w:lang w:eastAsia="ja-JP"/>
        </w:rPr>
        <w:t>。</w:t>
      </w:r>
      <w:r>
        <w:rPr>
          <w:lang w:eastAsia="ja-JP"/>
        </w:rPr>
        <w:t>新しい条約は、社会および意思決定プロセ</w:t>
      </w:r>
      <w:r>
        <w:rPr>
          <w:rFonts w:hint="eastAsia"/>
          <w:lang w:eastAsia="ja-JP"/>
        </w:rPr>
        <w:t>スへの高齢者の完全かつ効果的な参加という中核的な原則を明文化すべきである。</w:t>
      </w:r>
    </w:p>
    <w:p w14:paraId="540A1CA5" w14:textId="77777777" w:rsidR="00D93294" w:rsidRDefault="00D93294" w:rsidP="00993B29">
      <w:pPr>
        <w:rPr>
          <w:lang w:eastAsia="ja-JP"/>
        </w:rPr>
      </w:pPr>
    </w:p>
    <w:p w14:paraId="3714804C" w14:textId="345A8231" w:rsidR="00993B29" w:rsidRDefault="00993B29" w:rsidP="00993B29">
      <w:pPr>
        <w:rPr>
          <w:lang w:eastAsia="ja-JP"/>
        </w:rPr>
      </w:pPr>
      <w:r>
        <w:rPr>
          <w:lang w:eastAsia="ja-JP"/>
        </w:rPr>
        <w:t xml:space="preserve">5. </w:t>
      </w:r>
      <w:r w:rsidRPr="00B42D41">
        <w:rPr>
          <w:b/>
          <w:bCs/>
          <w:lang w:eastAsia="ja-JP"/>
        </w:rPr>
        <w:t>起草プロセスへの完全かつ有意義な参加</w:t>
      </w:r>
      <w:r>
        <w:rPr>
          <w:lang w:eastAsia="ja-JP"/>
        </w:rPr>
        <w:t>：条約およびその採択に至るプロセスは、「私たち抜き</w:t>
      </w:r>
      <w:r w:rsidR="00957CB9">
        <w:rPr>
          <w:rFonts w:hint="eastAsia"/>
          <w:lang w:eastAsia="ja-JP"/>
        </w:rPr>
        <w:t>に</w:t>
      </w:r>
      <w:r>
        <w:rPr>
          <w:lang w:eastAsia="ja-JP"/>
        </w:rPr>
        <w:t>私たち</w:t>
      </w:r>
      <w:r w:rsidR="00957CB9">
        <w:rPr>
          <w:rFonts w:hint="eastAsia"/>
          <w:lang w:eastAsia="ja-JP"/>
        </w:rPr>
        <w:t>のこと</w:t>
      </w:r>
      <w:r w:rsidR="00AC32DE">
        <w:rPr>
          <w:rFonts w:hint="eastAsia"/>
          <w:lang w:eastAsia="ja-JP"/>
        </w:rPr>
        <w:t>を</w:t>
      </w:r>
      <w:r w:rsidR="00957CB9">
        <w:rPr>
          <w:rFonts w:hint="eastAsia"/>
          <w:lang w:eastAsia="ja-JP"/>
        </w:rPr>
        <w:t>決めないで</w:t>
      </w:r>
      <w:r>
        <w:rPr>
          <w:rFonts w:hint="eastAsia"/>
          <w:lang w:eastAsia="ja-JP"/>
        </w:rPr>
        <w:t>」という原則を指針かつ運用上の規範として明文化し、高齢者が条約の策定、実施、および監視に有意義に関与することを確保すべきである。権利に基づくアプローチは、高齢者の実体験に根ざし、条約の枠組み全体に構造的に組み込まれて初めて、その効果を発揮することができる</w:t>
      </w:r>
      <w:r w:rsidR="0052290E">
        <w:rPr>
          <w:rStyle w:val="af0"/>
          <w:lang w:eastAsia="ja-JP"/>
        </w:rPr>
        <w:footnoteReference w:id="18"/>
      </w:r>
      <w:r>
        <w:rPr>
          <w:rFonts w:hint="eastAsia"/>
          <w:lang w:eastAsia="ja-JP"/>
        </w:rPr>
        <w:t>。</w:t>
      </w:r>
    </w:p>
    <w:p w14:paraId="1C0B431C" w14:textId="77777777" w:rsidR="00D93294" w:rsidRDefault="00D93294" w:rsidP="00993B29">
      <w:pPr>
        <w:rPr>
          <w:lang w:eastAsia="ja-JP"/>
        </w:rPr>
      </w:pPr>
    </w:p>
    <w:p w14:paraId="288AC026" w14:textId="77777777" w:rsidR="00993B29" w:rsidRPr="00D93294" w:rsidRDefault="00993B29" w:rsidP="00993B29">
      <w:pPr>
        <w:rPr>
          <w:rFonts w:ascii="BIZ UDゴシック" w:eastAsia="BIZ UDゴシック" w:hAnsi="BIZ UDゴシック"/>
          <w:lang w:eastAsia="ja-JP"/>
        </w:rPr>
      </w:pPr>
      <w:r w:rsidRPr="00D93294">
        <w:rPr>
          <w:rFonts w:ascii="BIZ UDゴシック" w:eastAsia="BIZ UDゴシック" w:hAnsi="BIZ UDゴシック"/>
          <w:lang w:eastAsia="ja-JP"/>
        </w:rPr>
        <w:t>3. 質問3への回答</w:t>
      </w:r>
    </w:p>
    <w:p w14:paraId="6DFA31CA" w14:textId="03581522" w:rsidR="00993B29" w:rsidRPr="00D93294" w:rsidRDefault="00993B29" w:rsidP="00993B29">
      <w:pPr>
        <w:rPr>
          <w:rFonts w:ascii="BIZ UDゴシック" w:eastAsia="BIZ UDゴシック" w:hAnsi="BIZ UDゴシック"/>
          <w:lang w:eastAsia="ja-JP"/>
        </w:rPr>
      </w:pPr>
      <w:r w:rsidRPr="00D93294">
        <w:rPr>
          <w:rFonts w:ascii="BIZ UDゴシック" w:eastAsia="BIZ UDゴシック" w:hAnsi="BIZ UDゴシック" w:hint="eastAsia"/>
          <w:lang w:eastAsia="ja-JP"/>
        </w:rPr>
        <w:t>全体構造の主要な要素</w:t>
      </w:r>
    </w:p>
    <w:p w14:paraId="3255173B" w14:textId="77777777" w:rsidR="00993B29" w:rsidRDefault="00993B29" w:rsidP="00D93294">
      <w:pPr>
        <w:ind w:firstLineChars="100" w:firstLine="210"/>
        <w:rPr>
          <w:lang w:eastAsia="ja-JP"/>
        </w:rPr>
      </w:pPr>
      <w:r>
        <w:rPr>
          <w:rFonts w:hint="eastAsia"/>
          <w:lang w:eastAsia="ja-JP"/>
        </w:rPr>
        <w:t>新しい条約は、国連障害者権利条約（</w:t>
      </w:r>
      <w:r>
        <w:rPr>
          <w:lang w:eastAsia="ja-JP"/>
        </w:rPr>
        <w:t>CRPD）と同様の包括的な構成を採用すべきである。</w:t>
      </w:r>
    </w:p>
    <w:p w14:paraId="5CBF9EFE" w14:textId="7BD2023A" w:rsidR="00993B29" w:rsidRDefault="00993B29" w:rsidP="00993B29">
      <w:pPr>
        <w:rPr>
          <w:lang w:eastAsia="ja-JP"/>
        </w:rPr>
      </w:pPr>
      <w:r>
        <w:rPr>
          <w:lang w:eastAsia="ja-JP"/>
        </w:rPr>
        <w:t xml:space="preserve">1. </w:t>
      </w:r>
      <w:r w:rsidRPr="0032266B">
        <w:rPr>
          <w:b/>
          <w:bCs/>
          <w:lang w:eastAsia="ja-JP"/>
        </w:rPr>
        <w:t>前文</w:t>
      </w:r>
      <w:r>
        <w:rPr>
          <w:lang w:eastAsia="ja-JP"/>
        </w:rPr>
        <w:t>：高齢者が歴史的に排除されてきた事実やエイジズムの影響を認め、高齢者の多様性や交差する差別の理解の</w:t>
      </w:r>
      <w:r>
        <w:rPr>
          <w:rFonts w:hint="eastAsia"/>
          <w:lang w:eastAsia="ja-JP"/>
        </w:rPr>
        <w:t>重要性について言及</w:t>
      </w:r>
      <w:r w:rsidR="0032266B">
        <w:rPr>
          <w:rFonts w:hint="eastAsia"/>
          <w:lang w:eastAsia="ja-JP"/>
        </w:rPr>
        <w:t>して</w:t>
      </w:r>
      <w:r>
        <w:rPr>
          <w:rFonts w:hint="eastAsia"/>
          <w:lang w:eastAsia="ja-JP"/>
        </w:rPr>
        <w:t>、条約の基礎を築くべきである。また寿命の</w:t>
      </w:r>
      <w:r w:rsidR="0032266B">
        <w:rPr>
          <w:rFonts w:hint="eastAsia"/>
          <w:lang w:eastAsia="ja-JP"/>
        </w:rPr>
        <w:t>延長の</w:t>
      </w:r>
      <w:r>
        <w:rPr>
          <w:rFonts w:hint="eastAsia"/>
          <w:lang w:eastAsia="ja-JP"/>
        </w:rPr>
        <w:t>現実に対応するため</w:t>
      </w:r>
      <w:r w:rsidR="0032266B">
        <w:rPr>
          <w:rFonts w:hint="eastAsia"/>
          <w:lang w:eastAsia="ja-JP"/>
        </w:rPr>
        <w:t>、</w:t>
      </w:r>
      <w:r>
        <w:rPr>
          <w:rFonts w:hint="eastAsia"/>
          <w:lang w:eastAsia="ja-JP"/>
        </w:rPr>
        <w:t>法制度</w:t>
      </w:r>
      <w:r w:rsidR="0032266B">
        <w:rPr>
          <w:rFonts w:hint="eastAsia"/>
          <w:lang w:eastAsia="ja-JP"/>
        </w:rPr>
        <w:t>が</w:t>
      </w:r>
      <w:r>
        <w:rPr>
          <w:rFonts w:hint="eastAsia"/>
          <w:lang w:eastAsia="ja-JP"/>
        </w:rPr>
        <w:t>進化</w:t>
      </w:r>
      <w:r w:rsidR="0032266B">
        <w:rPr>
          <w:rFonts w:hint="eastAsia"/>
          <w:lang w:eastAsia="ja-JP"/>
        </w:rPr>
        <w:t>す</w:t>
      </w:r>
      <w:r>
        <w:rPr>
          <w:rFonts w:hint="eastAsia"/>
          <w:lang w:eastAsia="ja-JP"/>
        </w:rPr>
        <w:t>べきであることも明記すべきである</w:t>
      </w:r>
      <w:r w:rsidR="0052290E">
        <w:rPr>
          <w:rStyle w:val="af0"/>
          <w:lang w:eastAsia="ja-JP"/>
        </w:rPr>
        <w:footnoteReference w:id="19"/>
      </w:r>
      <w:r>
        <w:rPr>
          <w:rFonts w:hint="eastAsia"/>
          <w:lang w:eastAsia="ja-JP"/>
        </w:rPr>
        <w:t>。</w:t>
      </w:r>
    </w:p>
    <w:p w14:paraId="2A2170AD" w14:textId="54D4B62F" w:rsidR="00993B29" w:rsidRDefault="00993B29" w:rsidP="00D93294">
      <w:pPr>
        <w:ind w:firstLineChars="100" w:firstLine="210"/>
        <w:rPr>
          <w:lang w:eastAsia="ja-JP"/>
        </w:rPr>
      </w:pPr>
      <w:r>
        <w:rPr>
          <w:rFonts w:hint="eastAsia"/>
          <w:lang w:eastAsia="ja-JP"/>
        </w:rPr>
        <w:t>また、前文では、条約が一般市民の意識向上に果たす役割を認識すべきである。知られていない、あるいは利用できない人権は実現されないまま</w:t>
      </w:r>
      <w:r w:rsidR="0032266B">
        <w:rPr>
          <w:rFonts w:hint="eastAsia"/>
          <w:lang w:eastAsia="ja-JP"/>
        </w:rPr>
        <w:t>となり、</w:t>
      </w:r>
      <w:r>
        <w:rPr>
          <w:rFonts w:hint="eastAsia"/>
          <w:lang w:eastAsia="ja-JP"/>
        </w:rPr>
        <w:t>条約</w:t>
      </w:r>
      <w:r w:rsidR="0057711E">
        <w:rPr>
          <w:rFonts w:hint="eastAsia"/>
          <w:lang w:eastAsia="ja-JP"/>
        </w:rPr>
        <w:t>の目的を損なうからである</w:t>
      </w:r>
      <w:r>
        <w:rPr>
          <w:rFonts w:hint="eastAsia"/>
          <w:lang w:eastAsia="ja-JP"/>
        </w:rPr>
        <w:t>。啓発への取り組みは、権利保有者が自らの権利を主張できるよう情報を提供し、エンパワーメントを図る市民社会の取り組みの正当性を裏付けることにもなる。</w:t>
      </w:r>
    </w:p>
    <w:p w14:paraId="4B0BCBFD" w14:textId="77777777" w:rsidR="00D93294" w:rsidRDefault="00D93294" w:rsidP="00993B29">
      <w:pPr>
        <w:rPr>
          <w:lang w:eastAsia="ja-JP"/>
        </w:rPr>
      </w:pPr>
    </w:p>
    <w:p w14:paraId="5FEC5E8F" w14:textId="1914B90C" w:rsidR="00993B29" w:rsidRDefault="00993B29" w:rsidP="00993B29">
      <w:pPr>
        <w:rPr>
          <w:lang w:eastAsia="ja-JP"/>
        </w:rPr>
      </w:pPr>
      <w:r>
        <w:rPr>
          <w:lang w:eastAsia="ja-JP"/>
        </w:rPr>
        <w:t xml:space="preserve">2. </w:t>
      </w:r>
      <w:r w:rsidRPr="0032266B">
        <w:rPr>
          <w:b/>
          <w:bCs/>
          <w:lang w:eastAsia="ja-JP"/>
        </w:rPr>
        <w:t>目的および定義</w:t>
      </w:r>
      <w:r>
        <w:rPr>
          <w:lang w:eastAsia="ja-JP"/>
        </w:rPr>
        <w:t>：</w:t>
      </w:r>
    </w:p>
    <w:p w14:paraId="02DC7C46" w14:textId="0546C239" w:rsidR="00993B29" w:rsidRDefault="00993B29" w:rsidP="0057711E">
      <w:pPr>
        <w:ind w:leftChars="270" w:left="567"/>
        <w:rPr>
          <w:lang w:eastAsia="ja-JP"/>
        </w:rPr>
      </w:pPr>
      <w:r>
        <w:rPr>
          <w:rFonts w:hint="eastAsia"/>
          <w:lang w:eastAsia="ja-JP"/>
        </w:rPr>
        <w:t>•</w:t>
      </w:r>
      <w:r>
        <w:rPr>
          <w:lang w:eastAsia="ja-JP"/>
        </w:rPr>
        <w:t xml:space="preserve"> 目的：高齢者がすべての人権および基本的自由を完全かつ平等に享受できるよう、これを促進、保護、</w:t>
      </w:r>
      <w:r>
        <w:rPr>
          <w:rFonts w:hint="eastAsia"/>
          <w:lang w:eastAsia="ja-JP"/>
        </w:rPr>
        <w:t>および保障すること</w:t>
      </w:r>
      <w:r w:rsidR="0052290E">
        <w:rPr>
          <w:rStyle w:val="af0"/>
          <w:lang w:eastAsia="ja-JP"/>
        </w:rPr>
        <w:footnoteReference w:id="20"/>
      </w:r>
      <w:r>
        <w:rPr>
          <w:rFonts w:hint="eastAsia"/>
          <w:lang w:eastAsia="ja-JP"/>
        </w:rPr>
        <w:t>。</w:t>
      </w:r>
    </w:p>
    <w:p w14:paraId="1D6F0513" w14:textId="1ED2456F" w:rsidR="00993B29" w:rsidRDefault="00993B29" w:rsidP="0057711E">
      <w:pPr>
        <w:ind w:leftChars="270" w:left="567"/>
        <w:rPr>
          <w:lang w:eastAsia="ja-JP"/>
        </w:rPr>
      </w:pPr>
      <w:r>
        <w:rPr>
          <w:rFonts w:hint="eastAsia"/>
          <w:lang w:eastAsia="ja-JP"/>
        </w:rPr>
        <w:t>•</w:t>
      </w:r>
      <w:r>
        <w:rPr>
          <w:lang w:eastAsia="ja-JP"/>
        </w:rPr>
        <w:t xml:space="preserve"> 定義：本条約は、高齢を単なる年齢による定義で捉えることを排し、文脈に応じた人権中心のアプローチ</w:t>
      </w:r>
      <w:r>
        <w:rPr>
          <w:rFonts w:hint="eastAsia"/>
          <w:lang w:eastAsia="ja-JP"/>
        </w:rPr>
        <w:t>を採用すべきである。年齢を固定的な数値として定義することは、より</w:t>
      </w:r>
      <w:r w:rsidR="0057711E">
        <w:rPr>
          <w:rFonts w:hint="eastAsia"/>
          <w:lang w:eastAsia="ja-JP"/>
        </w:rPr>
        <w:t>下の</w:t>
      </w:r>
      <w:r>
        <w:rPr>
          <w:rFonts w:hint="eastAsia"/>
          <w:lang w:eastAsia="ja-JP"/>
        </w:rPr>
        <w:t>年齢で「高齢者」と見なされ、その認識ゆえに差別を受ける人を保</w:t>
      </w:r>
      <w:r>
        <w:rPr>
          <w:rFonts w:hint="eastAsia"/>
          <w:lang w:eastAsia="ja-JP"/>
        </w:rPr>
        <w:lastRenderedPageBreak/>
        <w:t>護</w:t>
      </w:r>
      <w:r w:rsidR="0057711E">
        <w:rPr>
          <w:rFonts w:hint="eastAsia"/>
          <w:lang w:eastAsia="ja-JP"/>
        </w:rPr>
        <w:t>できない</w:t>
      </w:r>
      <w:r w:rsidR="0052290E">
        <w:rPr>
          <w:rStyle w:val="af0"/>
          <w:lang w:eastAsia="ja-JP"/>
        </w:rPr>
        <w:footnoteReference w:id="21"/>
      </w:r>
      <w:r>
        <w:rPr>
          <w:rFonts w:hint="eastAsia"/>
          <w:lang w:eastAsia="ja-JP"/>
        </w:rPr>
        <w:t>。</w:t>
      </w:r>
    </w:p>
    <w:p w14:paraId="1B2F571D" w14:textId="77777777" w:rsidR="00D93294" w:rsidRDefault="00D93294" w:rsidP="00993B29">
      <w:pPr>
        <w:rPr>
          <w:lang w:eastAsia="ja-JP"/>
        </w:rPr>
      </w:pPr>
    </w:p>
    <w:p w14:paraId="47226612" w14:textId="03BE8779" w:rsidR="00993B29" w:rsidRDefault="00993B29" w:rsidP="00993B29">
      <w:pPr>
        <w:rPr>
          <w:lang w:eastAsia="ja-JP"/>
        </w:rPr>
      </w:pPr>
      <w:r>
        <w:rPr>
          <w:lang w:eastAsia="ja-JP"/>
        </w:rPr>
        <w:t xml:space="preserve">3. </w:t>
      </w:r>
      <w:r w:rsidR="0032266B" w:rsidRPr="0032266B">
        <w:rPr>
          <w:rFonts w:hint="eastAsia"/>
          <w:b/>
          <w:bCs/>
          <w:lang w:eastAsia="ja-JP"/>
        </w:rPr>
        <w:t>基礎となる</w:t>
      </w:r>
      <w:r w:rsidRPr="0032266B">
        <w:rPr>
          <w:b/>
          <w:bCs/>
          <w:lang w:eastAsia="ja-JP"/>
        </w:rPr>
        <w:t>原則</w:t>
      </w:r>
      <w:r>
        <w:rPr>
          <w:lang w:eastAsia="ja-JP"/>
        </w:rPr>
        <w:t>：詳細は、質問2への回答を参照のこと。</w:t>
      </w:r>
    </w:p>
    <w:p w14:paraId="3089006E" w14:textId="77777777" w:rsidR="00D93294" w:rsidRDefault="00D93294" w:rsidP="00993B29">
      <w:pPr>
        <w:rPr>
          <w:lang w:eastAsia="ja-JP"/>
        </w:rPr>
      </w:pPr>
    </w:p>
    <w:p w14:paraId="1707765B" w14:textId="3F5FDFC2" w:rsidR="00993B29" w:rsidRDefault="00993B29" w:rsidP="00993B29">
      <w:pPr>
        <w:rPr>
          <w:lang w:eastAsia="ja-JP"/>
        </w:rPr>
      </w:pPr>
      <w:r>
        <w:rPr>
          <w:lang w:eastAsia="ja-JP"/>
        </w:rPr>
        <w:t xml:space="preserve">4. </w:t>
      </w:r>
      <w:r w:rsidRPr="0032266B">
        <w:rPr>
          <w:b/>
          <w:bCs/>
          <w:lang w:eastAsia="ja-JP"/>
        </w:rPr>
        <w:t>一般的義務</w:t>
      </w:r>
      <w:r>
        <w:rPr>
          <w:lang w:eastAsia="ja-JP"/>
        </w:rPr>
        <w:t>：国は、年齢に基づく差別なく、高齢者がすべての人権および基本的自由を完全かつ平等に享</w:t>
      </w:r>
      <w:r>
        <w:rPr>
          <w:rFonts w:hint="eastAsia"/>
          <w:lang w:eastAsia="ja-JP"/>
        </w:rPr>
        <w:t>受できるよう確保することを約束すべきである。この目的のために、</w:t>
      </w:r>
    </w:p>
    <w:p w14:paraId="5C03F4F3" w14:textId="20C9E59C" w:rsidR="00993B29" w:rsidRDefault="00993B29" w:rsidP="0057711E">
      <w:pPr>
        <w:ind w:leftChars="270" w:left="567"/>
        <w:rPr>
          <w:lang w:eastAsia="ja-JP"/>
        </w:rPr>
      </w:pPr>
      <w:r>
        <w:rPr>
          <w:rFonts w:hint="eastAsia"/>
          <w:lang w:eastAsia="ja-JP"/>
        </w:rPr>
        <w:t>•</w:t>
      </w:r>
      <w:r>
        <w:rPr>
          <w:lang w:eastAsia="ja-JP"/>
        </w:rPr>
        <w:t xml:space="preserve"> 国は、適切な立法、行政、政策措置を採択・実施し、差別的な法律、政策、慣行を廃止し、あらゆる</w:t>
      </w:r>
      <w:r>
        <w:rPr>
          <w:rFonts w:hint="eastAsia"/>
          <w:lang w:eastAsia="ja-JP"/>
        </w:rPr>
        <w:t>政策やプログラムに高齢者の権利を組み込み、公的機関および民間がこれらの義務を遵守するよう確保すべきである。</w:t>
      </w:r>
    </w:p>
    <w:p w14:paraId="0732E030" w14:textId="549F0930" w:rsidR="00993B29" w:rsidRDefault="00993B29" w:rsidP="0057711E">
      <w:pPr>
        <w:ind w:leftChars="270" w:left="567"/>
        <w:rPr>
          <w:lang w:eastAsia="ja-JP"/>
        </w:rPr>
      </w:pPr>
      <w:r>
        <w:rPr>
          <w:rFonts w:hint="eastAsia"/>
          <w:lang w:eastAsia="ja-JP"/>
        </w:rPr>
        <w:t>•</w:t>
      </w:r>
      <w:r>
        <w:rPr>
          <w:lang w:eastAsia="ja-JP"/>
        </w:rPr>
        <w:t xml:space="preserve"> 国は、高齢者</w:t>
      </w:r>
      <w:r w:rsidR="007A5673">
        <w:rPr>
          <w:rFonts w:hint="eastAsia"/>
          <w:lang w:eastAsia="ja-JP"/>
        </w:rPr>
        <w:t>が使いやすい</w:t>
      </w:r>
      <w:r>
        <w:rPr>
          <w:lang w:eastAsia="ja-JP"/>
        </w:rPr>
        <w:t>商品、サービス、技術の研究開発を促進し、関連する情報や支援へのアク</w:t>
      </w:r>
      <w:r>
        <w:rPr>
          <w:rFonts w:hint="eastAsia"/>
          <w:lang w:eastAsia="ja-JP"/>
        </w:rPr>
        <w:t>セスを確保し、高齢者と関わる専門</w:t>
      </w:r>
      <w:r w:rsidR="007A5673">
        <w:rPr>
          <w:rFonts w:hint="eastAsia"/>
          <w:lang w:eastAsia="ja-JP"/>
        </w:rPr>
        <w:t>職</w:t>
      </w:r>
      <w:r>
        <w:rPr>
          <w:rFonts w:hint="eastAsia"/>
          <w:lang w:eastAsia="ja-JP"/>
        </w:rPr>
        <w:t>の研修を行うべきである。</w:t>
      </w:r>
    </w:p>
    <w:p w14:paraId="3C73CC98" w14:textId="6D0079AD" w:rsidR="00993B29" w:rsidRDefault="00993B29" w:rsidP="0057711E">
      <w:pPr>
        <w:ind w:leftChars="270" w:left="567"/>
        <w:rPr>
          <w:lang w:eastAsia="ja-JP"/>
        </w:rPr>
      </w:pPr>
      <w:r>
        <w:rPr>
          <w:rFonts w:hint="eastAsia"/>
          <w:lang w:eastAsia="ja-JP"/>
        </w:rPr>
        <w:t>•</w:t>
      </w:r>
      <w:r>
        <w:rPr>
          <w:lang w:eastAsia="ja-JP"/>
        </w:rPr>
        <w:t xml:space="preserve"> 経済的、社会的および文化的権利は、利用可能な資源</w:t>
      </w:r>
      <w:r w:rsidR="007A5673">
        <w:rPr>
          <w:rFonts w:hint="eastAsia"/>
          <w:lang w:eastAsia="ja-JP"/>
        </w:rPr>
        <w:t>を</w:t>
      </w:r>
      <w:r>
        <w:rPr>
          <w:lang w:eastAsia="ja-JP"/>
        </w:rPr>
        <w:t>最大限</w:t>
      </w:r>
      <w:r w:rsidR="007A5673">
        <w:rPr>
          <w:rFonts w:hint="eastAsia"/>
          <w:lang w:eastAsia="ja-JP"/>
        </w:rPr>
        <w:t>用いつつ</w:t>
      </w:r>
      <w:r>
        <w:rPr>
          <w:lang w:eastAsia="ja-JP"/>
        </w:rPr>
        <w:t>、</w:t>
      </w:r>
      <w:r w:rsidR="007A5673">
        <w:rPr>
          <w:rFonts w:hint="eastAsia"/>
          <w:lang w:eastAsia="ja-JP"/>
        </w:rPr>
        <w:t>漸進</w:t>
      </w:r>
      <w:r>
        <w:rPr>
          <w:lang w:eastAsia="ja-JP"/>
        </w:rPr>
        <w:t>的に実現されなければな</w:t>
      </w:r>
      <w:r>
        <w:rPr>
          <w:rFonts w:hint="eastAsia"/>
          <w:lang w:eastAsia="ja-JP"/>
        </w:rPr>
        <w:t>らない。</w:t>
      </w:r>
    </w:p>
    <w:p w14:paraId="0A875686" w14:textId="58B805C7" w:rsidR="00993B29" w:rsidRDefault="00993B29" w:rsidP="0057711E">
      <w:pPr>
        <w:ind w:leftChars="270" w:left="567"/>
        <w:rPr>
          <w:lang w:eastAsia="ja-JP"/>
        </w:rPr>
      </w:pPr>
      <w:r>
        <w:rPr>
          <w:rFonts w:hint="eastAsia"/>
          <w:lang w:eastAsia="ja-JP"/>
        </w:rPr>
        <w:t>•</w:t>
      </w:r>
      <w:r>
        <w:rPr>
          <w:lang w:eastAsia="ja-JP"/>
        </w:rPr>
        <w:t xml:space="preserve"> 高齢者は、自身に影響を及ぼすすべての決定に</w:t>
      </w:r>
      <w:r w:rsidR="007A5673">
        <w:rPr>
          <w:rFonts w:hint="eastAsia"/>
          <w:lang w:eastAsia="ja-JP"/>
        </w:rPr>
        <w:t>関して</w:t>
      </w:r>
      <w:r>
        <w:rPr>
          <w:lang w:eastAsia="ja-JP"/>
        </w:rPr>
        <w:t>、その代表組織を通じて綿密に協議され、</w:t>
      </w:r>
      <w:r w:rsidR="007A5673">
        <w:rPr>
          <w:rFonts w:hint="eastAsia"/>
          <w:lang w:eastAsia="ja-JP"/>
        </w:rPr>
        <w:t>それに</w:t>
      </w:r>
      <w:r>
        <w:rPr>
          <w:lang w:eastAsia="ja-JP"/>
        </w:rPr>
        <w:t>積極</w:t>
      </w:r>
      <w:r>
        <w:rPr>
          <w:rFonts w:hint="eastAsia"/>
          <w:lang w:eastAsia="ja-JP"/>
        </w:rPr>
        <w:t>的に関与すべきである。</w:t>
      </w:r>
      <w:r w:rsidR="007A5673">
        <w:rPr>
          <w:rFonts w:hint="eastAsia"/>
          <w:lang w:eastAsia="ja-JP"/>
        </w:rPr>
        <w:t>この</w:t>
      </w:r>
      <w:r>
        <w:rPr>
          <w:rFonts w:hint="eastAsia"/>
          <w:lang w:eastAsia="ja-JP"/>
        </w:rPr>
        <w:t>条約は最低基準を定め、例外なく連邦</w:t>
      </w:r>
      <w:r w:rsidR="007A5673">
        <w:rPr>
          <w:rFonts w:hint="eastAsia"/>
          <w:lang w:eastAsia="ja-JP"/>
        </w:rPr>
        <w:t>国家</w:t>
      </w:r>
      <w:r>
        <w:rPr>
          <w:rFonts w:hint="eastAsia"/>
          <w:lang w:eastAsia="ja-JP"/>
        </w:rPr>
        <w:t>全体に適用されるべきである</w:t>
      </w:r>
      <w:r w:rsidR="0052290E">
        <w:rPr>
          <w:rStyle w:val="af0"/>
          <w:lang w:eastAsia="ja-JP"/>
        </w:rPr>
        <w:footnoteReference w:id="22"/>
      </w:r>
      <w:r>
        <w:rPr>
          <w:rFonts w:hint="eastAsia"/>
          <w:lang w:eastAsia="ja-JP"/>
        </w:rPr>
        <w:t>。</w:t>
      </w:r>
    </w:p>
    <w:p w14:paraId="01C43805" w14:textId="67DCD1A9" w:rsidR="00993B29" w:rsidRDefault="00993B29" w:rsidP="0057711E">
      <w:pPr>
        <w:ind w:leftChars="270" w:left="567"/>
        <w:rPr>
          <w:lang w:eastAsia="ja-JP"/>
        </w:rPr>
      </w:pPr>
      <w:r>
        <w:rPr>
          <w:rFonts w:hint="eastAsia"/>
          <w:lang w:eastAsia="ja-JP"/>
        </w:rPr>
        <w:t>•</w:t>
      </w:r>
      <w:r>
        <w:rPr>
          <w:lang w:eastAsia="ja-JP"/>
        </w:rPr>
        <w:t xml:space="preserve"> また、国は、政策立案の根拠とするため、また条約の効果的な実施を確保するために、データを収</w:t>
      </w:r>
      <w:r>
        <w:rPr>
          <w:rFonts w:hint="eastAsia"/>
          <w:lang w:eastAsia="ja-JP"/>
        </w:rPr>
        <w:t>集・活用すべきである。データ収集は、プライバシー、データ保護法、および国際的な人権・倫理基準を尊重しなければならない。また、</w:t>
      </w:r>
      <w:r w:rsidR="007A5673">
        <w:rPr>
          <w:rFonts w:hint="eastAsia"/>
          <w:lang w:eastAsia="ja-JP"/>
        </w:rPr>
        <w:t>条約の</w:t>
      </w:r>
      <w:r>
        <w:rPr>
          <w:rFonts w:hint="eastAsia"/>
          <w:lang w:eastAsia="ja-JP"/>
        </w:rPr>
        <w:t>義務の遵守状況を監視し、高齢者が直面する障壁を特定するために、データは</w:t>
      </w:r>
      <w:r w:rsidR="007A5673">
        <w:rPr>
          <w:rFonts w:hint="eastAsia"/>
          <w:lang w:eastAsia="ja-JP"/>
        </w:rPr>
        <w:t>分類</w:t>
      </w:r>
      <w:r>
        <w:rPr>
          <w:rFonts w:hint="eastAsia"/>
          <w:lang w:eastAsia="ja-JP"/>
        </w:rPr>
        <w:t>されるべきである。各国はまた、このデータを積極的に公表し、高齢者が完全にアクセスできるようにすべきである</w:t>
      </w:r>
      <w:r w:rsidR="0052290E">
        <w:rPr>
          <w:rStyle w:val="af0"/>
          <w:lang w:eastAsia="ja-JP"/>
        </w:rPr>
        <w:footnoteReference w:id="23"/>
      </w:r>
      <w:r>
        <w:rPr>
          <w:rFonts w:hint="eastAsia"/>
          <w:lang w:eastAsia="ja-JP"/>
        </w:rPr>
        <w:t>。</w:t>
      </w:r>
    </w:p>
    <w:p w14:paraId="0E1F97E1" w14:textId="77777777" w:rsidR="00D93294" w:rsidRDefault="00D93294" w:rsidP="00993B29">
      <w:pPr>
        <w:rPr>
          <w:lang w:eastAsia="ja-JP"/>
        </w:rPr>
      </w:pPr>
    </w:p>
    <w:p w14:paraId="5180445C" w14:textId="5C07DA10" w:rsidR="00993B29" w:rsidRDefault="00993B29" w:rsidP="00993B29">
      <w:pPr>
        <w:rPr>
          <w:lang w:eastAsia="ja-JP"/>
        </w:rPr>
      </w:pPr>
      <w:r>
        <w:rPr>
          <w:lang w:eastAsia="ja-JP"/>
        </w:rPr>
        <w:t xml:space="preserve">5. </w:t>
      </w:r>
      <w:r w:rsidRPr="0032266B">
        <w:rPr>
          <w:b/>
          <w:bCs/>
          <w:lang w:eastAsia="ja-JP"/>
        </w:rPr>
        <w:t>具体的な権利</w:t>
      </w:r>
      <w:r>
        <w:rPr>
          <w:lang w:eastAsia="ja-JP"/>
        </w:rPr>
        <w:t>：証拠に基づく人権団体として、アムネスティ・インターナショナルは、様々な国や状況における</w:t>
      </w:r>
      <w:r>
        <w:rPr>
          <w:rFonts w:hint="eastAsia"/>
          <w:lang w:eastAsia="ja-JP"/>
        </w:rPr>
        <w:t>高齢者の権利に関する調査を行ってきた。この取り組みは、とりわけ、武力紛争、災害、その他の人道上の緊急事態における高齢者の権利、</w:t>
      </w:r>
      <w:r w:rsidR="007D4928">
        <w:rPr>
          <w:rFonts w:hint="eastAsia"/>
          <w:lang w:eastAsia="ja-JP"/>
        </w:rPr>
        <w:t>および</w:t>
      </w:r>
      <w:r>
        <w:rPr>
          <w:rFonts w:hint="eastAsia"/>
          <w:lang w:eastAsia="ja-JP"/>
        </w:rPr>
        <w:t>健康や社会保障の権利を含むいくつかの経済的・社会的権利を網羅している。条約は、これらの分野</w:t>
      </w:r>
      <w:r w:rsidR="007D4928">
        <w:rPr>
          <w:rFonts w:hint="eastAsia"/>
          <w:lang w:eastAsia="ja-JP"/>
        </w:rPr>
        <w:t>と</w:t>
      </w:r>
      <w:r>
        <w:rPr>
          <w:rFonts w:hint="eastAsia"/>
          <w:lang w:eastAsia="ja-JP"/>
        </w:rPr>
        <w:t>それぞれの救済措置を確実に盛り込むべきである</w:t>
      </w:r>
      <w:r w:rsidR="007D4928">
        <w:rPr>
          <w:rFonts w:hint="eastAsia"/>
          <w:lang w:eastAsia="ja-JP"/>
        </w:rPr>
        <w:t>（ただしこれらに限定されない）</w:t>
      </w:r>
      <w:r>
        <w:rPr>
          <w:rFonts w:hint="eastAsia"/>
          <w:lang w:eastAsia="ja-JP"/>
        </w:rPr>
        <w:t>：</w:t>
      </w:r>
    </w:p>
    <w:p w14:paraId="1A5AAF02" w14:textId="0FB31A20" w:rsidR="00993B29" w:rsidRDefault="00993B29" w:rsidP="007A5673">
      <w:pPr>
        <w:ind w:leftChars="270" w:left="567"/>
        <w:rPr>
          <w:lang w:eastAsia="ja-JP"/>
        </w:rPr>
      </w:pPr>
      <w:r>
        <w:rPr>
          <w:rFonts w:hint="eastAsia"/>
          <w:lang w:eastAsia="ja-JP"/>
        </w:rPr>
        <w:t>•</w:t>
      </w:r>
      <w:r>
        <w:rPr>
          <w:lang w:eastAsia="ja-JP"/>
        </w:rPr>
        <w:t xml:space="preserve"> </w:t>
      </w:r>
      <w:r w:rsidRPr="007D4928">
        <w:rPr>
          <w:b/>
          <w:bCs/>
          <w:lang w:eastAsia="ja-JP"/>
        </w:rPr>
        <w:t>武力紛争、災害、その他の人道上の緊急事態における高齢者の権利</w:t>
      </w:r>
      <w:r>
        <w:rPr>
          <w:lang w:eastAsia="ja-JP"/>
        </w:rPr>
        <w:t>：アムネスティ・インターナショナ</w:t>
      </w:r>
      <w:r>
        <w:rPr>
          <w:rFonts w:hint="eastAsia"/>
          <w:lang w:eastAsia="ja-JP"/>
        </w:rPr>
        <w:t>ルは、武力紛争や緊急事態における高齢者の状況について広範な調査を行ってきた</w:t>
      </w:r>
      <w:r w:rsidR="0052290E">
        <w:rPr>
          <w:rStyle w:val="af0"/>
          <w:lang w:eastAsia="ja-JP"/>
        </w:rPr>
        <w:footnoteReference w:id="24"/>
      </w:r>
      <w:r>
        <w:rPr>
          <w:rFonts w:hint="eastAsia"/>
          <w:lang w:eastAsia="ja-JP"/>
        </w:rPr>
        <w:t>。</w:t>
      </w:r>
      <w:r>
        <w:rPr>
          <w:lang w:eastAsia="ja-JP"/>
        </w:rPr>
        <w:t>私たちの</w:t>
      </w:r>
      <w:r>
        <w:rPr>
          <w:rFonts w:hint="eastAsia"/>
          <w:lang w:eastAsia="ja-JP"/>
        </w:rPr>
        <w:t>調査によると、高齢者は国際人道法（</w:t>
      </w:r>
      <w:r>
        <w:rPr>
          <w:lang w:eastAsia="ja-JP"/>
        </w:rPr>
        <w:t>IHL）の下</w:t>
      </w:r>
      <w:r>
        <w:rPr>
          <w:lang w:eastAsia="ja-JP"/>
        </w:rPr>
        <w:lastRenderedPageBreak/>
        <w:t>で民間人として保護され、ジュネーブ条約の様々な規定に</w:t>
      </w:r>
      <w:r>
        <w:rPr>
          <w:rFonts w:hint="eastAsia"/>
          <w:lang w:eastAsia="ja-JP"/>
        </w:rPr>
        <w:t>盛り込まれた特別な尊重と保護を受ける権利を有しているにもかかわらず、こうした状況下では特に高いリスクにさらされていることが示されている</w:t>
      </w:r>
      <w:r w:rsidR="0052290E">
        <w:rPr>
          <w:rStyle w:val="af0"/>
          <w:lang w:eastAsia="ja-JP"/>
        </w:rPr>
        <w:footnoteReference w:id="25"/>
      </w:r>
      <w:r>
        <w:rPr>
          <w:rFonts w:hint="eastAsia"/>
          <w:lang w:eastAsia="ja-JP"/>
        </w:rPr>
        <w:t>。</w:t>
      </w:r>
      <w:r>
        <w:rPr>
          <w:lang w:eastAsia="ja-JP"/>
        </w:rPr>
        <w:t>これには様々な理由が考えられ</w:t>
      </w:r>
      <w:r w:rsidR="00FA2DE0">
        <w:rPr>
          <w:rFonts w:hint="eastAsia"/>
          <w:lang w:eastAsia="ja-JP"/>
        </w:rPr>
        <w:t>る</w:t>
      </w:r>
      <w:r>
        <w:rPr>
          <w:lang w:eastAsia="ja-JP"/>
        </w:rPr>
        <w:t>。避難活動で見落と</w:t>
      </w:r>
      <w:r>
        <w:rPr>
          <w:rFonts w:hint="eastAsia"/>
          <w:lang w:eastAsia="ja-JP"/>
        </w:rPr>
        <w:t>されることがあるほか、障害のある高齢者にとってはインフラが物理的に利用できない場合や、徒歩で長距離を避難せざるを得ず、さらなる暴力にさらされる場合などで</w:t>
      </w:r>
      <w:r w:rsidR="00FA2DE0">
        <w:rPr>
          <w:rFonts w:hint="eastAsia"/>
          <w:lang w:eastAsia="ja-JP"/>
        </w:rPr>
        <w:t>ある</w:t>
      </w:r>
      <w:r>
        <w:rPr>
          <w:rFonts w:hint="eastAsia"/>
          <w:lang w:eastAsia="ja-JP"/>
        </w:rPr>
        <w:t>。また、経済的な必要性や、土地や家への愛着から、紛争の影響を受けた地域に残ることを選ぶこともよくあ</w:t>
      </w:r>
      <w:r w:rsidR="00FA2DE0">
        <w:rPr>
          <w:rFonts w:hint="eastAsia"/>
          <w:lang w:eastAsia="ja-JP"/>
        </w:rPr>
        <w:t>る</w:t>
      </w:r>
      <w:r>
        <w:rPr>
          <w:rFonts w:hint="eastAsia"/>
          <w:lang w:eastAsia="ja-JP"/>
        </w:rPr>
        <w:t>。</w:t>
      </w:r>
      <w:r>
        <w:rPr>
          <w:lang w:eastAsia="ja-JP"/>
        </w:rPr>
        <w:t>こうした状況下では、住</w:t>
      </w:r>
      <w:r>
        <w:rPr>
          <w:rFonts w:hint="eastAsia"/>
          <w:lang w:eastAsia="ja-JP"/>
        </w:rPr>
        <w:t>居が</w:t>
      </w:r>
      <w:r w:rsidR="00FA2DE0">
        <w:rPr>
          <w:rFonts w:hint="eastAsia"/>
          <w:lang w:eastAsia="ja-JP"/>
        </w:rPr>
        <w:t>壊れている</w:t>
      </w:r>
      <w:r>
        <w:rPr>
          <w:rFonts w:hint="eastAsia"/>
          <w:lang w:eastAsia="ja-JP"/>
        </w:rPr>
        <w:t>ことが多く、高齢者は水、食料、衛生設備、医療へのアクセスが制限されることが多い。ミャンマー</w:t>
      </w:r>
      <w:r w:rsidR="0052290E">
        <w:rPr>
          <w:rStyle w:val="af0"/>
          <w:lang w:eastAsia="ja-JP"/>
        </w:rPr>
        <w:footnoteReference w:id="26"/>
      </w:r>
      <w:r>
        <w:rPr>
          <w:lang w:eastAsia="ja-JP"/>
        </w:rPr>
        <w:t>、ナゴルノ・カラバフ</w:t>
      </w:r>
      <w:r w:rsidR="0052290E">
        <w:rPr>
          <w:rStyle w:val="af0"/>
          <w:lang w:eastAsia="ja-JP"/>
        </w:rPr>
        <w:footnoteReference w:id="27"/>
      </w:r>
      <w:r>
        <w:rPr>
          <w:lang w:eastAsia="ja-JP"/>
        </w:rPr>
        <w:t>、ウクライナ</w:t>
      </w:r>
      <w:r w:rsidR="0052290E">
        <w:rPr>
          <w:rStyle w:val="af0"/>
          <w:lang w:eastAsia="ja-JP"/>
        </w:rPr>
        <w:footnoteReference w:id="28"/>
      </w:r>
      <w:r>
        <w:rPr>
          <w:lang w:eastAsia="ja-JP"/>
        </w:rPr>
        <w:t xml:space="preserve"> およびその他の地域における紛争を通じて、我々は、こ</w:t>
      </w:r>
      <w:r>
        <w:rPr>
          <w:rFonts w:hint="eastAsia"/>
          <w:lang w:eastAsia="ja-JP"/>
        </w:rPr>
        <w:t>うした紛争中</w:t>
      </w:r>
      <w:r w:rsidR="002703D0">
        <w:rPr>
          <w:rFonts w:hint="eastAsia"/>
          <w:lang w:eastAsia="ja-JP"/>
        </w:rPr>
        <w:t>の</w:t>
      </w:r>
      <w:r>
        <w:rPr>
          <w:rFonts w:hint="eastAsia"/>
          <w:lang w:eastAsia="ja-JP"/>
        </w:rPr>
        <w:t>高齢者の死亡率が不釣り合いに高いことを確認している。</w:t>
      </w:r>
      <w:r>
        <w:rPr>
          <w:lang w:eastAsia="ja-JP"/>
        </w:rPr>
        <w:t>さらに、一度避難を余儀なくさ</w:t>
      </w:r>
      <w:r>
        <w:rPr>
          <w:rFonts w:hint="eastAsia"/>
          <w:lang w:eastAsia="ja-JP"/>
        </w:rPr>
        <w:t>れると、多くの高齢者は人道支援を受けられず、避難先での就労斡旋や技能訓練プログラムからも取り残されてしまう。これは、高齢者を能力が低く、弱い存在と見なす差別的な態度による場合や、ナイジェリア北東部で記録されているように</w:t>
      </w:r>
      <w:r w:rsidR="0052290E">
        <w:rPr>
          <w:rStyle w:val="af0"/>
          <w:lang w:eastAsia="ja-JP"/>
        </w:rPr>
        <w:footnoteReference w:id="29"/>
      </w:r>
      <w:r>
        <w:rPr>
          <w:lang w:eastAsia="ja-JP"/>
        </w:rPr>
        <w:t>、支援物資の配布場所が物理的にアクセスでき</w:t>
      </w:r>
      <w:r w:rsidR="00796CA9">
        <w:rPr>
          <w:rFonts w:hint="eastAsia"/>
          <w:lang w:eastAsia="ja-JP"/>
        </w:rPr>
        <w:t>ず</w:t>
      </w:r>
      <w:r>
        <w:rPr>
          <w:lang w:eastAsia="ja-JP"/>
        </w:rPr>
        <w:t>、不十分な支援</w:t>
      </w:r>
      <w:r>
        <w:rPr>
          <w:rFonts w:hint="eastAsia"/>
          <w:lang w:eastAsia="ja-JP"/>
        </w:rPr>
        <w:t>や苦境にある家族に依存せざるを得なくなる場合が多い</w:t>
      </w:r>
      <w:r w:rsidR="00796CA9">
        <w:rPr>
          <w:rFonts w:hint="eastAsia"/>
          <w:lang w:eastAsia="ja-JP"/>
        </w:rPr>
        <w:t>ためである</w:t>
      </w:r>
      <w:r>
        <w:rPr>
          <w:rFonts w:hint="eastAsia"/>
          <w:lang w:eastAsia="ja-JP"/>
        </w:rPr>
        <w:t>。</w:t>
      </w:r>
    </w:p>
    <w:p w14:paraId="557EA75E" w14:textId="35B29317" w:rsidR="00993B29" w:rsidRDefault="00993B29" w:rsidP="007A5673">
      <w:pPr>
        <w:ind w:leftChars="270" w:left="567"/>
        <w:rPr>
          <w:lang w:eastAsia="ja-JP"/>
        </w:rPr>
      </w:pPr>
      <w:r>
        <w:rPr>
          <w:rFonts w:hint="eastAsia"/>
          <w:lang w:eastAsia="ja-JP"/>
        </w:rPr>
        <w:t>•</w:t>
      </w:r>
      <w:r>
        <w:rPr>
          <w:lang w:eastAsia="ja-JP"/>
        </w:rPr>
        <w:t xml:space="preserve"> </w:t>
      </w:r>
      <w:r w:rsidRPr="00796CA9">
        <w:rPr>
          <w:b/>
          <w:bCs/>
          <w:lang w:eastAsia="ja-JP"/>
        </w:rPr>
        <w:t>健康権</w:t>
      </w:r>
      <w:r>
        <w:rPr>
          <w:lang w:eastAsia="ja-JP"/>
        </w:rPr>
        <w:t>：アムネスティ・インターナショナルは、医療現場における高齢者への差別</w:t>
      </w:r>
      <w:r>
        <w:rPr>
          <w:lang w:eastAsia="ja-JP"/>
        </w:rPr>
        <w:lastRenderedPageBreak/>
        <w:t>を記録してきた。我</w:t>
      </w:r>
      <w:r>
        <w:rPr>
          <w:rFonts w:hint="eastAsia"/>
          <w:lang w:eastAsia="ja-JP"/>
        </w:rPr>
        <w:t>々は、様々な避難環境において高齢者のニーズが軽視されている実態を記録しており、ミャンマーのように、高齢者に特に多い慢性疾患の基本的な医薬品さえも入手できない状況が頻繁に見られる</w:t>
      </w:r>
      <w:r w:rsidR="0052290E">
        <w:rPr>
          <w:rStyle w:val="af0"/>
          <w:lang w:eastAsia="ja-JP"/>
        </w:rPr>
        <w:footnoteReference w:id="30"/>
      </w:r>
      <w:r>
        <w:rPr>
          <w:rFonts w:hint="eastAsia"/>
          <w:lang w:eastAsia="ja-JP"/>
        </w:rPr>
        <w:t>。</w:t>
      </w:r>
      <w:r>
        <w:rPr>
          <w:lang w:eastAsia="ja-JP"/>
        </w:rPr>
        <w:t>また</w:t>
      </w:r>
      <w:r>
        <w:rPr>
          <w:rFonts w:hint="eastAsia"/>
          <w:lang w:eastAsia="ja-JP"/>
        </w:rPr>
        <w:t>、我々は、英国</w:t>
      </w:r>
      <w:r w:rsidR="0052290E">
        <w:rPr>
          <w:rStyle w:val="af0"/>
          <w:lang w:eastAsia="ja-JP"/>
        </w:rPr>
        <w:footnoteReference w:id="31"/>
      </w:r>
      <w:r>
        <w:rPr>
          <w:lang w:eastAsia="ja-JP"/>
        </w:rPr>
        <w:t>、ベルギー</w:t>
      </w:r>
      <w:r w:rsidR="0052290E">
        <w:rPr>
          <w:rStyle w:val="af0"/>
          <w:lang w:eastAsia="ja-JP"/>
        </w:rPr>
        <w:footnoteReference w:id="32"/>
      </w:r>
      <w:r>
        <w:rPr>
          <w:lang w:eastAsia="ja-JP"/>
        </w:rPr>
        <w:t>、イタリア</w:t>
      </w:r>
      <w:r w:rsidR="0052290E">
        <w:rPr>
          <w:rStyle w:val="af0"/>
          <w:lang w:eastAsia="ja-JP"/>
        </w:rPr>
        <w:footnoteReference w:id="33"/>
      </w:r>
      <w:r>
        <w:rPr>
          <w:lang w:eastAsia="ja-JP"/>
        </w:rPr>
        <w:t>、スペイン</w:t>
      </w:r>
      <w:r w:rsidR="0052290E">
        <w:rPr>
          <w:rStyle w:val="af0"/>
          <w:lang w:eastAsia="ja-JP"/>
        </w:rPr>
        <w:footnoteReference w:id="34"/>
      </w:r>
      <w:r>
        <w:rPr>
          <w:lang w:eastAsia="ja-JP"/>
        </w:rPr>
        <w:t>における新型コロナウイルス感染症（COVID-19</w:t>
      </w:r>
      <w:r>
        <w:rPr>
          <w:rFonts w:hint="eastAsia"/>
          <w:lang w:eastAsia="ja-JP"/>
        </w:rPr>
        <w:t>）パンデミック下での高齢者に対する健康権の甚だしい侵害についても記録しており、これらの国々の政策が、</w:t>
      </w:r>
      <w:r w:rsidR="00796CA9">
        <w:rPr>
          <w:rFonts w:hint="eastAsia"/>
          <w:lang w:eastAsia="ja-JP"/>
        </w:rPr>
        <w:t>ケア</w:t>
      </w:r>
      <w:r>
        <w:rPr>
          <w:rFonts w:hint="eastAsia"/>
          <w:lang w:eastAsia="ja-JP"/>
        </w:rPr>
        <w:t>施設に居住する高齢者の生命権、健康権、および</w:t>
      </w:r>
      <w:r w:rsidR="00796CA9">
        <w:rPr>
          <w:rFonts w:hint="eastAsia"/>
          <w:lang w:eastAsia="ja-JP"/>
        </w:rPr>
        <w:t>無</w:t>
      </w:r>
      <w:r>
        <w:rPr>
          <w:rFonts w:hint="eastAsia"/>
          <w:lang w:eastAsia="ja-JP"/>
        </w:rPr>
        <w:t>差別</w:t>
      </w:r>
      <w:r w:rsidR="00796CA9">
        <w:rPr>
          <w:rFonts w:hint="eastAsia"/>
          <w:lang w:eastAsia="ja-JP"/>
        </w:rPr>
        <w:t>の</w:t>
      </w:r>
      <w:r>
        <w:rPr>
          <w:rFonts w:hint="eastAsia"/>
          <w:lang w:eastAsia="ja-JP"/>
        </w:rPr>
        <w:t>権利の侵害につながったことを明らかにした。</w:t>
      </w:r>
      <w:r>
        <w:rPr>
          <w:lang w:eastAsia="ja-JP"/>
        </w:rPr>
        <w:t>こうした</w:t>
      </w:r>
      <w:r w:rsidR="00F045A4">
        <w:rPr>
          <w:rFonts w:hint="eastAsia"/>
          <w:lang w:eastAsia="ja-JP"/>
        </w:rPr>
        <w:t>権利の</w:t>
      </w:r>
      <w:r>
        <w:rPr>
          <w:lang w:eastAsia="ja-JP"/>
        </w:rPr>
        <w:t>侵害</w:t>
      </w:r>
      <w:r w:rsidR="00F045A4">
        <w:rPr>
          <w:rFonts w:hint="eastAsia"/>
          <w:lang w:eastAsia="ja-JP"/>
        </w:rPr>
        <w:t>をもたらした措置・政策には次のものが含まれる。</w:t>
      </w:r>
      <w:r>
        <w:rPr>
          <w:lang w:eastAsia="ja-JP"/>
        </w:rPr>
        <w:t>新型コロナウイルスに感染した、あるいは感染の疑いのある</w:t>
      </w:r>
      <w:r>
        <w:rPr>
          <w:rFonts w:hint="eastAsia"/>
          <w:lang w:eastAsia="ja-JP"/>
        </w:rPr>
        <w:t>患者を病院から</w:t>
      </w:r>
      <w:r w:rsidR="00F045A4">
        <w:rPr>
          <w:rFonts w:hint="eastAsia"/>
          <w:lang w:eastAsia="ja-JP"/>
        </w:rPr>
        <w:t>ケア</w:t>
      </w:r>
      <w:r>
        <w:rPr>
          <w:rFonts w:hint="eastAsia"/>
          <w:lang w:eastAsia="ja-JP"/>
        </w:rPr>
        <w:t>施設へ一斉に転院させたこと、</w:t>
      </w:r>
      <w:r w:rsidR="00F045A4">
        <w:rPr>
          <w:rFonts w:hint="eastAsia"/>
          <w:lang w:eastAsia="ja-JP"/>
        </w:rPr>
        <w:t>ケア</w:t>
      </w:r>
      <w:r>
        <w:rPr>
          <w:rFonts w:hint="eastAsia"/>
          <w:lang w:eastAsia="ja-JP"/>
        </w:rPr>
        <w:t>施設職員に対する適切な検査や個人用防護具（</w:t>
      </w:r>
      <w:r>
        <w:rPr>
          <w:lang w:eastAsia="ja-JP"/>
        </w:rPr>
        <w:t>PPE）の使用が確保されなかったこと、一</w:t>
      </w:r>
      <w:r>
        <w:rPr>
          <w:rFonts w:hint="eastAsia"/>
          <w:lang w:eastAsia="ja-JP"/>
        </w:rPr>
        <w:t>律に「蘇生措置を行わない」</w:t>
      </w:r>
      <w:r w:rsidR="00350D88">
        <w:rPr>
          <w:rFonts w:hint="eastAsia"/>
          <w:lang w:eastAsia="ja-JP"/>
        </w:rPr>
        <w:t>（</w:t>
      </w:r>
      <w:r>
        <w:rPr>
          <w:lang w:eastAsia="ja-JP"/>
        </w:rPr>
        <w:t>DNAR)命令が、本人や家族の同意なしに多くの</w:t>
      </w:r>
      <w:r w:rsidR="00F045A4">
        <w:rPr>
          <w:rFonts w:hint="eastAsia"/>
          <w:lang w:eastAsia="ja-JP"/>
        </w:rPr>
        <w:t>ケア</w:t>
      </w:r>
      <w:r>
        <w:rPr>
          <w:lang w:eastAsia="ja-JP"/>
        </w:rPr>
        <w:t>施設の入居者に対して下されたこと、入居者</w:t>
      </w:r>
      <w:r>
        <w:rPr>
          <w:rFonts w:hint="eastAsia"/>
          <w:lang w:eastAsia="ja-JP"/>
        </w:rPr>
        <w:t>の病院やその他の医療サービスへのアクセスが制限されたこと。</w:t>
      </w:r>
    </w:p>
    <w:p w14:paraId="6D738C04" w14:textId="1BA622EE" w:rsidR="00993B29" w:rsidRDefault="00993B29" w:rsidP="007A5673">
      <w:pPr>
        <w:ind w:leftChars="270" w:left="567"/>
        <w:rPr>
          <w:lang w:eastAsia="ja-JP"/>
        </w:rPr>
      </w:pPr>
      <w:r>
        <w:rPr>
          <w:rFonts w:hint="eastAsia"/>
          <w:lang w:eastAsia="ja-JP"/>
        </w:rPr>
        <w:t>•</w:t>
      </w:r>
      <w:r>
        <w:rPr>
          <w:lang w:eastAsia="ja-JP"/>
        </w:rPr>
        <w:t xml:space="preserve"> </w:t>
      </w:r>
      <w:r w:rsidRPr="00350D88">
        <w:rPr>
          <w:b/>
          <w:bCs/>
          <w:lang w:eastAsia="ja-JP"/>
        </w:rPr>
        <w:t>社会保障を受ける権利</w:t>
      </w:r>
      <w:r>
        <w:rPr>
          <w:lang w:eastAsia="ja-JP"/>
        </w:rPr>
        <w:t>：レバノン</w:t>
      </w:r>
      <w:r w:rsidR="0052290E">
        <w:rPr>
          <w:rStyle w:val="af0"/>
          <w:lang w:eastAsia="ja-JP"/>
        </w:rPr>
        <w:footnoteReference w:id="35"/>
      </w:r>
      <w:r>
        <w:rPr>
          <w:lang w:eastAsia="ja-JP"/>
        </w:rPr>
        <w:t>、ウクライナ</w:t>
      </w:r>
      <w:r w:rsidR="0052290E">
        <w:rPr>
          <w:rStyle w:val="af0"/>
          <w:lang w:eastAsia="ja-JP"/>
        </w:rPr>
        <w:footnoteReference w:id="36"/>
      </w:r>
      <w:r>
        <w:rPr>
          <w:lang w:eastAsia="ja-JP"/>
        </w:rPr>
        <w:t>、パキスタン</w:t>
      </w:r>
      <w:r w:rsidR="0052290E">
        <w:rPr>
          <w:rStyle w:val="af0"/>
          <w:lang w:eastAsia="ja-JP"/>
        </w:rPr>
        <w:footnoteReference w:id="37"/>
      </w:r>
      <w:r>
        <w:rPr>
          <w:lang w:eastAsia="ja-JP"/>
        </w:rPr>
        <w:t>、ミャンマー</w:t>
      </w:r>
      <w:r w:rsidR="0052290E">
        <w:rPr>
          <w:rStyle w:val="af0"/>
          <w:lang w:eastAsia="ja-JP"/>
        </w:rPr>
        <w:footnoteReference w:id="38"/>
      </w:r>
      <w:r>
        <w:rPr>
          <w:lang w:eastAsia="ja-JP"/>
        </w:rPr>
        <w:t>、</w:t>
      </w:r>
      <w:r>
        <w:rPr>
          <w:lang w:eastAsia="ja-JP"/>
        </w:rPr>
        <w:lastRenderedPageBreak/>
        <w:t>ナイジェリア</w:t>
      </w:r>
      <w:r w:rsidR="0052290E">
        <w:rPr>
          <w:rStyle w:val="af0"/>
          <w:lang w:eastAsia="ja-JP"/>
        </w:rPr>
        <w:footnoteReference w:id="39"/>
      </w:r>
      <w:r>
        <w:rPr>
          <w:lang w:eastAsia="ja-JP"/>
        </w:rPr>
        <w:t>など、い</w:t>
      </w:r>
      <w:r>
        <w:rPr>
          <w:rFonts w:hint="eastAsia"/>
          <w:lang w:eastAsia="ja-JP"/>
        </w:rPr>
        <w:t>くつかの国における我々の調査によると、国家は高齢者が尊厳を持って生活できることを保証する社会的</w:t>
      </w:r>
      <w:r w:rsidR="00F430F6">
        <w:rPr>
          <w:rFonts w:hint="eastAsia"/>
          <w:lang w:eastAsia="ja-JP"/>
        </w:rPr>
        <w:t>保障</w:t>
      </w:r>
      <w:r>
        <w:rPr>
          <w:rFonts w:hint="eastAsia"/>
          <w:lang w:eastAsia="ja-JP"/>
        </w:rPr>
        <w:t>を提供できていないことが多く、こうした失敗は経済危機、武力紛争、あるいは気候変動によってさらに悪化する可能性がある</w:t>
      </w:r>
      <w:r w:rsidR="0052290E">
        <w:rPr>
          <w:rStyle w:val="af0"/>
          <w:lang w:eastAsia="ja-JP"/>
        </w:rPr>
        <w:footnoteReference w:id="40"/>
      </w:r>
      <w:r>
        <w:rPr>
          <w:rFonts w:hint="eastAsia"/>
          <w:lang w:eastAsia="ja-JP"/>
        </w:rPr>
        <w:t>。</w:t>
      </w:r>
      <w:r>
        <w:rPr>
          <w:lang w:eastAsia="ja-JP"/>
        </w:rPr>
        <w:t>レバノンでは、2019 年以降の経済危機により、もともと断片的</w:t>
      </w:r>
      <w:r w:rsidR="00882DD6" w:rsidRPr="00882DD6">
        <w:rPr>
          <w:rFonts w:hint="eastAsia"/>
          <w:sz w:val="18"/>
          <w:szCs w:val="18"/>
          <w:lang w:eastAsia="ja-JP"/>
        </w:rPr>
        <w:t>（訳注　国民の一部しかカバーしていない）</w:t>
      </w:r>
      <w:r>
        <w:rPr>
          <w:lang w:eastAsia="ja-JP"/>
        </w:rPr>
        <w:t>で主に正規</w:t>
      </w:r>
      <w:r>
        <w:rPr>
          <w:rFonts w:hint="eastAsia"/>
          <w:lang w:eastAsia="ja-JP"/>
        </w:rPr>
        <w:t>雇用に結びついていた社会</w:t>
      </w:r>
      <w:r w:rsidR="00F430F6">
        <w:rPr>
          <w:rFonts w:hint="eastAsia"/>
          <w:lang w:eastAsia="ja-JP"/>
        </w:rPr>
        <w:t>的保障の</w:t>
      </w:r>
      <w:r>
        <w:rPr>
          <w:rFonts w:hint="eastAsia"/>
          <w:lang w:eastAsia="ja-JP"/>
        </w:rPr>
        <w:t>制度が壊滅的な打撃を受けた。</w:t>
      </w:r>
      <w:r>
        <w:rPr>
          <w:lang w:eastAsia="ja-JP"/>
        </w:rPr>
        <w:t>ハイパーインフレにより年金や生涯の貯蓄</w:t>
      </w:r>
      <w:r>
        <w:rPr>
          <w:rFonts w:hint="eastAsia"/>
          <w:lang w:eastAsia="ja-JP"/>
        </w:rPr>
        <w:t>の価値が目減りし、多くの高齢者――特にインフォーマル部門で働いていた人々――が基本的な所得保障を受けられなくなった。高齢女性は正規の労働力に属していた可能性が低いため、この状況には</w:t>
      </w:r>
      <w:r w:rsidR="00093EFC">
        <w:rPr>
          <w:rFonts w:hint="eastAsia"/>
          <w:lang w:eastAsia="ja-JP"/>
        </w:rPr>
        <w:t>大きな</w:t>
      </w:r>
      <w:r>
        <w:rPr>
          <w:rFonts w:hint="eastAsia"/>
          <w:lang w:eastAsia="ja-JP"/>
        </w:rPr>
        <w:t>ジェンダー</w:t>
      </w:r>
      <w:r w:rsidR="00093EFC">
        <w:rPr>
          <w:rFonts w:hint="eastAsia"/>
          <w:lang w:eastAsia="ja-JP"/>
        </w:rPr>
        <w:t>による偏り</w:t>
      </w:r>
      <w:r>
        <w:rPr>
          <w:rFonts w:hint="eastAsia"/>
          <w:lang w:eastAsia="ja-JP"/>
        </w:rPr>
        <w:t>がある。ウクライナでは、</w:t>
      </w:r>
      <w:r>
        <w:rPr>
          <w:lang w:eastAsia="ja-JP"/>
        </w:rPr>
        <w:t>2022年のロシアによる全面侵攻後の急速なインフレに年金が追い</w:t>
      </w:r>
      <w:r>
        <w:rPr>
          <w:rFonts w:hint="eastAsia"/>
          <w:lang w:eastAsia="ja-JP"/>
        </w:rPr>
        <w:t>ついていない。</w:t>
      </w:r>
      <w:r>
        <w:rPr>
          <w:lang w:eastAsia="ja-JP"/>
        </w:rPr>
        <w:t>2024年末時点で、年金受給者の約62％が実質的な最低生活費を下回る支給額しか受け取っ</w:t>
      </w:r>
      <w:r>
        <w:rPr>
          <w:rFonts w:hint="eastAsia"/>
          <w:lang w:eastAsia="ja-JP"/>
        </w:rPr>
        <w:t>ていなかった。この経済的不安定に加え、避難民にとっての住宅費の高騰が重なり、何千人もの人々が障害者向け国営施設への入所を余儀なくされている。パキスタンでは、高齢や障害のために働けない人々に対する普遍的な社会</w:t>
      </w:r>
      <w:r w:rsidR="00093EFC">
        <w:rPr>
          <w:rFonts w:hint="eastAsia"/>
          <w:lang w:eastAsia="ja-JP"/>
        </w:rPr>
        <w:t>的保障の</w:t>
      </w:r>
      <w:r>
        <w:rPr>
          <w:rFonts w:hint="eastAsia"/>
          <w:lang w:eastAsia="ja-JP"/>
        </w:rPr>
        <w:t>制度が存在せず、既存の年金制度は国内の年金受給年齢層の</w:t>
      </w:r>
      <w:r>
        <w:rPr>
          <w:lang w:eastAsia="ja-JP"/>
        </w:rPr>
        <w:t>20％未満しかカバー</w:t>
      </w:r>
      <w:r>
        <w:rPr>
          <w:rFonts w:hint="eastAsia"/>
          <w:lang w:eastAsia="ja-JP"/>
        </w:rPr>
        <w:t>していない。</w:t>
      </w:r>
      <w:r>
        <w:rPr>
          <w:lang w:eastAsia="ja-JP"/>
        </w:rPr>
        <w:t>その結果、高齢者の多くは、洪水や熱波といった気候変動に関連する事象に直面しても、生</w:t>
      </w:r>
      <w:r>
        <w:rPr>
          <w:rFonts w:hint="eastAsia"/>
          <w:lang w:eastAsia="ja-JP"/>
        </w:rPr>
        <w:t>計を維持するのに苦労することが多かった。これにより、</w:t>
      </w:r>
      <w:r w:rsidR="00093EFC">
        <w:rPr>
          <w:rFonts w:hint="eastAsia"/>
          <w:lang w:eastAsia="ja-JP"/>
        </w:rPr>
        <w:t>代わりの</w:t>
      </w:r>
      <w:r>
        <w:rPr>
          <w:rFonts w:hint="eastAsia"/>
          <w:lang w:eastAsia="ja-JP"/>
        </w:rPr>
        <w:t>収入がないため換気のない場所や屋外での労働を続けた高齢労働者の間で、暑さによる死亡事例が発生している。</w:t>
      </w:r>
    </w:p>
    <w:p w14:paraId="6AC82733" w14:textId="15E5FB19" w:rsidR="00993B29" w:rsidRDefault="00993B29" w:rsidP="007A5673">
      <w:pPr>
        <w:ind w:leftChars="270" w:left="567"/>
        <w:rPr>
          <w:lang w:eastAsia="ja-JP"/>
        </w:rPr>
      </w:pPr>
      <w:r>
        <w:rPr>
          <w:rFonts w:hint="eastAsia"/>
          <w:lang w:eastAsia="ja-JP"/>
        </w:rPr>
        <w:t>•</w:t>
      </w:r>
      <w:r>
        <w:rPr>
          <w:lang w:eastAsia="ja-JP"/>
        </w:rPr>
        <w:t xml:space="preserve"> </w:t>
      </w:r>
      <w:r w:rsidRPr="00350D88">
        <w:rPr>
          <w:b/>
          <w:bCs/>
          <w:lang w:eastAsia="ja-JP"/>
        </w:rPr>
        <w:t>司法へのアクセスと実効的な救済を受ける権利</w:t>
      </w:r>
      <w:r>
        <w:rPr>
          <w:lang w:eastAsia="ja-JP"/>
        </w:rPr>
        <w:t xml:space="preserve">： </w:t>
      </w:r>
      <w:r w:rsidRPr="00B90C5B">
        <w:rPr>
          <w:lang w:eastAsia="ja-JP"/>
        </w:rPr>
        <w:t>また、我々は、条約が、</w:t>
      </w:r>
      <w:r>
        <w:rPr>
          <w:lang w:eastAsia="ja-JP"/>
        </w:rPr>
        <w:t>手続き上の配慮や年齢に</w:t>
      </w:r>
      <w:r>
        <w:rPr>
          <w:rFonts w:hint="eastAsia"/>
          <w:lang w:eastAsia="ja-JP"/>
        </w:rPr>
        <w:t>応じた配慮の提供などを通じて、高齢者が他の人と</w:t>
      </w:r>
      <w:r w:rsidR="00B90C5B">
        <w:rPr>
          <w:rFonts w:hint="eastAsia"/>
          <w:lang w:eastAsia="ja-JP"/>
        </w:rPr>
        <w:t>平等に</w:t>
      </w:r>
      <w:r>
        <w:rPr>
          <w:rFonts w:hint="eastAsia"/>
          <w:lang w:eastAsia="ja-JP"/>
        </w:rPr>
        <w:t>司法への効果的なアクセスと実効的な救済を受ける権利を保障すべきであると考える。これらの配慮</w:t>
      </w:r>
      <w:r w:rsidR="00B90C5B">
        <w:rPr>
          <w:rFonts w:hint="eastAsia"/>
          <w:lang w:eastAsia="ja-JP"/>
        </w:rPr>
        <w:t>によって</w:t>
      </w:r>
      <w:r>
        <w:rPr>
          <w:rFonts w:hint="eastAsia"/>
          <w:lang w:eastAsia="ja-JP"/>
        </w:rPr>
        <w:t>、捜査やその他の予備段階を含め、高齢者自身に関わるあらゆる法的手続きにおいて、証人を含む直接的・間接的な参加者としての彼らの効果的な役割を促進す</w:t>
      </w:r>
      <w:r w:rsidR="00B90C5B">
        <w:rPr>
          <w:rFonts w:hint="eastAsia"/>
          <w:lang w:eastAsia="ja-JP"/>
        </w:rPr>
        <w:t>べきである。また</w:t>
      </w:r>
      <w:r>
        <w:rPr>
          <w:rFonts w:hint="eastAsia"/>
          <w:lang w:eastAsia="ja-JP"/>
        </w:rPr>
        <w:t>、警察や刑務所職員を含む司法行政分野で働く者に対する適切な研修を推進すべきである。</w:t>
      </w:r>
    </w:p>
    <w:p w14:paraId="6FF46AF8" w14:textId="77777777" w:rsidR="00D93294" w:rsidRDefault="00D93294" w:rsidP="00993B29">
      <w:pPr>
        <w:rPr>
          <w:lang w:eastAsia="ja-JP"/>
        </w:rPr>
      </w:pPr>
    </w:p>
    <w:p w14:paraId="1B94CE75" w14:textId="6D123E7E" w:rsidR="00993B29" w:rsidRDefault="00993B29" w:rsidP="0032266B">
      <w:pPr>
        <w:rPr>
          <w:lang w:eastAsia="ja-JP"/>
        </w:rPr>
      </w:pPr>
      <w:r>
        <w:rPr>
          <w:lang w:eastAsia="ja-JP"/>
        </w:rPr>
        <w:t xml:space="preserve">6. </w:t>
      </w:r>
      <w:r w:rsidRPr="0032266B">
        <w:rPr>
          <w:b/>
          <w:bCs/>
          <w:lang w:eastAsia="ja-JP"/>
        </w:rPr>
        <w:t>実施と監視</w:t>
      </w:r>
      <w:r>
        <w:rPr>
          <w:lang w:eastAsia="ja-JP"/>
        </w:rPr>
        <w:t>：</w:t>
      </w:r>
    </w:p>
    <w:p w14:paraId="1C471D1C" w14:textId="51BCEE01" w:rsidR="00993B29" w:rsidRDefault="00993B29" w:rsidP="007A5673">
      <w:pPr>
        <w:ind w:leftChars="270" w:left="567"/>
        <w:rPr>
          <w:lang w:eastAsia="ja-JP"/>
        </w:rPr>
      </w:pPr>
      <w:r>
        <w:rPr>
          <w:rFonts w:hint="eastAsia"/>
          <w:lang w:eastAsia="ja-JP"/>
        </w:rPr>
        <w:t>•</w:t>
      </w:r>
      <w:r>
        <w:rPr>
          <w:lang w:eastAsia="ja-JP"/>
        </w:rPr>
        <w:t xml:space="preserve"> </w:t>
      </w:r>
      <w:r w:rsidRPr="00B90C5B">
        <w:rPr>
          <w:b/>
          <w:bCs/>
          <w:lang w:eastAsia="ja-JP"/>
        </w:rPr>
        <w:t>実施</w:t>
      </w:r>
      <w:r>
        <w:rPr>
          <w:lang w:eastAsia="ja-JP"/>
        </w:rPr>
        <w:t>：条約は、高齢者の人権の可視性を高めるため、体系的かつ年齢別データ収集</w:t>
      </w:r>
      <w:r>
        <w:rPr>
          <w:lang w:eastAsia="ja-JP"/>
        </w:rPr>
        <w:lastRenderedPageBreak/>
        <w:t>を義務付けるべきで</w:t>
      </w:r>
      <w:r>
        <w:rPr>
          <w:rFonts w:hint="eastAsia"/>
          <w:lang w:eastAsia="ja-JP"/>
        </w:rPr>
        <w:t>ある</w:t>
      </w:r>
      <w:r w:rsidR="0052290E">
        <w:rPr>
          <w:rStyle w:val="af0"/>
          <w:lang w:eastAsia="ja-JP"/>
        </w:rPr>
        <w:footnoteReference w:id="41"/>
      </w:r>
      <w:r>
        <w:rPr>
          <w:rFonts w:hint="eastAsia"/>
          <w:lang w:eastAsia="ja-JP"/>
        </w:rPr>
        <w:t>。</w:t>
      </w:r>
      <w:r>
        <w:rPr>
          <w:lang w:eastAsia="ja-JP"/>
        </w:rPr>
        <w:t>また、技術・研究交流のための国際協力を促進し</w:t>
      </w:r>
      <w:r w:rsidR="0052290E">
        <w:rPr>
          <w:rStyle w:val="af0"/>
          <w:lang w:eastAsia="ja-JP"/>
        </w:rPr>
        <w:footnoteReference w:id="42"/>
      </w:r>
      <w:r>
        <w:rPr>
          <w:lang w:eastAsia="ja-JP"/>
        </w:rPr>
        <w:t>、高齢者</w:t>
      </w:r>
      <w:r w:rsidR="00B90C5B">
        <w:rPr>
          <w:rFonts w:hint="eastAsia"/>
          <w:lang w:eastAsia="ja-JP"/>
        </w:rPr>
        <w:t>およびその代表組織</w:t>
      </w:r>
      <w:r>
        <w:rPr>
          <w:lang w:eastAsia="ja-JP"/>
        </w:rPr>
        <w:t>の積極的な参加を保障する国内実施メ</w:t>
      </w:r>
      <w:r>
        <w:rPr>
          <w:rFonts w:hint="eastAsia"/>
          <w:lang w:eastAsia="ja-JP"/>
        </w:rPr>
        <w:t>カニズムを要求すべきである</w:t>
      </w:r>
      <w:r w:rsidR="00B90C5B">
        <w:rPr>
          <w:rStyle w:val="af0"/>
          <w:lang w:eastAsia="ja-JP"/>
        </w:rPr>
        <w:footnoteReference w:id="43"/>
      </w:r>
      <w:r w:rsidR="00B90C5B">
        <w:rPr>
          <w:rFonts w:hint="eastAsia"/>
          <w:lang w:eastAsia="ja-JP"/>
        </w:rPr>
        <w:t>。</w:t>
      </w:r>
      <w:r>
        <w:rPr>
          <w:lang w:eastAsia="ja-JP"/>
        </w:rPr>
        <w:t>これらの規定は、CRPD の構成に従って独立したセクションとして盛</w:t>
      </w:r>
      <w:r>
        <w:rPr>
          <w:rFonts w:hint="eastAsia"/>
          <w:lang w:eastAsia="ja-JP"/>
        </w:rPr>
        <w:t>り込むことも、</w:t>
      </w:r>
      <w:r w:rsidRPr="00B90C5B">
        <w:rPr>
          <w:rFonts w:hint="eastAsia"/>
          <w:b/>
          <w:bCs/>
          <w:lang w:eastAsia="ja-JP"/>
        </w:rPr>
        <w:t>一般的義務</w:t>
      </w:r>
      <w:r>
        <w:rPr>
          <w:rFonts w:hint="eastAsia"/>
          <w:lang w:eastAsia="ja-JP"/>
        </w:rPr>
        <w:t>に関するセクションに含めることもできる。</w:t>
      </w:r>
    </w:p>
    <w:p w14:paraId="53E1D13B" w14:textId="7BF735C3" w:rsidR="00993B29" w:rsidRDefault="00993B29" w:rsidP="007A5673">
      <w:pPr>
        <w:ind w:leftChars="270" w:left="567"/>
        <w:rPr>
          <w:lang w:eastAsia="ja-JP"/>
        </w:rPr>
      </w:pPr>
      <w:r>
        <w:rPr>
          <w:rFonts w:hint="eastAsia"/>
          <w:lang w:eastAsia="ja-JP"/>
        </w:rPr>
        <w:t>•</w:t>
      </w:r>
      <w:r>
        <w:rPr>
          <w:lang w:eastAsia="ja-JP"/>
        </w:rPr>
        <w:t xml:space="preserve"> </w:t>
      </w:r>
      <w:r w:rsidRPr="00917A74">
        <w:rPr>
          <w:b/>
          <w:bCs/>
          <w:lang w:eastAsia="ja-JP"/>
        </w:rPr>
        <w:t>監視</w:t>
      </w:r>
      <w:r>
        <w:rPr>
          <w:lang w:eastAsia="ja-JP"/>
        </w:rPr>
        <w:t>：</w:t>
      </w:r>
      <w:r w:rsidRPr="00860011">
        <w:rPr>
          <w:lang w:eastAsia="ja-JP"/>
        </w:rPr>
        <w:t>条約には、既存の手続きを踏ま</w:t>
      </w:r>
      <w:r>
        <w:rPr>
          <w:lang w:eastAsia="ja-JP"/>
        </w:rPr>
        <w:t>えつつ、高齢者、市民社会組織、および国内人権機関の参加を確保</w:t>
      </w:r>
      <w:r>
        <w:rPr>
          <w:rFonts w:hint="eastAsia"/>
          <w:lang w:eastAsia="ja-JP"/>
        </w:rPr>
        <w:t>する革新的かつ効果的な監視手続き、ならびに国内の司法メカニズムが機能しなかった場合の有効な救済措置を含めるべきである。救済措置は、障害のある高齢者、識字能力の低い高齢者、デジタル技術へのアクセスが限られている高齢者、あるいはアクセスにその他の障壁を抱える高齢者を含め、すべての高齢者が利用できるようにしなければならない。</w:t>
      </w:r>
    </w:p>
    <w:p w14:paraId="369BCFAD" w14:textId="77777777" w:rsidR="00993B29" w:rsidRDefault="00993B29" w:rsidP="00993B29">
      <w:pPr>
        <w:rPr>
          <w:lang w:eastAsia="ja-JP"/>
        </w:rPr>
      </w:pPr>
    </w:p>
    <w:p w14:paraId="14F71BCF" w14:textId="1130A9B2" w:rsidR="00860011" w:rsidRDefault="00860011" w:rsidP="00EB3046">
      <w:pPr>
        <w:ind w:firstLineChars="100" w:firstLine="210"/>
        <w:rPr>
          <w:rFonts w:hint="eastAsia"/>
          <w:lang w:eastAsia="ja-JP"/>
        </w:rPr>
      </w:pPr>
      <w:r w:rsidRPr="00860011">
        <w:rPr>
          <w:rFonts w:hint="eastAsia"/>
          <w:lang w:eastAsia="ja-JP"/>
        </w:rPr>
        <w:t>アムネスティ・インターナショナルは、</w:t>
      </w:r>
      <w:r w:rsidRPr="00860011">
        <w:rPr>
          <w:lang w:eastAsia="ja-JP"/>
        </w:rPr>
        <w:t>1,000万人の人々からなる運動体であり、すべての人の中にある人間性を呼び覚まし、誰もが人権を享受できるよう変化を求めて活動してい</w:t>
      </w:r>
      <w:r w:rsidR="00EB3046">
        <w:rPr>
          <w:rFonts w:hint="eastAsia"/>
          <w:lang w:eastAsia="ja-JP"/>
        </w:rPr>
        <w:t>る</w:t>
      </w:r>
      <w:r w:rsidRPr="00860011">
        <w:rPr>
          <w:lang w:eastAsia="ja-JP"/>
        </w:rPr>
        <w:t>。私たちの</w:t>
      </w:r>
      <w:r w:rsidR="00EB3046">
        <w:rPr>
          <w:rFonts w:hint="eastAsia"/>
          <w:lang w:eastAsia="ja-JP"/>
        </w:rPr>
        <w:t>目標は</w:t>
      </w:r>
      <w:r w:rsidRPr="00860011">
        <w:rPr>
          <w:lang w:eastAsia="ja-JP"/>
        </w:rPr>
        <w:t>、権力者が約束を守り、国際法を尊重し、その責任を問われる世界で</w:t>
      </w:r>
      <w:r w:rsidR="00EB3046">
        <w:rPr>
          <w:rFonts w:hint="eastAsia"/>
          <w:lang w:eastAsia="ja-JP"/>
        </w:rPr>
        <w:t>ある</w:t>
      </w:r>
      <w:r w:rsidRPr="00860011">
        <w:rPr>
          <w:lang w:eastAsia="ja-JP"/>
        </w:rPr>
        <w:t>。私たちは、いかなる政府、政治的イデオロギー、経済的利益、宗教からも独立しており、主に会費と個人からの寄付によって運営されてい</w:t>
      </w:r>
      <w:r w:rsidR="00EB3046">
        <w:rPr>
          <w:rFonts w:hint="eastAsia"/>
          <w:lang w:eastAsia="ja-JP"/>
        </w:rPr>
        <w:t>る</w:t>
      </w:r>
      <w:r w:rsidRPr="00860011">
        <w:rPr>
          <w:lang w:eastAsia="ja-JP"/>
        </w:rPr>
        <w:t>。私たちは、世界中の人々と連帯し、思いやりを持って行動することで、社会をより良い方向に変えられると信じてい</w:t>
      </w:r>
      <w:r w:rsidR="00EB3046">
        <w:rPr>
          <w:rFonts w:hint="eastAsia"/>
          <w:lang w:eastAsia="ja-JP"/>
        </w:rPr>
        <w:t>る</w:t>
      </w:r>
      <w:r w:rsidRPr="00860011">
        <w:rPr>
          <w:lang w:eastAsia="ja-JP"/>
        </w:rPr>
        <w:t>。</w:t>
      </w:r>
    </w:p>
    <w:p w14:paraId="69F61A10" w14:textId="77777777" w:rsidR="00993B29" w:rsidRDefault="00993B29" w:rsidP="00993B29">
      <w:pPr>
        <w:rPr>
          <w:lang w:eastAsia="ja-JP"/>
        </w:rPr>
      </w:pPr>
    </w:p>
    <w:p w14:paraId="018903B8" w14:textId="3168B0C5" w:rsidR="00993B29" w:rsidRDefault="00993B29" w:rsidP="00B4267A">
      <w:pPr>
        <w:ind w:leftChars="1282" w:left="2692" w:firstLineChars="100" w:firstLine="210"/>
        <w:rPr>
          <w:lang w:eastAsia="ja-JP"/>
        </w:rPr>
      </w:pPr>
      <w:r>
        <w:rPr>
          <w:rFonts w:hint="eastAsia"/>
          <w:lang w:eastAsia="ja-JP"/>
        </w:rPr>
        <w:t>特に記載がない限り、本</w:t>
      </w:r>
      <w:r w:rsidR="00EB3046">
        <w:rPr>
          <w:rFonts w:hint="eastAsia"/>
          <w:lang w:eastAsia="ja-JP"/>
        </w:rPr>
        <w:t>報告の内容</w:t>
      </w:r>
      <w:r>
        <w:rPr>
          <w:rFonts w:hint="eastAsia"/>
          <w:lang w:eastAsia="ja-JP"/>
        </w:rPr>
        <w:t>はクリエイティブ・コモンズ（</w:t>
      </w:r>
      <w:r w:rsidR="00B4267A">
        <w:rPr>
          <w:rFonts w:hint="eastAsia"/>
          <w:lang w:eastAsia="ja-JP"/>
        </w:rPr>
        <w:t>帰属</w:t>
      </w:r>
      <w:r>
        <w:rPr>
          <w:rFonts w:hint="eastAsia"/>
          <w:lang w:eastAsia="ja-JP"/>
        </w:rPr>
        <w:t>、非営利、改変禁止、国際</w:t>
      </w:r>
      <w:r>
        <w:rPr>
          <w:lang w:eastAsia="ja-JP"/>
        </w:rPr>
        <w:t xml:space="preserve"> 4.0）ライ</w:t>
      </w:r>
      <w:r>
        <w:rPr>
          <w:rFonts w:hint="eastAsia"/>
          <w:lang w:eastAsia="ja-JP"/>
        </w:rPr>
        <w:t>センス（</w:t>
      </w:r>
      <w:r>
        <w:rPr>
          <w:lang w:eastAsia="ja-JP"/>
        </w:rPr>
        <w:t>creativecommons.org/licenses/by-nc-nd/4.0/legalcode 参照）の下でライセンスされてい</w:t>
      </w:r>
      <w:r w:rsidR="00917A74">
        <w:rPr>
          <w:rFonts w:hint="eastAsia"/>
          <w:lang w:eastAsia="ja-JP"/>
        </w:rPr>
        <w:t>る</w:t>
      </w:r>
      <w:r>
        <w:rPr>
          <w:lang w:eastAsia="ja-JP"/>
        </w:rPr>
        <w:t>。</w:t>
      </w:r>
      <w:r>
        <w:rPr>
          <w:rFonts w:hint="eastAsia"/>
          <w:lang w:eastAsia="ja-JP"/>
        </w:rPr>
        <w:t>アムネスティ・インターナショナル以外の著作権者に帰属する素材については、クリエイティブ・コモンズ・ライセンスの対象外とな</w:t>
      </w:r>
      <w:r w:rsidR="00917A74">
        <w:rPr>
          <w:rFonts w:hint="eastAsia"/>
          <w:lang w:eastAsia="ja-JP"/>
        </w:rPr>
        <w:t>る</w:t>
      </w:r>
      <w:r>
        <w:rPr>
          <w:rFonts w:hint="eastAsia"/>
          <w:lang w:eastAsia="ja-JP"/>
        </w:rPr>
        <w:t>。</w:t>
      </w:r>
    </w:p>
    <w:p w14:paraId="19ABFD79" w14:textId="32E11433" w:rsidR="00993B29" w:rsidRDefault="00993B29" w:rsidP="00B4267A">
      <w:pPr>
        <w:ind w:leftChars="1282" w:left="2692" w:firstLineChars="100" w:firstLine="210"/>
        <w:rPr>
          <w:lang w:eastAsia="ja-JP"/>
        </w:rPr>
      </w:pPr>
      <w:r>
        <w:rPr>
          <w:rFonts w:hint="eastAsia"/>
          <w:lang w:eastAsia="ja-JP"/>
        </w:rPr>
        <w:t>詳細については、アムネスティ・インターナショナルのウェブサイトにある「使用許諾」のページを</w:t>
      </w:r>
      <w:r w:rsidR="00917A74">
        <w:rPr>
          <w:rFonts w:hint="eastAsia"/>
          <w:lang w:eastAsia="ja-JP"/>
        </w:rPr>
        <w:t>参照のこと。</w:t>
      </w:r>
    </w:p>
    <w:p w14:paraId="11350EB3" w14:textId="7ECF6B47" w:rsidR="00993B29" w:rsidRDefault="00993B29" w:rsidP="00993B29">
      <w:pPr>
        <w:rPr>
          <w:lang w:eastAsia="ja-JP"/>
        </w:rPr>
      </w:pPr>
      <w:r>
        <w:rPr>
          <w:rFonts w:hint="eastAsia"/>
          <w:lang w:eastAsia="ja-JP"/>
        </w:rPr>
        <w:t>問い合わせ</w:t>
      </w:r>
    </w:p>
    <w:p w14:paraId="3B8196F6" w14:textId="77777777" w:rsidR="00993B29" w:rsidRDefault="00993B29" w:rsidP="00993B29">
      <w:pPr>
        <w:rPr>
          <w:lang w:eastAsia="ja-JP"/>
        </w:rPr>
      </w:pPr>
      <w:r>
        <w:rPr>
          <w:lang w:eastAsia="ja-JP"/>
        </w:rPr>
        <w:t>info@amnesty.org amnesty.org</w:t>
      </w:r>
    </w:p>
    <w:p w14:paraId="438BA162" w14:textId="77777777" w:rsidR="00B4267A" w:rsidRDefault="00B4267A" w:rsidP="00B4267A">
      <w:pPr>
        <w:rPr>
          <w:lang w:eastAsia="ja-JP"/>
        </w:rPr>
      </w:pPr>
      <w:r>
        <w:rPr>
          <w:lang w:eastAsia="ja-JP"/>
        </w:rPr>
        <w:t>Amnesty International</w:t>
      </w:r>
    </w:p>
    <w:p w14:paraId="1DA74DEB" w14:textId="7054CD2A" w:rsidR="00860011" w:rsidRDefault="00B4267A" w:rsidP="00860011">
      <w:pPr>
        <w:rPr>
          <w:lang w:eastAsia="ja-JP"/>
        </w:rPr>
      </w:pPr>
      <w:r>
        <w:rPr>
          <w:lang w:eastAsia="ja-JP"/>
        </w:rPr>
        <w:t>Peter Benenson House</w:t>
      </w:r>
      <w:r>
        <w:rPr>
          <w:rFonts w:hint="eastAsia"/>
          <w:lang w:eastAsia="ja-JP"/>
        </w:rPr>
        <w:t xml:space="preserve"> </w:t>
      </w:r>
      <w:r>
        <w:rPr>
          <w:lang w:eastAsia="ja-JP"/>
        </w:rPr>
        <w:t>1 Easton Street</w:t>
      </w:r>
      <w:r>
        <w:rPr>
          <w:rFonts w:hint="eastAsia"/>
          <w:lang w:eastAsia="ja-JP"/>
        </w:rPr>
        <w:t xml:space="preserve"> </w:t>
      </w:r>
      <w:r>
        <w:rPr>
          <w:lang w:eastAsia="ja-JP"/>
        </w:rPr>
        <w:t>London WC1X 0DW, UK</w:t>
      </w:r>
    </w:p>
    <w:p w14:paraId="0FC34E19" w14:textId="77777777" w:rsidR="00B4267A" w:rsidRDefault="00B4267A" w:rsidP="00860011">
      <w:pPr>
        <w:rPr>
          <w:lang w:eastAsia="ja-JP"/>
        </w:rPr>
      </w:pPr>
    </w:p>
    <w:p w14:paraId="233B1E66" w14:textId="0533DD92" w:rsidR="00B4267A" w:rsidRDefault="00B4267A" w:rsidP="00B4267A">
      <w:pPr>
        <w:jc w:val="right"/>
        <w:rPr>
          <w:rFonts w:hint="eastAsia"/>
          <w:lang w:eastAsia="ja-JP"/>
        </w:rPr>
      </w:pPr>
      <w:r>
        <w:rPr>
          <w:rFonts w:hint="eastAsia"/>
          <w:lang w:eastAsia="ja-JP"/>
        </w:rPr>
        <w:t>（翻訳・佐藤久夫、　　　　）</w:t>
      </w:r>
    </w:p>
    <w:sectPr w:rsidR="00B4267A" w:rsidSect="006A05DC">
      <w:footerReference w:type="even" r:id="rId7"/>
      <w:footerReference w:type="default" r:id="rId8"/>
      <w:pgSz w:w="11907" w:h="16840" w:code="9"/>
      <w:pgMar w:top="1985" w:right="1701" w:bottom="1701" w:left="1701" w:header="851" w:footer="567" w:gutter="0"/>
      <w:cols w:space="425"/>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61E41" w14:textId="77777777" w:rsidR="00D93294" w:rsidRDefault="00D93294" w:rsidP="00D93294">
      <w:r>
        <w:separator/>
      </w:r>
    </w:p>
  </w:endnote>
  <w:endnote w:type="continuationSeparator" w:id="0">
    <w:p w14:paraId="4EBF1857" w14:textId="77777777" w:rsidR="00D93294" w:rsidRDefault="00D93294" w:rsidP="00D93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756575"/>
      <w:docPartObj>
        <w:docPartGallery w:val="Page Numbers (Bottom of Page)"/>
        <w:docPartUnique/>
      </w:docPartObj>
    </w:sdtPr>
    <w:sdtEndPr/>
    <w:sdtContent>
      <w:p w14:paraId="6D916572" w14:textId="22295858" w:rsidR="00D93294" w:rsidRDefault="00D93294">
        <w:pPr>
          <w:pStyle w:val="ac"/>
        </w:pPr>
        <w:r>
          <w:fldChar w:fldCharType="begin"/>
        </w:r>
        <w:r>
          <w:instrText>PAGE   \* MERGEFORMAT</w:instrText>
        </w:r>
        <w:r>
          <w:fldChar w:fldCharType="separate"/>
        </w:r>
        <w:r>
          <w:rPr>
            <w:lang w:val="ja-JP" w:eastAsia="ja-JP"/>
          </w:rPr>
          <w:t>2</w:t>
        </w:r>
        <w:r>
          <w:fldChar w:fldCharType="end"/>
        </w:r>
      </w:p>
    </w:sdtContent>
  </w:sdt>
  <w:p w14:paraId="3ACC4576" w14:textId="77777777" w:rsidR="00D93294" w:rsidRDefault="00D93294">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260120"/>
      <w:docPartObj>
        <w:docPartGallery w:val="Page Numbers (Bottom of Page)"/>
        <w:docPartUnique/>
      </w:docPartObj>
    </w:sdtPr>
    <w:sdtEndPr/>
    <w:sdtContent>
      <w:p w14:paraId="6FBD63FF" w14:textId="00AC8D68" w:rsidR="00D93294" w:rsidRDefault="00D93294">
        <w:pPr>
          <w:pStyle w:val="ac"/>
        </w:pPr>
        <w:r>
          <w:fldChar w:fldCharType="begin"/>
        </w:r>
        <w:r>
          <w:instrText>PAGE   \* MERGEFORMAT</w:instrText>
        </w:r>
        <w:r>
          <w:fldChar w:fldCharType="separate"/>
        </w:r>
        <w:r>
          <w:rPr>
            <w:lang w:val="ja-JP" w:eastAsia="ja-JP"/>
          </w:rPr>
          <w:t>2</w:t>
        </w:r>
        <w:r>
          <w:fldChar w:fldCharType="end"/>
        </w:r>
      </w:p>
    </w:sdtContent>
  </w:sdt>
  <w:p w14:paraId="58FCAED6" w14:textId="77777777" w:rsidR="00D93294" w:rsidRDefault="00D9329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D83C5" w14:textId="77777777" w:rsidR="00D93294" w:rsidRDefault="00D93294" w:rsidP="00D93294">
      <w:r>
        <w:separator/>
      </w:r>
    </w:p>
  </w:footnote>
  <w:footnote w:type="continuationSeparator" w:id="0">
    <w:p w14:paraId="0251F9BB" w14:textId="77777777" w:rsidR="00D93294" w:rsidRDefault="00D93294" w:rsidP="00D93294">
      <w:r>
        <w:continuationSeparator/>
      </w:r>
    </w:p>
  </w:footnote>
  <w:footnote w:id="1">
    <w:p w14:paraId="4A164238" w14:textId="19EE2084" w:rsidR="0052290E" w:rsidRPr="00BE3A32" w:rsidRDefault="0052290E" w:rsidP="00BE3A32">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sz w:val="18"/>
          <w:szCs w:val="18"/>
        </w:rPr>
        <w:t xml:space="preserve"> </w:t>
      </w:r>
      <w:r w:rsidR="008C5B74" w:rsidRPr="00BE3A32">
        <w:rPr>
          <w:sz w:val="18"/>
          <w:szCs w:val="18"/>
        </w:rPr>
        <w:t>本報告書において、アムネスティ・インターナショナルは、法的拘束力のある文書が「条約法に関するウィーン条約」上の条約の形式をとるものと想定し、「法的拘束力のある文書」と「条約」という用語を同義として使用している。</w:t>
      </w:r>
      <w:r w:rsidR="00BE3A32" w:rsidRPr="00BE3A32">
        <w:rPr>
          <w:sz w:val="18"/>
          <w:szCs w:val="18"/>
        </w:rPr>
        <w:t xml:space="preserve"> </w:t>
      </w:r>
    </w:p>
  </w:footnote>
  <w:footnote w:id="2">
    <w:p w14:paraId="39E2C5CC" w14:textId="5F62288A"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8C5B74" w:rsidRPr="00BE3A32">
        <w:rPr>
          <w:sz w:val="18"/>
          <w:szCs w:val="18"/>
        </w:rPr>
        <w:t>https://www.ohchr.org/en/calls-for-input/2026/call-inputs-general-framework-architecture-and-guiding-principles-legally</w:t>
      </w:r>
    </w:p>
  </w:footnote>
  <w:footnote w:id="3">
    <w:p w14:paraId="4B03B066" w14:textId="0FA28FBB" w:rsidR="0052290E" w:rsidRPr="00BE3A32" w:rsidRDefault="0052290E" w:rsidP="00BE3A32">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sz w:val="18"/>
          <w:szCs w:val="18"/>
        </w:rPr>
        <w:t xml:space="preserve">GAROP、『高齢者の人権に関する新たな法的拘束力のある文書のための概念的枠組み、基本原則および想定される範囲 ― 概念的基礎および範囲に関する討議文書』（2026年1月30日）、GAROP-DISCUSSION-PAPER-on-CONCEPTUAL-BASIS-AND-SCOPE-FINAL-30-Jan-2026.pdf、 6ページ、第21段落。 </w:t>
      </w:r>
    </w:p>
  </w:footnote>
  <w:footnote w:id="4">
    <w:p w14:paraId="71FC72B2" w14:textId="77777777" w:rsidR="008C5B74" w:rsidRPr="00BE3A32" w:rsidRDefault="008C5B74" w:rsidP="008C5B74">
      <w:pPr>
        <w:pStyle w:val="ae"/>
        <w:rPr>
          <w:sz w:val="18"/>
          <w:szCs w:val="18"/>
          <w:lang w:eastAsia="ja-JP"/>
        </w:rPr>
      </w:pPr>
      <w:r w:rsidRPr="00BE3A32">
        <w:rPr>
          <w:rStyle w:val="af0"/>
          <w:sz w:val="18"/>
          <w:szCs w:val="18"/>
        </w:rPr>
        <w:footnoteRef/>
      </w:r>
      <w:r w:rsidRPr="00BE3A32">
        <w:rPr>
          <w:sz w:val="18"/>
          <w:szCs w:val="18"/>
        </w:rPr>
        <w:t xml:space="preserve"> 差別の禁止事由には、人種、国籍または民族的出身、先住民としてのアイデンティティ、財産を含む社会的または経済的地位、肌の色、出生、カースト、家系またはその他の遺伝的地位、職業、宗教、社会的出身、言語、政治的またはその他の意見、年齢、性別、性徴、性的指向、ジェンダー、性自認、性表現、婚姻および家族状況、遺伝的特徴または障害、その他の地位が含まれるものと理解されるべきである。</w:t>
      </w:r>
    </w:p>
  </w:footnote>
  <w:footnote w:id="5">
    <w:p w14:paraId="0AAE26B5" w14:textId="7521A3A8"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sz w:val="18"/>
          <w:szCs w:val="18"/>
        </w:rPr>
        <w:t>GAROP、『概念的枠組み』（前掲）、6頁、第22項。</w:t>
      </w:r>
    </w:p>
  </w:footnote>
  <w:footnote w:id="6">
    <w:p w14:paraId="4D0F01DF" w14:textId="3D3160A0"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sz w:val="18"/>
          <w:szCs w:val="18"/>
        </w:rPr>
        <w:t>GAROP、『概念的枠組み』（前掲）、6頁、第20項。</w:t>
      </w:r>
    </w:p>
  </w:footnote>
  <w:footnote w:id="7">
    <w:p w14:paraId="3424FE8D" w14:textId="4332110A" w:rsidR="0052290E" w:rsidRPr="008C5B74" w:rsidRDefault="0052290E" w:rsidP="008C5B74">
      <w:pPr>
        <w:pStyle w:val="af1"/>
        <w:jc w:val="left"/>
        <w:rPr>
          <w:sz w:val="18"/>
          <w:szCs w:val="18"/>
          <w:lang w:eastAsia="ja-JP"/>
        </w:rPr>
      </w:pPr>
      <w:r w:rsidRPr="00BE3A32">
        <w:rPr>
          <w:rStyle w:val="af0"/>
          <w:sz w:val="18"/>
          <w:szCs w:val="18"/>
        </w:rPr>
        <w:footnoteRef/>
      </w:r>
      <w:r w:rsidRPr="00BE3A32">
        <w:t xml:space="preserve"> </w:t>
      </w:r>
      <w:r w:rsidR="00BE3A32" w:rsidRPr="008C5B74">
        <w:rPr>
          <w:rFonts w:hint="eastAsia"/>
          <w:sz w:val="18"/>
          <w:szCs w:val="18"/>
        </w:rPr>
        <w:t>アムネスティ・インターナショナル、「なぜ高齢者の権利に関する条約が必要なのか」（インデックス：</w:t>
      </w:r>
      <w:r w:rsidR="00BE3A32" w:rsidRPr="008C5B74">
        <w:rPr>
          <w:sz w:val="18"/>
          <w:szCs w:val="18"/>
        </w:rPr>
        <w:t>ACT 30/8189/2024）、2024年7月1日、 https://www.amnesty.org/en/documents/act30/8189/2024/en/、2頁。GAROP、『概念的枠組み』（前掲）、5頁、第12項。</w:t>
      </w:r>
    </w:p>
  </w:footnote>
  <w:footnote w:id="8">
    <w:p w14:paraId="0B7EA370" w14:textId="322408BB" w:rsidR="0052290E" w:rsidRPr="00BE3A32" w:rsidRDefault="0052290E" w:rsidP="00BE3A32">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sz w:val="18"/>
          <w:szCs w:val="18"/>
        </w:rPr>
        <w:t xml:space="preserve">アムネスティ・インターナショナル、「高齢者の人権の促進と保護に関する法的拘束力のある文書を策定するための無期限政府間作業部会（IGWG）に対するアムネスティ・インターナショナルの声明」（インデックス：IOR 40/0694/2026）、2026年2月8日、 https://www.amnesty.org/en/documents/ior40/0694/2026/en/ </w:t>
      </w:r>
    </w:p>
  </w:footnote>
  <w:footnote w:id="9">
    <w:p w14:paraId="110AA622" w14:textId="3871E10C"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sz w:val="18"/>
          <w:szCs w:val="18"/>
        </w:rPr>
        <w:t>GAROP、『概念的枠組み』（前掲）、6頁、第18段落。</w:t>
      </w:r>
    </w:p>
  </w:footnote>
  <w:footnote w:id="10">
    <w:p w14:paraId="2D76A111" w14:textId="271C0C19"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sz w:val="18"/>
          <w:szCs w:val="18"/>
        </w:rPr>
        <w:t>10 アムネスティ・インターナショナル、「OEWGA質問票に対するアムネスティ・インターナショナルの回答－高齢者の人権保護における潜在的な課題の特定と最善の対処法」（Index: IOR 40/7452/2023）、2023年11月24日、 https://www.amnesty.org/fr/documents/ior40/7452/2023/en/ 、4頁。また、参照：国連人権高等弁務官事務所、OHCHRワーキングペーパー：高齢者に関する国際人権法の規範的基準に関する2012年の分析的成果研究の更新（2021年3月）、 https://www.ohchr.org/sites/default/files/2022-01/OHCHR-HROP-working-paper-22-Mar-2021.pdf ; 高齢者のすべての人権の享受に関する独立専門家の報告書、2021年8月4日、A/HRC/48/53、 https://docs.un.org/en/A/HRC/48/53</w:t>
      </w:r>
    </w:p>
  </w:footnote>
  <w:footnote w:id="11">
    <w:p w14:paraId="7A7A8602" w14:textId="75E18935"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sz w:val="18"/>
          <w:szCs w:val="18"/>
        </w:rPr>
        <w:t>他者と対等</w:t>
      </w:r>
      <w:r w:rsidR="00F17707">
        <w:rPr>
          <w:rFonts w:hint="eastAsia"/>
          <w:sz w:val="18"/>
          <w:szCs w:val="18"/>
          <w:lang w:eastAsia="ja-JP"/>
        </w:rPr>
        <w:t>に</w:t>
      </w:r>
      <w:r w:rsidR="00BE3A32" w:rsidRPr="00BE3A32">
        <w:rPr>
          <w:sz w:val="18"/>
          <w:szCs w:val="18"/>
        </w:rPr>
        <w:t>平等を達成するために必要な追加的措置および配慮を意味する。</w:t>
      </w:r>
    </w:p>
  </w:footnote>
  <w:footnote w:id="12">
    <w:p w14:paraId="34E2F37A" w14:textId="4B4489A2"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rFonts w:hint="eastAsia"/>
          <w:sz w:val="18"/>
          <w:szCs w:val="18"/>
        </w:rPr>
        <w:t>変革的平等とは、体系的な排除を助長する構造的障壁、社会的規範、および</w:t>
      </w:r>
      <w:r w:rsidR="00F17707">
        <w:rPr>
          <w:rFonts w:hint="eastAsia"/>
          <w:sz w:val="18"/>
          <w:szCs w:val="18"/>
          <w:lang w:eastAsia="ja-JP"/>
        </w:rPr>
        <w:t>エイジズムの</w:t>
      </w:r>
      <w:r w:rsidR="00BE3A32" w:rsidRPr="00BE3A32">
        <w:rPr>
          <w:rFonts w:hint="eastAsia"/>
          <w:sz w:val="18"/>
          <w:szCs w:val="18"/>
        </w:rPr>
        <w:t>固定観念に対処することにより、差別の根本原因を取り除くことを目指すもの。それは、制度や権力構造を本質的に包摂的なものへと変革することを目的としている。参照：女性差別撤廃委員会による一時的特別措置に関する一般勧告第</w:t>
      </w:r>
      <w:r w:rsidR="00BE3A32" w:rsidRPr="00BE3A32">
        <w:rPr>
          <w:sz w:val="18"/>
          <w:szCs w:val="18"/>
        </w:rPr>
        <w:t>25号、CEDAW/C/GC/25（2004年）；障害者権利委員会による平等と</w:t>
      </w:r>
      <w:r w:rsidR="00F17707">
        <w:rPr>
          <w:rFonts w:hint="eastAsia"/>
          <w:sz w:val="18"/>
          <w:szCs w:val="18"/>
          <w:lang w:eastAsia="ja-JP"/>
        </w:rPr>
        <w:t>無</w:t>
      </w:r>
      <w:r w:rsidR="00BE3A32" w:rsidRPr="00BE3A32">
        <w:rPr>
          <w:sz w:val="18"/>
          <w:szCs w:val="18"/>
        </w:rPr>
        <w:t>差別に関する一般</w:t>
      </w:r>
      <w:r w:rsidR="00F17707">
        <w:rPr>
          <w:rFonts w:hint="eastAsia"/>
          <w:sz w:val="18"/>
          <w:szCs w:val="18"/>
          <w:lang w:eastAsia="ja-JP"/>
        </w:rPr>
        <w:t>的意見</w:t>
      </w:r>
      <w:r w:rsidR="00BE3A32" w:rsidRPr="00BE3A32">
        <w:rPr>
          <w:sz w:val="18"/>
          <w:szCs w:val="18"/>
        </w:rPr>
        <w:t>第6号、CRPD/C/GC/6（2018年）； 経済的、社会的及び文化的権利委員会による一般</w:t>
      </w:r>
      <w:r w:rsidR="00F17707">
        <w:rPr>
          <w:rFonts w:hint="eastAsia"/>
          <w:sz w:val="18"/>
          <w:szCs w:val="18"/>
          <w:lang w:eastAsia="ja-JP"/>
        </w:rPr>
        <w:t>的意見</w:t>
      </w:r>
      <w:r w:rsidR="00BE3A32" w:rsidRPr="00BE3A32">
        <w:rPr>
          <w:sz w:val="18"/>
          <w:szCs w:val="18"/>
        </w:rPr>
        <w:t>第20号（</w:t>
      </w:r>
      <w:r w:rsidR="00BE3A32" w:rsidRPr="00BE3A32">
        <w:rPr>
          <w:rFonts w:hint="eastAsia"/>
          <w:sz w:val="18"/>
          <w:szCs w:val="18"/>
        </w:rPr>
        <w:t>経済的、社会的及び文化的権利における非差別（経済的、社会的及び文化的権利に関する国際規約第</w:t>
      </w:r>
      <w:r w:rsidR="00BE3A32" w:rsidRPr="00BE3A32">
        <w:rPr>
          <w:sz w:val="18"/>
          <w:szCs w:val="18"/>
        </w:rPr>
        <w:t>2条第2項））、E/C.12/GC/20（2009年）； 人権理事会「女性および少女に対する差別に関する作業部会」、『女性および少女に対する差別に関する作業部会のガイダンス文書』、A/HRC/WG.11/42/1、https://www.ohchr.org/sites/default/files/2025-03/a-hrc-wg11-42-1-aev-1-en.pdf</w:t>
      </w:r>
    </w:p>
  </w:footnote>
  <w:footnote w:id="13">
    <w:p w14:paraId="22348B4E" w14:textId="6A2200BA"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sz w:val="18"/>
          <w:szCs w:val="18"/>
        </w:rPr>
        <w:t>GAROP、『概念的枠組み』（前掲）、5頁、パラグラフ15。</w:t>
      </w:r>
    </w:p>
  </w:footnote>
  <w:footnote w:id="14">
    <w:p w14:paraId="1613B484" w14:textId="0EC5AF6E"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sz w:val="18"/>
          <w:szCs w:val="18"/>
        </w:rPr>
        <w:t xml:space="preserve"> 『女性に対するあらゆる形態の差別撤廃に関する国連条約』、『障害者の権利に関する国連条約』、および『あらゆる形態の人種差別撤廃に関する国連条約』に規定されている。</w:t>
      </w:r>
    </w:p>
  </w:footnote>
  <w:footnote w:id="15">
    <w:p w14:paraId="7EEF271A" w14:textId="087211A9"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rFonts w:hint="eastAsia"/>
          <w:sz w:val="18"/>
          <w:szCs w:val="18"/>
        </w:rPr>
        <w:t>アムネスティ・インターナショナル、「武力紛争および平和構築における高齢者：高齢者のすべての人権の享受に関する独立専門家への提出文書（</w:t>
      </w:r>
      <w:r w:rsidR="00BE3A32" w:rsidRPr="00BE3A32">
        <w:rPr>
          <w:sz w:val="18"/>
          <w:szCs w:val="18"/>
        </w:rPr>
        <w:t>Index: IOR 40/9188/2025）」、2025年3月28日、 https://www.amnesty.org/en/documents/ior40/9188/2025/en/ 、8ページ。</w:t>
      </w:r>
    </w:p>
  </w:footnote>
  <w:footnote w:id="16">
    <w:p w14:paraId="6692C815" w14:textId="40B4CDA8"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rFonts w:hint="eastAsia"/>
          <w:sz w:val="18"/>
          <w:szCs w:val="18"/>
        </w:rPr>
        <w:t>人権委員会、一般意見第</w:t>
      </w:r>
      <w:r w:rsidR="00BE3A32" w:rsidRPr="00BE3A32">
        <w:rPr>
          <w:sz w:val="18"/>
          <w:szCs w:val="18"/>
        </w:rPr>
        <w:t>25号、「公的事項への参加権、選挙権および公職への平等なアクセス権」、 https://digitallibrary.un.org/record/221930?ln=en&amp;v=pdf</w:t>
      </w:r>
    </w:p>
  </w:footnote>
  <w:footnote w:id="17">
    <w:p w14:paraId="6D0A9DF4" w14:textId="52F2DB3B"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sz w:val="18"/>
          <w:szCs w:val="18"/>
        </w:rPr>
        <w:t>例えば、以下を参照：アムネスティ・インターナショナル、「彼らは暗闇の中で生きている」：ロシアのウクライナ侵攻下における高齢者の孤立と住居への不十分なアクセス（Index: EUR 50/7385/2023）、2023年12月1日、 https://www.amnesty.org/en/documents/eur50/7385/2023/en/</w:t>
      </w:r>
    </w:p>
  </w:footnote>
  <w:footnote w:id="18">
    <w:p w14:paraId="76BF25A7" w14:textId="663F52AD"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sz w:val="18"/>
          <w:szCs w:val="18"/>
        </w:rPr>
        <w:t>GAROP、『概念的枠組み』（前掲）、5頁、パラグラフ13、11、および6頁、パラグラフ18。アムネスティ・インターナショナルによる、高齢者の人権の促進と保護に関する法的拘束力のある文書の策定に向けた無期限政府間作業部会（IGWG）への声明（前述）。</w:t>
      </w:r>
    </w:p>
  </w:footnote>
  <w:footnote w:id="19">
    <w:p w14:paraId="486E174F" w14:textId="4D33CD94" w:rsidR="0052290E" w:rsidRPr="00BE3A32" w:rsidRDefault="0052290E" w:rsidP="00BE3A32">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sz w:val="18"/>
          <w:szCs w:val="18"/>
        </w:rPr>
        <w:t>GAROP、『概念的枠組み』（前述）、9ページ。</w:t>
      </w:r>
    </w:p>
  </w:footnote>
  <w:footnote w:id="20">
    <w:p w14:paraId="2E0C07E2" w14:textId="2EE9B5CF"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sz w:val="18"/>
          <w:szCs w:val="18"/>
        </w:rPr>
        <w:t>例えば、国連障害者権利条約第1条を参照。</w:t>
      </w:r>
    </w:p>
  </w:footnote>
  <w:footnote w:id="21">
    <w:p w14:paraId="3B96546A" w14:textId="0864F847"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rFonts w:hint="eastAsia"/>
          <w:sz w:val="18"/>
          <w:szCs w:val="18"/>
        </w:rPr>
        <w:t>アムネスティ・インターナショナル、「高齢者の権利」（活動内容）、</w:t>
      </w:r>
      <w:r w:rsidR="00BE3A32" w:rsidRPr="00BE3A32">
        <w:rPr>
          <w:sz w:val="18"/>
          <w:szCs w:val="18"/>
        </w:rPr>
        <w:t>https://www.amnesty.org/en/what-we-do/older-people/</w:t>
      </w:r>
    </w:p>
  </w:footnote>
  <w:footnote w:id="22">
    <w:p w14:paraId="4CC6DB73" w14:textId="546B507E" w:rsidR="0052290E" w:rsidRPr="00BE3A32" w:rsidRDefault="0052290E" w:rsidP="00BE3A32">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rFonts w:hint="eastAsia"/>
          <w:sz w:val="18"/>
          <w:szCs w:val="18"/>
        </w:rPr>
        <w:t>例えば、国連障害者権利条約第</w:t>
      </w:r>
      <w:r w:rsidR="00BE3A32" w:rsidRPr="00BE3A32">
        <w:rPr>
          <w:sz w:val="18"/>
          <w:szCs w:val="18"/>
        </w:rPr>
        <w:t>4条を参照。</w:t>
      </w:r>
    </w:p>
  </w:footnote>
  <w:footnote w:id="23">
    <w:p w14:paraId="2F54E876" w14:textId="72FB0865"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sz w:val="18"/>
          <w:szCs w:val="18"/>
        </w:rPr>
        <w:t>例えば、国連障害者権利条約第4条を参照。</w:t>
      </w:r>
      <w:r w:rsidR="007D4928">
        <w:rPr>
          <w:rFonts w:hint="eastAsia"/>
          <w:sz w:val="18"/>
          <w:szCs w:val="18"/>
          <w:lang w:eastAsia="ja-JP"/>
        </w:rPr>
        <w:t>（訳注　第</w:t>
      </w:r>
      <w:r w:rsidR="007D4928">
        <w:rPr>
          <w:sz w:val="18"/>
          <w:szCs w:val="18"/>
          <w:lang w:eastAsia="ja-JP"/>
        </w:rPr>
        <w:t>4</w:t>
      </w:r>
      <w:r w:rsidR="007D4928">
        <w:rPr>
          <w:rFonts w:hint="eastAsia"/>
          <w:sz w:val="18"/>
          <w:szCs w:val="18"/>
          <w:lang w:eastAsia="ja-JP"/>
        </w:rPr>
        <w:t>条は第</w:t>
      </w:r>
      <w:r w:rsidR="007D4928">
        <w:rPr>
          <w:sz w:val="18"/>
          <w:szCs w:val="18"/>
          <w:lang w:eastAsia="ja-JP"/>
        </w:rPr>
        <w:t>31</w:t>
      </w:r>
      <w:r w:rsidR="007D4928">
        <w:rPr>
          <w:rFonts w:hint="eastAsia"/>
          <w:sz w:val="18"/>
          <w:szCs w:val="18"/>
          <w:lang w:eastAsia="ja-JP"/>
        </w:rPr>
        <w:t>条の誤記か）</w:t>
      </w:r>
    </w:p>
  </w:footnote>
  <w:footnote w:id="24">
    <w:p w14:paraId="334C347C" w14:textId="3D072906"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rFonts w:hint="eastAsia"/>
          <w:sz w:val="18"/>
          <w:szCs w:val="18"/>
        </w:rPr>
        <w:t>武力紛争下における高齢者に関するアムネスティ・インターナショナルの活動については、以下を参照のこと：アムネスティ・インターナショナル、「武力紛争と平和構築における高齢者：高齢者のすべての人権の享受に関する独立専門家への提出文書（</w:t>
      </w:r>
      <w:r w:rsidR="00BE3A32" w:rsidRPr="00BE3A32">
        <w:rPr>
          <w:sz w:val="18"/>
          <w:szCs w:val="18"/>
        </w:rPr>
        <w:t>Index: IOR 40/9188/2025）」、2025年3月28日、 https://www.amnesty.org/en/documents/ior40/9188/2025/en/。緊急事態における高齢者に関するアムネスティ・インターナショナルの活動については、以下を参照：ア</w:t>
      </w:r>
      <w:r w:rsidR="00BE3A32" w:rsidRPr="00BE3A32">
        <w:rPr>
          <w:rFonts w:hint="eastAsia"/>
          <w:sz w:val="18"/>
          <w:szCs w:val="18"/>
        </w:rPr>
        <w:t>ムネスティ・インターナショナル、「数え</w:t>
      </w:r>
      <w:r w:rsidR="007D4928">
        <w:rPr>
          <w:rFonts w:hint="eastAsia"/>
          <w:sz w:val="18"/>
          <w:szCs w:val="18"/>
          <w:lang w:eastAsia="ja-JP"/>
        </w:rPr>
        <w:t>きれない</w:t>
      </w:r>
      <w:r w:rsidR="00BE3A32" w:rsidRPr="00BE3A32">
        <w:rPr>
          <w:rFonts w:hint="eastAsia"/>
          <w:sz w:val="18"/>
          <w:szCs w:val="18"/>
        </w:rPr>
        <w:t>：パキスタンにおける気候災害時の高齢者および子どもの見えざる死」（</w:t>
      </w:r>
      <w:r w:rsidR="00BE3A32" w:rsidRPr="00BE3A32">
        <w:rPr>
          <w:sz w:val="18"/>
          <w:szCs w:val="18"/>
        </w:rPr>
        <w:t>Index: ASA 33/9007/2025）、2025年5月5日、 https://www.amnesty.org/en/documents/asa33/9007/2025/en/</w:t>
      </w:r>
    </w:p>
  </w:footnote>
  <w:footnote w:id="25">
    <w:p w14:paraId="224129AC" w14:textId="26D930C2"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rFonts w:hint="eastAsia"/>
          <w:sz w:val="18"/>
          <w:szCs w:val="18"/>
        </w:rPr>
        <w:t>例えば、国際赤十字委員会（</w:t>
      </w:r>
      <w:r w:rsidR="00BE3A32" w:rsidRPr="00BE3A32">
        <w:rPr>
          <w:sz w:val="18"/>
          <w:szCs w:val="18"/>
        </w:rPr>
        <w:t>ICRC）が定義する慣習国際人道法の規則138、および『戦時における文民の保護に関するジュネーブ条約（第4ジュネーブ条約）』の第14条、第17条、第27条、第38条、第119条を参照。</w:t>
      </w:r>
    </w:p>
  </w:footnote>
  <w:footnote w:id="26">
    <w:p w14:paraId="52E0570B" w14:textId="69C1628F"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rFonts w:hint="eastAsia"/>
          <w:sz w:val="18"/>
          <w:szCs w:val="18"/>
        </w:rPr>
        <w:t>アムネスティ・インターナショナル、「『</w:t>
      </w:r>
      <w:bookmarkStart w:id="1" w:name="_Hlk231645950"/>
      <w:r w:rsidR="00BE3A32" w:rsidRPr="00BE3A32">
        <w:rPr>
          <w:rFonts w:hint="eastAsia"/>
          <w:sz w:val="18"/>
          <w:szCs w:val="18"/>
        </w:rPr>
        <w:t>逃げて</w:t>
      </w:r>
      <w:r w:rsidR="002703D0">
        <w:rPr>
          <w:rFonts w:hint="eastAsia"/>
          <w:sz w:val="18"/>
          <w:szCs w:val="18"/>
          <w:lang w:eastAsia="ja-JP"/>
        </w:rPr>
        <w:t>ばかりの生涯</w:t>
      </w:r>
      <w:bookmarkEnd w:id="1"/>
      <w:r w:rsidR="00BE3A32" w:rsidRPr="00BE3A32">
        <w:rPr>
          <w:rFonts w:hint="eastAsia"/>
          <w:sz w:val="18"/>
          <w:szCs w:val="18"/>
        </w:rPr>
        <w:t>』：ミャンマーにおける高齢者の紛争と避難の体験」（</w:t>
      </w:r>
      <w:r w:rsidR="00BE3A32" w:rsidRPr="00BE3A32">
        <w:rPr>
          <w:sz w:val="18"/>
          <w:szCs w:val="18"/>
        </w:rPr>
        <w:t>Index: ASA 16/0446/2019）、2019年6月18日、https://www.amnesty.org/en/documents/asa16/0446/2019/en/</w:t>
      </w:r>
    </w:p>
  </w:footnote>
  <w:footnote w:id="27">
    <w:p w14:paraId="2FBB170B" w14:textId="100B82AE"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rFonts w:hint="eastAsia"/>
          <w:sz w:val="18"/>
          <w:szCs w:val="18"/>
        </w:rPr>
        <w:t>アムネスティ・インターナショナル、「最後に逃げる人々：ナゴルノ・カラバフ紛争における高齢者の戦争犯罪と避難の体験」（</w:t>
      </w:r>
      <w:r w:rsidR="00BE3A32" w:rsidRPr="00BE3A32">
        <w:rPr>
          <w:sz w:val="18"/>
          <w:szCs w:val="18"/>
        </w:rPr>
        <w:t>Index: EUR 54/5214/2022）、2022年5月17日、https://www.amnesty.org/en/documents/eur54/5214/2022/en/</w:t>
      </w:r>
    </w:p>
  </w:footnote>
  <w:footnote w:id="28">
    <w:p w14:paraId="289D045B" w14:textId="3742E304"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rFonts w:hint="eastAsia"/>
          <w:sz w:val="18"/>
          <w:szCs w:val="18"/>
        </w:rPr>
        <w:t>アムネスティ・インターナショナル、「かつては家があった」：ウクライナにおける高齢者の戦争、避難、および住居へのアクセスに関する体験（</w:t>
      </w:r>
      <w:r w:rsidR="00BE3A32" w:rsidRPr="00BE3A32">
        <w:rPr>
          <w:sz w:val="18"/>
          <w:szCs w:val="18"/>
        </w:rPr>
        <w:t>Index: EUR 50/6250/2022）、2022年12月6日、https://www.amnesty.org/en/documents/eur50/6250/2022/en/ ; アムネスティ・インターナショナル、「暗闇で暮ら</w:t>
      </w:r>
      <w:r w:rsidR="002703D0">
        <w:rPr>
          <w:rFonts w:hint="eastAsia"/>
          <w:sz w:val="18"/>
          <w:szCs w:val="18"/>
          <w:lang w:eastAsia="ja-JP"/>
        </w:rPr>
        <w:t>す</w:t>
      </w:r>
      <w:r w:rsidR="00BE3A32" w:rsidRPr="00BE3A32">
        <w:rPr>
          <w:sz w:val="18"/>
          <w:szCs w:val="18"/>
        </w:rPr>
        <w:t>」：ロシアのウクライナ侵攻下における高齢者の孤立と住居へ</w:t>
      </w:r>
      <w:r w:rsidR="002703D0">
        <w:rPr>
          <w:rFonts w:hint="eastAsia"/>
          <w:sz w:val="18"/>
          <w:szCs w:val="18"/>
          <w:lang w:eastAsia="ja-JP"/>
        </w:rPr>
        <w:t>の</w:t>
      </w:r>
      <w:r w:rsidR="00BE3A32" w:rsidRPr="00BE3A32">
        <w:rPr>
          <w:sz w:val="18"/>
          <w:szCs w:val="18"/>
        </w:rPr>
        <w:t>アクセス</w:t>
      </w:r>
      <w:r w:rsidR="002703D0">
        <w:rPr>
          <w:rFonts w:hint="eastAsia"/>
          <w:sz w:val="18"/>
          <w:szCs w:val="18"/>
          <w:lang w:eastAsia="ja-JP"/>
        </w:rPr>
        <w:t>の困難</w:t>
      </w:r>
      <w:r w:rsidR="00BE3A32" w:rsidRPr="00BE3A32">
        <w:rPr>
          <w:sz w:val="18"/>
          <w:szCs w:val="18"/>
        </w:rPr>
        <w:t xml:space="preserve">（Index: </w:t>
      </w:r>
      <w:r w:rsidR="002703D0" w:rsidRPr="00BE3A32">
        <w:rPr>
          <w:sz w:val="18"/>
          <w:szCs w:val="18"/>
        </w:rPr>
        <w:t>EUR 50/7385/2023)､2023年12月1日､</w:t>
      </w:r>
      <w:r w:rsidR="00BE3A32" w:rsidRPr="00BE3A32">
        <w:rPr>
          <w:sz w:val="18"/>
          <w:szCs w:val="18"/>
        </w:rPr>
        <w:t>https://www.amnesty.org/en/documents/eur50/7385/2023/en/</w:t>
      </w:r>
    </w:p>
  </w:footnote>
  <w:footnote w:id="29">
    <w:p w14:paraId="59498A19" w14:textId="54114364"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rFonts w:hint="eastAsia"/>
          <w:sz w:val="18"/>
          <w:szCs w:val="18"/>
        </w:rPr>
        <w:t>アムネスティ・インターナショナル、「私の心は痛む」－ナイジェリア北東部における高齢者の紛争、避難、拘禁の体験（</w:t>
      </w:r>
      <w:r w:rsidR="00BE3A32" w:rsidRPr="00BE3A32">
        <w:rPr>
          <w:sz w:val="18"/>
          <w:szCs w:val="18"/>
        </w:rPr>
        <w:t>Index: AFR 44/3376/2020）、2020年12月8日、https://www.amnesty.org/en/documents/afr44/3376/2020/en/</w:t>
      </w:r>
    </w:p>
  </w:footnote>
  <w:footnote w:id="30">
    <w:p w14:paraId="6C5BAB34" w14:textId="28B93F70" w:rsidR="0052290E" w:rsidRPr="00BE3A32" w:rsidRDefault="0052290E" w:rsidP="00BE3A32">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sz w:val="18"/>
          <w:szCs w:val="18"/>
        </w:rPr>
        <w:t>例えば、アムネスティ・インターナショナル、「『</w:t>
      </w:r>
      <w:r w:rsidR="00796CA9" w:rsidRPr="00796CA9">
        <w:rPr>
          <w:rFonts w:hint="eastAsia"/>
          <w:sz w:val="18"/>
          <w:szCs w:val="18"/>
        </w:rPr>
        <w:t>逃げてばかりの生涯</w:t>
      </w:r>
      <w:r w:rsidR="00BE3A32" w:rsidRPr="00BE3A32">
        <w:rPr>
          <w:sz w:val="18"/>
          <w:szCs w:val="18"/>
        </w:rPr>
        <w:t xml:space="preserve">』：ミャンマーにおける高齢者の紛争と避難の体験」（前述）pp. 44-51を参照。 </w:t>
      </w:r>
    </w:p>
  </w:footnote>
  <w:footnote w:id="31">
    <w:p w14:paraId="27ACA8BC" w14:textId="41008F2B"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sz w:val="18"/>
          <w:szCs w:val="18"/>
        </w:rPr>
        <w:t>アムネスティ・インターナショナル、英国：まるで使い捨て：COVID-19パンデミック下における英国政府の</w:t>
      </w:r>
      <w:r w:rsidR="00796CA9">
        <w:rPr>
          <w:rFonts w:hint="eastAsia"/>
          <w:sz w:val="18"/>
          <w:szCs w:val="18"/>
          <w:lang w:eastAsia="ja-JP"/>
        </w:rPr>
        <w:t>ケア</w:t>
      </w:r>
      <w:r w:rsidR="00BE3A32" w:rsidRPr="00BE3A32">
        <w:rPr>
          <w:sz w:val="18"/>
          <w:szCs w:val="18"/>
        </w:rPr>
        <w:t>施設の高齢者保護の失敗（インデックス：EUR 45/3152/2020）、2020年10月4日、https://www.amnesty.org/en/documents/EUR45/3152/2020/en/</w:t>
      </w:r>
    </w:p>
  </w:footnote>
  <w:footnote w:id="32">
    <w:p w14:paraId="59A74A31" w14:textId="66D00A01"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sz w:val="18"/>
          <w:szCs w:val="18"/>
        </w:rPr>
        <w:t>アムネスティ・インターナショナル・ベルギーおよびアムネスティ・インターナショナル、『死角に置かれた</w:t>
      </w:r>
      <w:r w:rsidR="00F045A4">
        <w:rPr>
          <w:rFonts w:hint="eastAsia"/>
          <w:sz w:val="18"/>
          <w:szCs w:val="18"/>
          <w:lang w:eastAsia="ja-JP"/>
        </w:rPr>
        <w:t>ケア</w:t>
      </w:r>
      <w:r w:rsidR="00BE3A32" w:rsidRPr="00BE3A32">
        <w:rPr>
          <w:sz w:val="18"/>
          <w:szCs w:val="18"/>
        </w:rPr>
        <w:t>施設：ベルギーにおけるCOVID-19パンデミック下の高齢者の人権』（Index: EUR 14/5504/2020）、2020年11月、 https://www.amnesty.be/campagne/discrimination/droits-agees-pandemie-covid/maison-repos-covid19</w:t>
      </w:r>
    </w:p>
  </w:footnote>
  <w:footnote w:id="33">
    <w:p w14:paraId="7C0F013D" w14:textId="6B0C140E"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rFonts w:hint="eastAsia"/>
          <w:sz w:val="18"/>
          <w:szCs w:val="18"/>
        </w:rPr>
        <w:t>アムネスティ・インターナショナルおよびアムネスティ・インターナショナル・イタリア、『見捨てられた人々：イタリアにおけるパンデミック中の社会福祉・医療施設における高齢者の生命権、健康権、および非差別権の侵害』（</w:t>
      </w:r>
      <w:r w:rsidR="00BE3A32" w:rsidRPr="00BE3A32">
        <w:rPr>
          <w:sz w:val="18"/>
          <w:szCs w:val="18"/>
        </w:rPr>
        <w:t>Index: EUR 30/5503/2020）、2020年11月17日、 https://www.amnesty.org/en/documents/eur30/5503/2020/it/</w:t>
      </w:r>
    </w:p>
  </w:footnote>
  <w:footnote w:id="34">
    <w:p w14:paraId="48FFD234" w14:textId="5DB5F357"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rFonts w:hint="eastAsia"/>
          <w:sz w:val="18"/>
          <w:szCs w:val="18"/>
        </w:rPr>
        <w:t>アムネスティ・インターナショナル・スペインおよびアムネスティ・インターナショナル、『見捨てられた人々：</w:t>
      </w:r>
      <w:r w:rsidR="00BE3A32" w:rsidRPr="00BE3A32">
        <w:rPr>
          <w:sz w:val="18"/>
          <w:szCs w:val="18"/>
        </w:rPr>
        <w:t xml:space="preserve"> スペインにおけるCOVID-19パンデミック下での高齢者施設における高齢者の保護の欠如と差別（Index: EUR 41/5502/2020）、2020年12月3日、https://www.amnesty.org/en/documents/eur41/5502/2020/es/</w:t>
      </w:r>
    </w:p>
  </w:footnote>
  <w:footnote w:id="35">
    <w:p w14:paraId="240B2348" w14:textId="78D46542"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rFonts w:hint="eastAsia"/>
          <w:sz w:val="18"/>
          <w:szCs w:val="18"/>
        </w:rPr>
        <w:t>アムネスティ・インターナショナル、『国は崩壊しつつあり、誰も気にかけない：レバノンの経済危機における社会保障への需要の急増と支援の崩壊』（</w:t>
      </w:r>
      <w:r w:rsidR="00BE3A32" w:rsidRPr="00BE3A32">
        <w:rPr>
          <w:sz w:val="18"/>
          <w:szCs w:val="18"/>
        </w:rPr>
        <w:t>Index: MDE 18/8685/2024）、2024年12月2日、https://www.amnesty.org/en/documents/mde18/8685/2024/en/</w:t>
      </w:r>
    </w:p>
  </w:footnote>
  <w:footnote w:id="36">
    <w:p w14:paraId="62D39793" w14:textId="5E841719"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sz w:val="18"/>
          <w:szCs w:val="18"/>
        </w:rPr>
        <w:t xml:space="preserve"> アムネスティ・インターナショナル、「かつては家</w:t>
      </w:r>
      <w:r w:rsidR="00350D88">
        <w:rPr>
          <w:rFonts w:hint="eastAsia"/>
          <w:sz w:val="18"/>
          <w:szCs w:val="18"/>
          <w:lang w:eastAsia="ja-JP"/>
        </w:rPr>
        <w:t>を持っていた</w:t>
      </w:r>
      <w:r w:rsidR="00BE3A32" w:rsidRPr="00BE3A32">
        <w:rPr>
          <w:sz w:val="18"/>
          <w:szCs w:val="18"/>
        </w:rPr>
        <w:t>」：ウクライナにおける高齢者の戦争、避難、および住居へのアクセスに関する体験（前述）；アムネスティ・インターナショナル、「</w:t>
      </w:r>
      <w:r w:rsidR="00350D88" w:rsidRPr="00350D88">
        <w:rPr>
          <w:rFonts w:hint="eastAsia"/>
          <w:sz w:val="18"/>
          <w:szCs w:val="18"/>
        </w:rPr>
        <w:t>暗闇で暮らす</w:t>
      </w:r>
      <w:r w:rsidR="00BE3A32" w:rsidRPr="00BE3A32">
        <w:rPr>
          <w:sz w:val="18"/>
          <w:szCs w:val="18"/>
        </w:rPr>
        <w:t>」：ロシアのウクライナ侵攻下における高齢者の孤立と住居へのアクセス</w:t>
      </w:r>
      <w:r w:rsidR="00350D88">
        <w:rPr>
          <w:rFonts w:hint="eastAsia"/>
          <w:sz w:val="18"/>
          <w:szCs w:val="18"/>
          <w:lang w:eastAsia="ja-JP"/>
        </w:rPr>
        <w:t>の困難</w:t>
      </w:r>
      <w:r w:rsidR="00BE3A32" w:rsidRPr="00BE3A32">
        <w:rPr>
          <w:sz w:val="18"/>
          <w:szCs w:val="18"/>
        </w:rPr>
        <w:t>（前述）。</w:t>
      </w:r>
    </w:p>
  </w:footnote>
  <w:footnote w:id="37">
    <w:p w14:paraId="1759B0C0" w14:textId="7DC6B21E"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rFonts w:hint="eastAsia"/>
          <w:sz w:val="18"/>
          <w:szCs w:val="18"/>
        </w:rPr>
        <w:t>アムネスティ・インターナショナル、『数え</w:t>
      </w:r>
      <w:r w:rsidR="00882DD6">
        <w:rPr>
          <w:rFonts w:hint="eastAsia"/>
          <w:sz w:val="18"/>
          <w:szCs w:val="18"/>
          <w:lang w:eastAsia="ja-JP"/>
        </w:rPr>
        <w:t>きれない</w:t>
      </w:r>
      <w:r w:rsidR="00BE3A32" w:rsidRPr="00BE3A32">
        <w:rPr>
          <w:rFonts w:hint="eastAsia"/>
          <w:sz w:val="18"/>
          <w:szCs w:val="18"/>
        </w:rPr>
        <w:t>：パキスタンにおける気候災害時の高齢者および子どもの「見えざる死」』（前掲）。</w:t>
      </w:r>
    </w:p>
  </w:footnote>
  <w:footnote w:id="38">
    <w:p w14:paraId="3CF00C90" w14:textId="5AC22314"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rFonts w:hint="eastAsia"/>
          <w:sz w:val="18"/>
          <w:szCs w:val="18"/>
        </w:rPr>
        <w:t>アムネスティ・インターナショナル、「『</w:t>
      </w:r>
      <w:r w:rsidR="00882DD6" w:rsidRPr="00882DD6">
        <w:rPr>
          <w:rFonts w:hint="eastAsia"/>
          <w:sz w:val="18"/>
          <w:szCs w:val="18"/>
        </w:rPr>
        <w:t>逃げてばかりの生涯</w:t>
      </w:r>
      <w:r w:rsidR="00BE3A32" w:rsidRPr="00BE3A32">
        <w:rPr>
          <w:rFonts w:hint="eastAsia"/>
          <w:sz w:val="18"/>
          <w:szCs w:val="18"/>
        </w:rPr>
        <w:t>』：ミャンマーにおける高齢者の紛争と避難の体験」（前掲）。</w:t>
      </w:r>
    </w:p>
  </w:footnote>
  <w:footnote w:id="39">
    <w:p w14:paraId="6976B348" w14:textId="4A3CE4DB" w:rsidR="0052290E" w:rsidRPr="00BE3A32" w:rsidRDefault="0052290E" w:rsidP="00BE3A32">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rFonts w:hint="eastAsia"/>
          <w:sz w:val="18"/>
          <w:szCs w:val="18"/>
        </w:rPr>
        <w:t>アムネスティ・インターナショナル、「私の心は痛む」－ナイジェリア北東部における紛争、避難、拘禁を経験した高齢者（前述）。</w:t>
      </w:r>
    </w:p>
  </w:footnote>
  <w:footnote w:id="40">
    <w:p w14:paraId="6F526158" w14:textId="2F0F52E0"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sz w:val="18"/>
          <w:szCs w:val="18"/>
        </w:rPr>
        <w:t>アムネスティ・インターナショナル、「高齢者の社会的保護を受ける権利と働く権利」－高齢者のすべての人権の享受に関する国連独立専門家への提出文書（Index: IOR 40/9069/2025）、2025年3月10日、 https://www.amnesty.org/en/documents/ior40/9069/2025/en/</w:t>
      </w:r>
    </w:p>
  </w:footnote>
  <w:footnote w:id="41">
    <w:p w14:paraId="497A1229" w14:textId="570A7379"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sz w:val="18"/>
          <w:szCs w:val="18"/>
        </w:rPr>
        <w:t>例えば、国連障害者権利条約第31条を参照。</w:t>
      </w:r>
    </w:p>
  </w:footnote>
  <w:footnote w:id="42">
    <w:p w14:paraId="234482B5" w14:textId="59F93E6A" w:rsidR="0052290E" w:rsidRPr="00BE3A32" w:rsidRDefault="0052290E">
      <w:pPr>
        <w:pStyle w:val="ae"/>
        <w:rPr>
          <w:sz w:val="18"/>
          <w:szCs w:val="18"/>
          <w:lang w:eastAsia="ja-JP"/>
        </w:rPr>
      </w:pPr>
      <w:r w:rsidRPr="00BE3A32">
        <w:rPr>
          <w:rStyle w:val="af0"/>
          <w:sz w:val="18"/>
          <w:szCs w:val="18"/>
        </w:rPr>
        <w:footnoteRef/>
      </w:r>
      <w:r w:rsidRPr="00BE3A32">
        <w:rPr>
          <w:sz w:val="18"/>
          <w:szCs w:val="18"/>
        </w:rPr>
        <w:t xml:space="preserve"> </w:t>
      </w:r>
      <w:r w:rsidR="00BE3A32" w:rsidRPr="00BE3A32">
        <w:rPr>
          <w:rFonts w:hint="eastAsia"/>
          <w:sz w:val="18"/>
          <w:szCs w:val="18"/>
        </w:rPr>
        <w:t>例えば、国連障害者権利条約第</w:t>
      </w:r>
      <w:r w:rsidR="00BE3A32" w:rsidRPr="00BE3A32">
        <w:rPr>
          <w:sz w:val="18"/>
          <w:szCs w:val="18"/>
        </w:rPr>
        <w:t>32条を参照。</w:t>
      </w:r>
    </w:p>
  </w:footnote>
  <w:footnote w:id="43">
    <w:p w14:paraId="0A233C9D" w14:textId="77777777" w:rsidR="00B90C5B" w:rsidRPr="00BE3A32" w:rsidRDefault="00B90C5B" w:rsidP="00B90C5B">
      <w:pPr>
        <w:pStyle w:val="ae"/>
        <w:rPr>
          <w:sz w:val="18"/>
          <w:szCs w:val="18"/>
          <w:lang w:eastAsia="ja-JP"/>
        </w:rPr>
      </w:pPr>
      <w:r w:rsidRPr="00BE3A32">
        <w:rPr>
          <w:rStyle w:val="af0"/>
          <w:sz w:val="18"/>
          <w:szCs w:val="18"/>
        </w:rPr>
        <w:footnoteRef/>
      </w:r>
      <w:r w:rsidRPr="00BE3A32">
        <w:rPr>
          <w:sz w:val="18"/>
          <w:szCs w:val="18"/>
        </w:rPr>
        <w:t xml:space="preserve"> 例えば、国連障害者権利条約第33条を参照。</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defaultTabStop w:val="840"/>
  <w:evenAndOddHeaders/>
  <w:drawingGridHorizontalSpacing w:val="100"/>
  <w:drawingGridVerticalSpacing w:val="136"/>
  <w:displayHorizontalDrawingGridEvery w:val="2"/>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B29"/>
    <w:rsid w:val="00093EFC"/>
    <w:rsid w:val="000B2AFD"/>
    <w:rsid w:val="00152B39"/>
    <w:rsid w:val="002703D0"/>
    <w:rsid w:val="003126F0"/>
    <w:rsid w:val="0032266B"/>
    <w:rsid w:val="00350D88"/>
    <w:rsid w:val="003842B9"/>
    <w:rsid w:val="003A6E34"/>
    <w:rsid w:val="0052290E"/>
    <w:rsid w:val="00543CC9"/>
    <w:rsid w:val="0057711E"/>
    <w:rsid w:val="00683B8A"/>
    <w:rsid w:val="00692D7C"/>
    <w:rsid w:val="006A05DC"/>
    <w:rsid w:val="00796CA9"/>
    <w:rsid w:val="007A5673"/>
    <w:rsid w:val="007D4928"/>
    <w:rsid w:val="00860011"/>
    <w:rsid w:val="008769B4"/>
    <w:rsid w:val="00882DD6"/>
    <w:rsid w:val="008C5B74"/>
    <w:rsid w:val="00917A74"/>
    <w:rsid w:val="00957CB9"/>
    <w:rsid w:val="00993B29"/>
    <w:rsid w:val="00AA5A29"/>
    <w:rsid w:val="00AC32DE"/>
    <w:rsid w:val="00AF582A"/>
    <w:rsid w:val="00B37471"/>
    <w:rsid w:val="00B4267A"/>
    <w:rsid w:val="00B42D41"/>
    <w:rsid w:val="00B42F18"/>
    <w:rsid w:val="00B90C5B"/>
    <w:rsid w:val="00BE3A32"/>
    <w:rsid w:val="00D3175D"/>
    <w:rsid w:val="00D93294"/>
    <w:rsid w:val="00DB66FF"/>
    <w:rsid w:val="00EB3046"/>
    <w:rsid w:val="00F045A4"/>
    <w:rsid w:val="00F17707"/>
    <w:rsid w:val="00F430F6"/>
    <w:rsid w:val="00FA2D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A5A6676"/>
  <w15:chartTrackingRefBased/>
  <w15:docId w15:val="{CE8DE70A-1CC3-4E58-A858-68ED2A9DE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93B2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93B2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93B2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93B2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93B2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93B2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93B2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93B2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93B2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93B2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93B2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93B2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93B2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93B2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93B2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93B2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93B2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93B2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93B2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93B2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3B2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93B2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93B29"/>
    <w:pPr>
      <w:spacing w:before="160" w:after="160"/>
      <w:jc w:val="center"/>
    </w:pPr>
    <w:rPr>
      <w:i/>
      <w:iCs/>
      <w:color w:val="404040" w:themeColor="text1" w:themeTint="BF"/>
    </w:rPr>
  </w:style>
  <w:style w:type="character" w:customStyle="1" w:styleId="a8">
    <w:name w:val="引用文 (文字)"/>
    <w:basedOn w:val="a0"/>
    <w:link w:val="a7"/>
    <w:uiPriority w:val="29"/>
    <w:rsid w:val="00993B29"/>
    <w:rPr>
      <w:i/>
      <w:iCs/>
      <w:color w:val="404040" w:themeColor="text1" w:themeTint="BF"/>
    </w:rPr>
  </w:style>
  <w:style w:type="paragraph" w:styleId="a9">
    <w:name w:val="List Paragraph"/>
    <w:basedOn w:val="a"/>
    <w:uiPriority w:val="34"/>
    <w:qFormat/>
    <w:rsid w:val="00993B29"/>
    <w:pPr>
      <w:ind w:left="720"/>
      <w:contextualSpacing/>
    </w:pPr>
  </w:style>
  <w:style w:type="character" w:styleId="21">
    <w:name w:val="Intense Emphasis"/>
    <w:basedOn w:val="a0"/>
    <w:uiPriority w:val="21"/>
    <w:qFormat/>
    <w:rsid w:val="00993B29"/>
    <w:rPr>
      <w:i/>
      <w:iCs/>
      <w:color w:val="2F5496" w:themeColor="accent1" w:themeShade="BF"/>
    </w:rPr>
  </w:style>
  <w:style w:type="paragraph" w:styleId="22">
    <w:name w:val="Intense Quote"/>
    <w:basedOn w:val="a"/>
    <w:next w:val="a"/>
    <w:link w:val="23"/>
    <w:uiPriority w:val="30"/>
    <w:qFormat/>
    <w:rsid w:val="00993B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993B29"/>
    <w:rPr>
      <w:i/>
      <w:iCs/>
      <w:color w:val="2F5496" w:themeColor="accent1" w:themeShade="BF"/>
    </w:rPr>
  </w:style>
  <w:style w:type="character" w:styleId="24">
    <w:name w:val="Intense Reference"/>
    <w:basedOn w:val="a0"/>
    <w:uiPriority w:val="32"/>
    <w:qFormat/>
    <w:rsid w:val="00993B29"/>
    <w:rPr>
      <w:b/>
      <w:bCs/>
      <w:smallCaps/>
      <w:color w:val="2F5496" w:themeColor="accent1" w:themeShade="BF"/>
      <w:spacing w:val="5"/>
    </w:rPr>
  </w:style>
  <w:style w:type="paragraph" w:styleId="aa">
    <w:name w:val="header"/>
    <w:basedOn w:val="a"/>
    <w:link w:val="ab"/>
    <w:uiPriority w:val="99"/>
    <w:unhideWhenUsed/>
    <w:rsid w:val="00D93294"/>
    <w:pPr>
      <w:tabs>
        <w:tab w:val="center" w:pos="4252"/>
        <w:tab w:val="right" w:pos="8504"/>
      </w:tabs>
      <w:snapToGrid w:val="0"/>
    </w:pPr>
  </w:style>
  <w:style w:type="character" w:customStyle="1" w:styleId="ab">
    <w:name w:val="ヘッダー (文字)"/>
    <w:basedOn w:val="a0"/>
    <w:link w:val="aa"/>
    <w:uiPriority w:val="99"/>
    <w:rsid w:val="00D93294"/>
  </w:style>
  <w:style w:type="paragraph" w:styleId="ac">
    <w:name w:val="footer"/>
    <w:basedOn w:val="a"/>
    <w:link w:val="ad"/>
    <w:uiPriority w:val="99"/>
    <w:unhideWhenUsed/>
    <w:rsid w:val="00D93294"/>
    <w:pPr>
      <w:tabs>
        <w:tab w:val="center" w:pos="4252"/>
        <w:tab w:val="right" w:pos="8504"/>
      </w:tabs>
      <w:snapToGrid w:val="0"/>
    </w:pPr>
  </w:style>
  <w:style w:type="character" w:customStyle="1" w:styleId="ad">
    <w:name w:val="フッター (文字)"/>
    <w:basedOn w:val="a0"/>
    <w:link w:val="ac"/>
    <w:uiPriority w:val="99"/>
    <w:rsid w:val="00D93294"/>
  </w:style>
  <w:style w:type="paragraph" w:styleId="ae">
    <w:name w:val="footnote text"/>
    <w:basedOn w:val="a"/>
    <w:link w:val="af"/>
    <w:uiPriority w:val="99"/>
    <w:semiHidden/>
    <w:unhideWhenUsed/>
    <w:rsid w:val="0052290E"/>
    <w:pPr>
      <w:snapToGrid w:val="0"/>
      <w:jc w:val="left"/>
    </w:pPr>
  </w:style>
  <w:style w:type="character" w:customStyle="1" w:styleId="af">
    <w:name w:val="脚注文字列 (文字)"/>
    <w:basedOn w:val="a0"/>
    <w:link w:val="ae"/>
    <w:uiPriority w:val="99"/>
    <w:semiHidden/>
    <w:rsid w:val="0052290E"/>
  </w:style>
  <w:style w:type="character" w:styleId="af0">
    <w:name w:val="footnote reference"/>
    <w:basedOn w:val="a0"/>
    <w:uiPriority w:val="99"/>
    <w:semiHidden/>
    <w:unhideWhenUsed/>
    <w:rsid w:val="0052290E"/>
    <w:rPr>
      <w:vertAlign w:val="superscript"/>
    </w:rPr>
  </w:style>
  <w:style w:type="paragraph" w:styleId="af1">
    <w:name w:val="No Spacing"/>
    <w:uiPriority w:val="1"/>
    <w:qFormat/>
    <w:rsid w:val="008C5B74"/>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23240-4A3D-48C0-8ADA-A02208A57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1161</Words>
  <Characters>6618</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久夫 佐藤</dc:creator>
  <cp:keywords/>
  <dc:description/>
  <cp:lastModifiedBy>久夫 佐藤</cp:lastModifiedBy>
  <cp:revision>2</cp:revision>
  <dcterms:created xsi:type="dcterms:W3CDTF">2026-06-06T09:49:00Z</dcterms:created>
  <dcterms:modified xsi:type="dcterms:W3CDTF">2026-06-06T09:49:00Z</dcterms:modified>
</cp:coreProperties>
</file>