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EBA0" w14:textId="760C26A7" w:rsidR="00B205E5" w:rsidRPr="00963840" w:rsidRDefault="00DE780C" w:rsidP="00B205E5">
      <w:pPr>
        <w:pStyle w:val="a9"/>
        <w:rPr>
          <w:rFonts w:ascii="Rational Display Medium" w:hAnsi="Rational Display Medium" w:cs="Rational Display Medium"/>
          <w:b/>
          <w:bCs/>
          <w:sz w:val="32"/>
          <w:szCs w:val="32"/>
          <w:lang w:eastAsia="ja-JP"/>
        </w:rPr>
      </w:pPr>
      <w:r>
        <w:rPr>
          <w:rFonts w:ascii="Rational Display Medium" w:hAnsi="Rational Display Medium" w:cs="Rational Display Medium" w:hint="eastAsia"/>
          <w:b/>
          <w:bCs/>
          <w:sz w:val="32"/>
          <w:szCs w:val="32"/>
          <w:lang w:eastAsia="ja-JP"/>
        </w:rPr>
        <w:t>072</w:t>
      </w:r>
      <w:r>
        <w:rPr>
          <w:rFonts w:ascii="Rational Display Medium" w:hAnsi="Rational Display Medium" w:cs="Rational Display Medium" w:hint="eastAsia"/>
          <w:b/>
          <w:bCs/>
          <w:sz w:val="32"/>
          <w:szCs w:val="32"/>
          <w:lang w:eastAsia="ja-JP"/>
        </w:rPr>
        <w:t xml:space="preserve">　</w:t>
      </w:r>
      <w:r w:rsidR="00B205E5" w:rsidRPr="00963840">
        <w:rPr>
          <w:rFonts w:ascii="Rational Display Medium" w:hAnsi="Rational Display Medium" w:cs="Rational Display Medium"/>
          <w:b/>
          <w:bCs/>
          <w:sz w:val="32"/>
          <w:szCs w:val="32"/>
          <w:lang w:eastAsia="ja-JP"/>
        </w:rPr>
        <w:t>国連人権高等弁務官事務所：意見募集：高齢者の人権に関する法的拘束力のある文書の</w:t>
      </w:r>
      <w:r w:rsidR="006345D5">
        <w:rPr>
          <w:rFonts w:ascii="Rational Display Medium" w:hAnsi="Rational Display Medium" w:cs="Rational Display Medium" w:hint="eastAsia"/>
          <w:b/>
          <w:bCs/>
          <w:sz w:val="32"/>
          <w:szCs w:val="32"/>
          <w:lang w:eastAsia="ja-JP"/>
        </w:rPr>
        <w:t>全体</w:t>
      </w:r>
      <w:r w:rsidR="00B205E5" w:rsidRPr="00963840">
        <w:rPr>
          <w:rFonts w:ascii="Rational Display Medium" w:hAnsi="Rational Display Medium" w:cs="Rational Display Medium"/>
          <w:b/>
          <w:bCs/>
          <w:sz w:val="32"/>
          <w:szCs w:val="32"/>
          <w:lang w:eastAsia="ja-JP"/>
        </w:rPr>
        <w:t>的な枠組み、構成、および指針原則</w:t>
      </w:r>
    </w:p>
    <w:p w14:paraId="2D8CEAB2" w14:textId="1678C06A" w:rsidR="00904B27" w:rsidRPr="00963840" w:rsidRDefault="2E0117F0" w:rsidP="0059038E">
      <w:pPr>
        <w:pStyle w:val="a9"/>
        <w:rPr>
          <w:rStyle w:val="af1"/>
          <w:sz w:val="21"/>
          <w:szCs w:val="21"/>
          <w:lang w:eastAsia="ja-JP"/>
        </w:rPr>
      </w:pPr>
      <w:r w:rsidRPr="00963840">
        <w:rPr>
          <w:sz w:val="21"/>
          <w:szCs w:val="21"/>
          <w:lang w:eastAsia="ja-JP"/>
        </w:rPr>
        <w:t>提出</w:t>
      </w:r>
      <w:r w:rsidRPr="00963840">
        <w:rPr>
          <w:sz w:val="21"/>
          <w:szCs w:val="21"/>
          <w:lang w:eastAsia="ja-JP"/>
        </w:rPr>
        <w:t xml:space="preserve"> </w:t>
      </w:r>
      <w:r w:rsidR="0059038E">
        <w:rPr>
          <w:rFonts w:hint="eastAsia"/>
          <w:sz w:val="21"/>
          <w:szCs w:val="21"/>
          <w:lang w:eastAsia="ja-JP"/>
        </w:rPr>
        <w:t xml:space="preserve">　</w:t>
      </w:r>
      <w:r w:rsidR="00B205E5" w:rsidRPr="00963840">
        <w:rPr>
          <w:rStyle w:val="af1"/>
          <w:sz w:val="21"/>
          <w:szCs w:val="21"/>
          <w:lang w:eastAsia="ja-JP"/>
        </w:rPr>
        <w:t>2026</w:t>
      </w:r>
      <w:r w:rsidR="00B205E5" w:rsidRPr="00963840">
        <w:rPr>
          <w:rStyle w:val="af1"/>
          <w:sz w:val="21"/>
          <w:szCs w:val="21"/>
          <w:lang w:eastAsia="ja-JP"/>
        </w:rPr>
        <w:t>年</w:t>
      </w:r>
      <w:r w:rsidR="00B205E5" w:rsidRPr="00963840">
        <w:rPr>
          <w:rStyle w:val="af1"/>
          <w:sz w:val="21"/>
          <w:szCs w:val="21"/>
          <w:lang w:eastAsia="ja-JP"/>
        </w:rPr>
        <w:t>4</w:t>
      </w:r>
      <w:r w:rsidR="00B205E5" w:rsidRPr="00963840">
        <w:rPr>
          <w:rStyle w:val="af1"/>
          <w:sz w:val="21"/>
          <w:szCs w:val="21"/>
          <w:lang w:eastAsia="ja-JP"/>
        </w:rPr>
        <w:t>月</w:t>
      </w:r>
    </w:p>
    <w:p w14:paraId="418C0F44" w14:textId="600F869F" w:rsidR="001140FF" w:rsidRDefault="001140FF" w:rsidP="001140FF">
      <w:pPr>
        <w:rPr>
          <w:b/>
          <w:bCs/>
          <w:sz w:val="21"/>
          <w:szCs w:val="21"/>
          <w:lang w:val="en-US" w:eastAsia="ja-JP"/>
        </w:rPr>
      </w:pPr>
      <w:r w:rsidRPr="001140FF">
        <w:rPr>
          <w:rFonts w:hint="eastAsia"/>
          <w:b/>
          <w:bCs/>
          <w:sz w:val="21"/>
          <w:szCs w:val="21"/>
          <w:lang w:val="en-US" w:eastAsia="ja-JP"/>
        </w:rPr>
        <w:t>オーストラリア多文化</w:t>
      </w:r>
      <w:r w:rsidR="00C441AC">
        <w:rPr>
          <w:rFonts w:hint="eastAsia"/>
          <w:b/>
          <w:bCs/>
          <w:sz w:val="21"/>
          <w:szCs w:val="21"/>
          <w:lang w:val="en-US" w:eastAsia="ja-JP"/>
        </w:rPr>
        <w:t>保健</w:t>
      </w:r>
      <w:r w:rsidRPr="001140FF">
        <w:rPr>
          <w:rFonts w:hint="eastAsia"/>
          <w:b/>
          <w:bCs/>
          <w:sz w:val="21"/>
          <w:szCs w:val="21"/>
          <w:lang w:val="en-US" w:eastAsia="ja-JP"/>
        </w:rPr>
        <w:t>協力機構</w:t>
      </w:r>
      <w:r w:rsidR="00FE74A8">
        <w:rPr>
          <w:rFonts w:hint="eastAsia"/>
          <w:b/>
          <w:bCs/>
          <w:sz w:val="21"/>
          <w:szCs w:val="21"/>
          <w:lang w:val="en-US" w:eastAsia="ja-JP"/>
        </w:rPr>
        <w:t>（</w:t>
      </w:r>
      <w:r w:rsidR="00FE74A8">
        <w:rPr>
          <w:rFonts w:hint="eastAsia"/>
          <w:b/>
          <w:bCs/>
          <w:sz w:val="21"/>
          <w:szCs w:val="21"/>
          <w:lang w:val="en-US" w:eastAsia="ja-JP"/>
        </w:rPr>
        <w:t>AMHC</w:t>
      </w:r>
      <w:r w:rsidR="00FE74A8">
        <w:rPr>
          <w:b/>
          <w:bCs/>
          <w:sz w:val="21"/>
          <w:szCs w:val="21"/>
          <w:lang w:val="en-US" w:eastAsia="ja-JP"/>
        </w:rPr>
        <w:t>）</w:t>
      </w:r>
    </w:p>
    <w:p w14:paraId="282C0809" w14:textId="602A76F2" w:rsidR="2E0117F0" w:rsidRPr="00963840" w:rsidRDefault="2E0117F0" w:rsidP="0059038E">
      <w:pPr>
        <w:ind w:firstLineChars="100" w:firstLine="210"/>
        <w:rPr>
          <w:rFonts w:ascii="Calibri" w:eastAsia="Calibri" w:hAnsi="Calibri" w:cs="Calibri"/>
          <w:color w:val="000000" w:themeColor="text1"/>
          <w:sz w:val="21"/>
          <w:szCs w:val="21"/>
          <w:lang w:eastAsia="ja-JP"/>
        </w:rPr>
      </w:pPr>
      <w:r w:rsidRPr="00963840">
        <w:rPr>
          <w:sz w:val="21"/>
          <w:szCs w:val="21"/>
          <w:lang w:val="en-US" w:eastAsia="ja-JP"/>
        </w:rPr>
        <w:t>オーストラリア多文化</w:t>
      </w:r>
      <w:r w:rsidR="00761427">
        <w:rPr>
          <w:rFonts w:hint="eastAsia"/>
          <w:sz w:val="21"/>
          <w:szCs w:val="21"/>
          <w:lang w:val="en-US" w:eastAsia="ja-JP"/>
        </w:rPr>
        <w:t>保健</w:t>
      </w:r>
      <w:r w:rsidRPr="00963840">
        <w:rPr>
          <w:sz w:val="21"/>
          <w:szCs w:val="21"/>
          <w:lang w:val="en-US" w:eastAsia="ja-JP"/>
        </w:rPr>
        <w:t>協力機構（以下「</w:t>
      </w:r>
      <w:bookmarkStart w:id="0" w:name="_Hlk234358517"/>
      <w:r w:rsidRPr="00963840">
        <w:rPr>
          <w:sz w:val="21"/>
          <w:szCs w:val="21"/>
          <w:lang w:val="en-US" w:eastAsia="ja-JP"/>
        </w:rPr>
        <w:t>当機構</w:t>
      </w:r>
      <w:bookmarkEnd w:id="0"/>
      <w:r w:rsidRPr="00963840">
        <w:rPr>
          <w:sz w:val="21"/>
          <w:szCs w:val="21"/>
          <w:lang w:val="en-US" w:eastAsia="ja-JP"/>
        </w:rPr>
        <w:t>」）は、多文化</w:t>
      </w:r>
      <w:r w:rsidR="00761427">
        <w:rPr>
          <w:rFonts w:hint="eastAsia"/>
          <w:sz w:val="21"/>
          <w:szCs w:val="21"/>
          <w:lang w:val="en-US" w:eastAsia="ja-JP"/>
        </w:rPr>
        <w:t>保健</w:t>
      </w:r>
      <w:r w:rsidRPr="00963840">
        <w:rPr>
          <w:sz w:val="21"/>
          <w:szCs w:val="21"/>
          <w:lang w:val="en-US" w:eastAsia="ja-JP"/>
        </w:rPr>
        <w:t>分野における全国的な</w:t>
      </w:r>
      <w:r w:rsidR="00D016B3">
        <w:rPr>
          <w:rFonts w:hint="eastAsia"/>
          <w:sz w:val="21"/>
          <w:szCs w:val="21"/>
          <w:lang w:val="en-US" w:eastAsia="ja-JP"/>
        </w:rPr>
        <w:t>中央</w:t>
      </w:r>
      <w:r w:rsidR="0020539A">
        <w:rPr>
          <w:rFonts w:hint="eastAsia"/>
          <w:sz w:val="21"/>
          <w:szCs w:val="21"/>
          <w:lang w:val="en-US" w:eastAsia="ja-JP"/>
        </w:rPr>
        <w:t>機関</w:t>
      </w:r>
      <w:r w:rsidRPr="00963840">
        <w:rPr>
          <w:sz w:val="21"/>
          <w:szCs w:val="21"/>
          <w:lang w:val="en-US" w:eastAsia="ja-JP"/>
        </w:rPr>
        <w:t>で</w:t>
      </w:r>
      <w:r w:rsidR="0020539A">
        <w:rPr>
          <w:rFonts w:hint="eastAsia"/>
          <w:sz w:val="21"/>
          <w:szCs w:val="21"/>
          <w:lang w:val="en-US" w:eastAsia="ja-JP"/>
        </w:rPr>
        <w:t>ある</w:t>
      </w:r>
      <w:r w:rsidRPr="00963840">
        <w:rPr>
          <w:sz w:val="21"/>
          <w:szCs w:val="21"/>
          <w:lang w:val="en-US" w:eastAsia="ja-JP"/>
        </w:rPr>
        <w:t>。</w:t>
      </w:r>
    </w:p>
    <w:p w14:paraId="089F646D" w14:textId="1B3B4AC8" w:rsidR="2E0117F0" w:rsidRPr="00963840" w:rsidRDefault="2E0117F0" w:rsidP="00CC57A1">
      <w:pPr>
        <w:ind w:leftChars="472" w:left="850"/>
        <w:rPr>
          <w:rFonts w:ascii="Calibri" w:eastAsia="Calibri" w:hAnsi="Calibri" w:cs="Calibri"/>
          <w:i/>
          <w:iCs/>
          <w:color w:val="000000" w:themeColor="text1"/>
          <w:sz w:val="21"/>
          <w:szCs w:val="21"/>
          <w:lang w:eastAsia="ja-JP"/>
        </w:rPr>
      </w:pPr>
      <w:r w:rsidRPr="00963840">
        <w:rPr>
          <w:rStyle w:val="af1"/>
          <w:b/>
          <w:bCs/>
          <w:i/>
          <w:iCs/>
          <w:sz w:val="21"/>
          <w:szCs w:val="21"/>
          <w:lang w:val="en-US" w:eastAsia="ja-JP"/>
        </w:rPr>
        <w:t>ビジョン声明：</w:t>
      </w:r>
      <w:r w:rsidRPr="00963840">
        <w:rPr>
          <w:rStyle w:val="af1"/>
          <w:i/>
          <w:iCs/>
          <w:sz w:val="21"/>
          <w:szCs w:val="21"/>
          <w:lang w:val="en-US" w:eastAsia="ja-JP"/>
        </w:rPr>
        <w:t>真に多文化的なオーストラリアにおいて、</w:t>
      </w:r>
      <w:r w:rsidR="0020539A">
        <w:rPr>
          <w:rStyle w:val="af1"/>
          <w:i/>
          <w:iCs/>
          <w:sz w:val="21"/>
          <w:szCs w:val="21"/>
          <w:lang w:val="en-US" w:eastAsia="ja-JP"/>
        </w:rPr>
        <w:t>我々</w:t>
      </w:r>
      <w:r w:rsidRPr="00963840">
        <w:rPr>
          <w:rStyle w:val="af1"/>
          <w:i/>
          <w:iCs/>
          <w:sz w:val="21"/>
          <w:szCs w:val="21"/>
          <w:lang w:val="en-US" w:eastAsia="ja-JP"/>
        </w:rPr>
        <w:t>の保健・社会</w:t>
      </w:r>
      <w:r w:rsidR="00BD634E">
        <w:rPr>
          <w:rStyle w:val="af1"/>
          <w:rFonts w:hint="eastAsia"/>
          <w:i/>
          <w:iCs/>
          <w:sz w:val="21"/>
          <w:szCs w:val="21"/>
          <w:lang w:val="en-US" w:eastAsia="ja-JP"/>
        </w:rPr>
        <w:t>ケア</w:t>
      </w:r>
      <w:r w:rsidRPr="00963840">
        <w:rPr>
          <w:rStyle w:val="af1"/>
          <w:i/>
          <w:iCs/>
          <w:sz w:val="21"/>
          <w:szCs w:val="21"/>
          <w:lang w:val="en-US" w:eastAsia="ja-JP"/>
        </w:rPr>
        <w:t>システムは、健康の公平性に尽力し、多文化コミュニティの身体的、精神的、そして霊的な健康と</w:t>
      </w:r>
      <w:r w:rsidR="00DF70B3">
        <w:rPr>
          <w:rStyle w:val="af1"/>
          <w:rFonts w:hint="eastAsia"/>
          <w:i/>
          <w:iCs/>
          <w:sz w:val="21"/>
          <w:szCs w:val="21"/>
          <w:lang w:val="en-US" w:eastAsia="ja-JP"/>
        </w:rPr>
        <w:t>ウェルビーイング</w:t>
      </w:r>
      <w:r w:rsidRPr="00963840">
        <w:rPr>
          <w:rStyle w:val="af1"/>
          <w:i/>
          <w:iCs/>
          <w:sz w:val="21"/>
          <w:szCs w:val="21"/>
          <w:lang w:val="en-US" w:eastAsia="ja-JP"/>
        </w:rPr>
        <w:t>の持続的な向上に向けて積極的に取り組んでい</w:t>
      </w:r>
      <w:r w:rsidR="00BD634E">
        <w:rPr>
          <w:rStyle w:val="af1"/>
          <w:rFonts w:hint="eastAsia"/>
          <w:i/>
          <w:iCs/>
          <w:sz w:val="21"/>
          <w:szCs w:val="21"/>
          <w:lang w:val="en-US" w:eastAsia="ja-JP"/>
        </w:rPr>
        <w:t>る</w:t>
      </w:r>
      <w:r w:rsidRPr="00963840">
        <w:rPr>
          <w:rStyle w:val="af1"/>
          <w:i/>
          <w:iCs/>
          <w:sz w:val="21"/>
          <w:szCs w:val="21"/>
          <w:lang w:val="en-US" w:eastAsia="ja-JP"/>
        </w:rPr>
        <w:t>。</w:t>
      </w:r>
      <w:r w:rsidRPr="00963840">
        <w:rPr>
          <w:rStyle w:val="af1"/>
          <w:i/>
          <w:iCs/>
          <w:sz w:val="21"/>
          <w:szCs w:val="21"/>
          <w:lang w:val="en-US" w:eastAsia="ja-JP"/>
        </w:rPr>
        <w:t xml:space="preserve"> </w:t>
      </w:r>
    </w:p>
    <w:p w14:paraId="12203AB6" w14:textId="210571FB" w:rsidR="2E0117F0" w:rsidRPr="00963840" w:rsidRDefault="2E0117F0" w:rsidP="00C11593">
      <w:pPr>
        <w:ind w:firstLineChars="100" w:firstLine="210"/>
        <w:rPr>
          <w:rFonts w:ascii="Calibri" w:eastAsia="Calibri" w:hAnsi="Calibri" w:cs="Calibri"/>
          <w:color w:val="000000" w:themeColor="text1"/>
          <w:sz w:val="21"/>
          <w:szCs w:val="21"/>
          <w:lang w:eastAsia="ja-JP"/>
        </w:rPr>
      </w:pPr>
      <w:r w:rsidRPr="00963840">
        <w:rPr>
          <w:sz w:val="21"/>
          <w:szCs w:val="21"/>
          <w:lang w:val="en-US" w:eastAsia="ja-JP"/>
        </w:rPr>
        <w:t>当</w:t>
      </w:r>
      <w:bookmarkStart w:id="1" w:name="_Hlk234356303"/>
      <w:r w:rsidR="00BD634E">
        <w:rPr>
          <w:rFonts w:hint="eastAsia"/>
          <w:sz w:val="21"/>
          <w:szCs w:val="21"/>
          <w:lang w:val="en-US" w:eastAsia="ja-JP"/>
        </w:rPr>
        <w:t>機構</w:t>
      </w:r>
      <w:bookmarkEnd w:id="1"/>
      <w:r w:rsidRPr="00963840">
        <w:rPr>
          <w:sz w:val="21"/>
          <w:szCs w:val="21"/>
          <w:lang w:val="en-US" w:eastAsia="ja-JP"/>
        </w:rPr>
        <w:t>は、オーストラリア民族コミュニティ評議会連盟（</w:t>
      </w:r>
      <w:r w:rsidRPr="00963840">
        <w:rPr>
          <w:sz w:val="21"/>
          <w:szCs w:val="21"/>
          <w:lang w:val="en-US" w:eastAsia="ja-JP"/>
        </w:rPr>
        <w:t>FECCA</w:t>
      </w:r>
      <w:r w:rsidRPr="00963840">
        <w:rPr>
          <w:sz w:val="21"/>
          <w:szCs w:val="21"/>
          <w:lang w:val="en-US" w:eastAsia="ja-JP"/>
        </w:rPr>
        <w:t>）による</w:t>
      </w:r>
      <w:r w:rsidR="00EC6EB1">
        <w:rPr>
          <w:rFonts w:hint="eastAsia"/>
          <w:sz w:val="21"/>
          <w:szCs w:val="21"/>
          <w:lang w:val="en-US" w:eastAsia="ja-JP"/>
        </w:rPr>
        <w:t>事業</w:t>
      </w:r>
      <w:r w:rsidRPr="00963840">
        <w:rPr>
          <w:sz w:val="21"/>
          <w:szCs w:val="21"/>
          <w:lang w:val="en-US" w:eastAsia="ja-JP"/>
        </w:rPr>
        <w:t>で</w:t>
      </w:r>
      <w:r w:rsidR="00EC6EB1">
        <w:rPr>
          <w:rFonts w:hint="eastAsia"/>
          <w:sz w:val="21"/>
          <w:szCs w:val="21"/>
          <w:lang w:val="en-US" w:eastAsia="ja-JP"/>
        </w:rPr>
        <w:t>ある</w:t>
      </w:r>
      <w:r w:rsidRPr="00963840">
        <w:rPr>
          <w:sz w:val="21"/>
          <w:szCs w:val="21"/>
          <w:lang w:val="en-US" w:eastAsia="ja-JP"/>
        </w:rPr>
        <w:t>。</w:t>
      </w:r>
      <w:r w:rsidR="0020539A">
        <w:rPr>
          <w:sz w:val="21"/>
          <w:szCs w:val="21"/>
          <w:lang w:val="en-US" w:eastAsia="ja-JP"/>
        </w:rPr>
        <w:t>我々</w:t>
      </w:r>
      <w:r w:rsidRPr="00963840">
        <w:rPr>
          <w:sz w:val="21"/>
          <w:szCs w:val="21"/>
          <w:lang w:val="en-US" w:eastAsia="ja-JP"/>
        </w:rPr>
        <w:t>は、多文化背景を持つオーストラリア人のアクセスと公平性を向上させ、構造的な人種差別に対処し、より良い健康とウェルビーイングの成果を達成するために、政策、研究、データ、実践に関する全国的な発言力、リーダーシップ、助言を提供してい</w:t>
      </w:r>
      <w:r w:rsidR="00647E27">
        <w:rPr>
          <w:rFonts w:hint="eastAsia"/>
          <w:sz w:val="21"/>
          <w:szCs w:val="21"/>
          <w:lang w:val="en-US" w:eastAsia="ja-JP"/>
        </w:rPr>
        <w:t>る</w:t>
      </w:r>
      <w:r w:rsidRPr="00963840">
        <w:rPr>
          <w:sz w:val="21"/>
          <w:szCs w:val="21"/>
          <w:lang w:val="en-US" w:eastAsia="ja-JP"/>
        </w:rPr>
        <w:t>。</w:t>
      </w:r>
      <w:r w:rsidRPr="00963840">
        <w:rPr>
          <w:sz w:val="21"/>
          <w:szCs w:val="21"/>
          <w:lang w:val="en-US" w:eastAsia="ja-JP"/>
        </w:rPr>
        <w:t xml:space="preserve"> </w:t>
      </w:r>
    </w:p>
    <w:p w14:paraId="4D1D81B1" w14:textId="1EEEB50F" w:rsidR="2E0117F0" w:rsidRPr="00963840" w:rsidRDefault="2E0117F0" w:rsidP="00C11593">
      <w:pPr>
        <w:ind w:firstLineChars="100" w:firstLine="210"/>
        <w:rPr>
          <w:rFonts w:ascii="Calibri" w:eastAsia="Calibri" w:hAnsi="Calibri" w:cs="Calibri"/>
          <w:color w:val="000000" w:themeColor="text1"/>
          <w:sz w:val="21"/>
          <w:szCs w:val="21"/>
          <w:lang w:eastAsia="ja-JP"/>
        </w:rPr>
      </w:pPr>
      <w:r w:rsidRPr="00963840">
        <w:rPr>
          <w:sz w:val="21"/>
          <w:szCs w:val="21"/>
          <w:lang w:val="en-US" w:eastAsia="ja-JP"/>
        </w:rPr>
        <w:t>当</w:t>
      </w:r>
      <w:r w:rsidR="00BD634E" w:rsidRPr="00BD634E">
        <w:rPr>
          <w:rFonts w:hint="eastAsia"/>
          <w:sz w:val="21"/>
          <w:szCs w:val="21"/>
          <w:lang w:val="en-US" w:eastAsia="ja-JP"/>
        </w:rPr>
        <w:t>機構</w:t>
      </w:r>
      <w:r w:rsidRPr="00963840">
        <w:rPr>
          <w:sz w:val="21"/>
          <w:szCs w:val="21"/>
          <w:lang w:val="en-US" w:eastAsia="ja-JP"/>
        </w:rPr>
        <w:t>は</w:t>
      </w:r>
      <w:r w:rsidR="00FE28A8">
        <w:rPr>
          <w:rFonts w:hint="eastAsia"/>
          <w:sz w:val="21"/>
          <w:szCs w:val="21"/>
          <w:lang w:val="en-US" w:eastAsia="ja-JP"/>
        </w:rPr>
        <w:t>全員参加の組織で</w:t>
      </w:r>
      <w:r w:rsidRPr="00963840">
        <w:rPr>
          <w:sz w:val="21"/>
          <w:szCs w:val="21"/>
          <w:lang w:val="en-US" w:eastAsia="ja-JP"/>
        </w:rPr>
        <w:t>、会員制を採用してい</w:t>
      </w:r>
      <w:r w:rsidR="00871E36">
        <w:rPr>
          <w:rFonts w:hint="eastAsia"/>
          <w:sz w:val="21"/>
          <w:szCs w:val="21"/>
          <w:lang w:val="en-US" w:eastAsia="ja-JP"/>
        </w:rPr>
        <w:t>る</w:t>
      </w:r>
      <w:r w:rsidRPr="00963840">
        <w:rPr>
          <w:sz w:val="21"/>
          <w:szCs w:val="21"/>
          <w:lang w:val="en-US" w:eastAsia="ja-JP"/>
        </w:rPr>
        <w:t>。会員には、</w:t>
      </w:r>
      <w:r w:rsidR="003C7B86">
        <w:rPr>
          <w:rFonts w:hint="eastAsia"/>
          <w:sz w:val="21"/>
          <w:szCs w:val="21"/>
          <w:lang w:val="en-US" w:eastAsia="ja-JP"/>
        </w:rPr>
        <w:t>サービス</w:t>
      </w:r>
      <w:r w:rsidRPr="00963840">
        <w:rPr>
          <w:sz w:val="21"/>
          <w:szCs w:val="21"/>
          <w:lang w:val="en-US" w:eastAsia="ja-JP"/>
        </w:rPr>
        <w:t>利用者や</w:t>
      </w:r>
      <w:r w:rsidR="003C7B86">
        <w:rPr>
          <w:rFonts w:hint="eastAsia"/>
          <w:sz w:val="21"/>
          <w:szCs w:val="21"/>
          <w:lang w:val="en-US" w:eastAsia="ja-JP"/>
        </w:rPr>
        <w:t>ケア提供者</w:t>
      </w:r>
      <w:r w:rsidRPr="00963840">
        <w:rPr>
          <w:sz w:val="21"/>
          <w:szCs w:val="21"/>
          <w:lang w:val="en-US" w:eastAsia="ja-JP"/>
        </w:rPr>
        <w:t>、保健サービスおよびウェルビーイング／社会</w:t>
      </w:r>
      <w:r w:rsidR="00BD0FDB">
        <w:rPr>
          <w:rFonts w:hint="eastAsia"/>
          <w:sz w:val="21"/>
          <w:szCs w:val="21"/>
          <w:lang w:val="en-US" w:eastAsia="ja-JP"/>
        </w:rPr>
        <w:t>ケア</w:t>
      </w:r>
      <w:r w:rsidRPr="00963840">
        <w:rPr>
          <w:sz w:val="21"/>
          <w:szCs w:val="21"/>
          <w:lang w:val="en-US" w:eastAsia="ja-JP"/>
        </w:rPr>
        <w:t>サービス、実務者、研究者が含まれ</w:t>
      </w:r>
      <w:r w:rsidR="009B15BE">
        <w:rPr>
          <w:rFonts w:hint="eastAsia"/>
          <w:sz w:val="21"/>
          <w:szCs w:val="21"/>
          <w:lang w:val="en-US" w:eastAsia="ja-JP"/>
        </w:rPr>
        <w:t>る</w:t>
      </w:r>
      <w:r w:rsidRPr="00963840">
        <w:rPr>
          <w:sz w:val="21"/>
          <w:szCs w:val="21"/>
          <w:lang w:val="en-US" w:eastAsia="ja-JP"/>
        </w:rPr>
        <w:t>。また、当</w:t>
      </w:r>
      <w:r w:rsidR="009B15BE">
        <w:rPr>
          <w:rFonts w:hint="eastAsia"/>
          <w:sz w:val="21"/>
          <w:szCs w:val="21"/>
          <w:lang w:val="en-US" w:eastAsia="ja-JP"/>
        </w:rPr>
        <w:t>機構</w:t>
      </w:r>
      <w:r w:rsidRPr="00963840">
        <w:rPr>
          <w:sz w:val="21"/>
          <w:szCs w:val="21"/>
          <w:lang w:val="en-US" w:eastAsia="ja-JP"/>
        </w:rPr>
        <w:t>は、他の全国的な保健分野の主要団体を提携団体として歓迎してい</w:t>
      </w:r>
      <w:r w:rsidR="00BB6088">
        <w:rPr>
          <w:rFonts w:hint="eastAsia"/>
          <w:sz w:val="21"/>
          <w:szCs w:val="21"/>
          <w:lang w:val="en-US" w:eastAsia="ja-JP"/>
        </w:rPr>
        <w:t>る</w:t>
      </w:r>
      <w:r w:rsidRPr="00963840">
        <w:rPr>
          <w:sz w:val="21"/>
          <w:szCs w:val="21"/>
          <w:lang w:val="en-US" w:eastAsia="ja-JP"/>
        </w:rPr>
        <w:t>。</w:t>
      </w:r>
    </w:p>
    <w:p w14:paraId="3B102660" w14:textId="71D3DC8C" w:rsidR="2E0117F0" w:rsidRPr="00963840" w:rsidRDefault="00135617" w:rsidP="68A87195">
      <w:pPr>
        <w:pStyle w:val="4"/>
        <w:keepNext/>
        <w:keepLines/>
        <w:spacing w:before="240"/>
        <w:rPr>
          <w:rFonts w:eastAsia="Rational Display Book"/>
          <w:sz w:val="21"/>
          <w:szCs w:val="21"/>
          <w:lang w:eastAsia="ja-JP"/>
        </w:rPr>
      </w:pPr>
      <w:r w:rsidRPr="00963840">
        <w:rPr>
          <w:sz w:val="21"/>
          <w:szCs w:val="21"/>
          <w:lang w:val="en-US" w:eastAsia="ja-JP"/>
        </w:rPr>
        <w:t>はじめに</w:t>
      </w:r>
    </w:p>
    <w:p w14:paraId="402EB52F" w14:textId="1CAE730F" w:rsidR="00B205E5" w:rsidRPr="00963840" w:rsidRDefault="00B205E5" w:rsidP="00C11593">
      <w:pPr>
        <w:ind w:firstLineChars="100" w:firstLine="210"/>
        <w:rPr>
          <w:sz w:val="21"/>
          <w:szCs w:val="21"/>
          <w:lang w:eastAsia="ja-JP"/>
        </w:rPr>
      </w:pPr>
      <w:r w:rsidRPr="00963840">
        <w:rPr>
          <w:sz w:val="21"/>
          <w:szCs w:val="21"/>
          <w:lang w:eastAsia="ja-JP"/>
        </w:rPr>
        <w:t>オーストラリア多文化</w:t>
      </w:r>
      <w:r w:rsidR="00895B49">
        <w:rPr>
          <w:rFonts w:hint="eastAsia"/>
          <w:sz w:val="21"/>
          <w:szCs w:val="21"/>
          <w:lang w:eastAsia="ja-JP"/>
        </w:rPr>
        <w:t>保健</w:t>
      </w:r>
      <w:r w:rsidR="00612825">
        <w:rPr>
          <w:rFonts w:hint="eastAsia"/>
          <w:sz w:val="21"/>
          <w:szCs w:val="21"/>
          <w:lang w:eastAsia="ja-JP"/>
        </w:rPr>
        <w:t>協力機構</w:t>
      </w:r>
      <w:r w:rsidRPr="00963840">
        <w:rPr>
          <w:sz w:val="21"/>
          <w:szCs w:val="21"/>
          <w:lang w:eastAsia="ja-JP"/>
        </w:rPr>
        <w:t>は、高齢者の人権に関する法的拘束力のある国際条約の策定に貢献できる機会を歓迎</w:t>
      </w:r>
      <w:r w:rsidR="00612825">
        <w:rPr>
          <w:rFonts w:hint="eastAsia"/>
          <w:sz w:val="21"/>
          <w:szCs w:val="21"/>
          <w:lang w:eastAsia="ja-JP"/>
        </w:rPr>
        <w:t>する</w:t>
      </w:r>
      <w:r w:rsidRPr="00963840">
        <w:rPr>
          <w:sz w:val="21"/>
          <w:szCs w:val="21"/>
          <w:lang w:eastAsia="ja-JP"/>
        </w:rPr>
        <w:t>。</w:t>
      </w:r>
    </w:p>
    <w:p w14:paraId="5AE99760" w14:textId="419AA1C4" w:rsidR="00B205E5" w:rsidRPr="00963840" w:rsidRDefault="00B205E5" w:rsidP="00C11593">
      <w:pPr>
        <w:ind w:firstLineChars="100" w:firstLine="210"/>
        <w:rPr>
          <w:sz w:val="21"/>
          <w:szCs w:val="21"/>
          <w:lang w:eastAsia="ja-JP"/>
        </w:rPr>
      </w:pPr>
      <w:r w:rsidRPr="00963840">
        <w:rPr>
          <w:sz w:val="21"/>
          <w:szCs w:val="21"/>
          <w:lang w:eastAsia="ja-JP"/>
        </w:rPr>
        <w:t>本意見書は、</w:t>
      </w:r>
      <w:r w:rsidR="0040566C">
        <w:rPr>
          <w:rFonts w:hint="eastAsia"/>
          <w:sz w:val="21"/>
          <w:szCs w:val="21"/>
          <w:lang w:eastAsia="ja-JP"/>
        </w:rPr>
        <w:t>全国</w:t>
      </w:r>
      <w:r w:rsidRPr="00963840">
        <w:rPr>
          <w:sz w:val="21"/>
          <w:szCs w:val="21"/>
          <w:lang w:eastAsia="ja-JP"/>
        </w:rPr>
        <w:t>レベルの政策</w:t>
      </w:r>
      <w:r w:rsidR="00ED480B">
        <w:rPr>
          <w:rFonts w:hint="eastAsia"/>
          <w:sz w:val="21"/>
          <w:szCs w:val="21"/>
          <w:lang w:eastAsia="ja-JP"/>
        </w:rPr>
        <w:t>活動</w:t>
      </w:r>
      <w:r w:rsidRPr="00963840">
        <w:rPr>
          <w:sz w:val="21"/>
          <w:szCs w:val="21"/>
          <w:lang w:eastAsia="ja-JP"/>
        </w:rPr>
        <w:t>、多文化コミュニティや</w:t>
      </w:r>
      <w:r w:rsidR="00612825">
        <w:rPr>
          <w:rFonts w:hint="eastAsia"/>
          <w:sz w:val="21"/>
          <w:szCs w:val="21"/>
          <w:lang w:eastAsia="ja-JP"/>
        </w:rPr>
        <w:t>関係者</w:t>
      </w:r>
      <w:r w:rsidRPr="00963840">
        <w:rPr>
          <w:sz w:val="21"/>
          <w:szCs w:val="21"/>
          <w:lang w:eastAsia="ja-JP"/>
        </w:rPr>
        <w:t>との協議、およびオーストラリアの保健・高齢化システムに関する応用研究に基づいて作成されてい</w:t>
      </w:r>
      <w:r w:rsidR="00424319">
        <w:rPr>
          <w:rFonts w:hint="eastAsia"/>
          <w:sz w:val="21"/>
          <w:szCs w:val="21"/>
          <w:lang w:eastAsia="ja-JP"/>
        </w:rPr>
        <w:t>る</w:t>
      </w:r>
      <w:r w:rsidRPr="00963840">
        <w:rPr>
          <w:sz w:val="21"/>
          <w:szCs w:val="21"/>
          <w:lang w:eastAsia="ja-JP"/>
        </w:rPr>
        <w:t>。</w:t>
      </w:r>
    </w:p>
    <w:p w14:paraId="4E612CC5" w14:textId="27BC2F52" w:rsidR="00B205E5" w:rsidRPr="00963840" w:rsidRDefault="000A07F0" w:rsidP="00E4512A">
      <w:pPr>
        <w:ind w:firstLineChars="100" w:firstLine="210"/>
        <w:rPr>
          <w:sz w:val="21"/>
          <w:szCs w:val="21"/>
          <w:lang w:eastAsia="ja-JP"/>
        </w:rPr>
      </w:pPr>
      <w:r>
        <w:rPr>
          <w:rFonts w:hint="eastAsia"/>
          <w:sz w:val="21"/>
          <w:szCs w:val="21"/>
          <w:lang w:eastAsia="ja-JP"/>
        </w:rPr>
        <w:t>我々</w:t>
      </w:r>
      <w:r w:rsidR="00B205E5" w:rsidRPr="00963840">
        <w:rPr>
          <w:sz w:val="21"/>
          <w:szCs w:val="21"/>
          <w:lang w:eastAsia="ja-JP"/>
        </w:rPr>
        <w:t>は、高齢者の権利に関する国連条約の策定を強く支持しており、オーストラリア民族コミュニティ評議会連盟（</w:t>
      </w:r>
      <w:r w:rsidR="00B205E5" w:rsidRPr="00963840">
        <w:rPr>
          <w:sz w:val="21"/>
          <w:szCs w:val="21"/>
          <w:lang w:eastAsia="ja-JP"/>
        </w:rPr>
        <w:t>Federation of Ethnic Communities’ Councils of Australia</w:t>
      </w:r>
      <w:r w:rsidR="00B205E5" w:rsidRPr="00963840">
        <w:rPr>
          <w:sz w:val="21"/>
          <w:szCs w:val="21"/>
          <w:lang w:eastAsia="ja-JP"/>
        </w:rPr>
        <w:t>）を含むオーストラリアの幅広い市民社会組織連合が提唱する立場に賛同し、このような条約を保護と説明責任を強化するための重要な一歩であると認識してい</w:t>
      </w:r>
      <w:r w:rsidR="00424319">
        <w:rPr>
          <w:rFonts w:hint="eastAsia"/>
          <w:sz w:val="21"/>
          <w:szCs w:val="21"/>
          <w:lang w:eastAsia="ja-JP"/>
        </w:rPr>
        <w:t>る</w:t>
      </w:r>
      <w:r w:rsidR="00B205E5" w:rsidRPr="00963840">
        <w:rPr>
          <w:sz w:val="21"/>
          <w:szCs w:val="21"/>
          <w:lang w:eastAsia="ja-JP"/>
        </w:rPr>
        <w:t>。</w:t>
      </w:r>
    </w:p>
    <w:p w14:paraId="00FF54D1" w14:textId="2537D7C7" w:rsidR="00B205E5" w:rsidRPr="00963840" w:rsidRDefault="00B205E5" w:rsidP="00C11593">
      <w:pPr>
        <w:ind w:firstLineChars="100" w:firstLine="210"/>
        <w:rPr>
          <w:sz w:val="21"/>
          <w:szCs w:val="21"/>
          <w:lang w:eastAsia="ja-JP"/>
        </w:rPr>
      </w:pPr>
      <w:r w:rsidRPr="00963840">
        <w:rPr>
          <w:sz w:val="21"/>
          <w:szCs w:val="21"/>
          <w:lang w:eastAsia="ja-JP"/>
        </w:rPr>
        <w:t>我々の観点</w:t>
      </w:r>
      <w:r w:rsidR="00DF2C11">
        <w:rPr>
          <w:rFonts w:hint="eastAsia"/>
          <w:sz w:val="21"/>
          <w:szCs w:val="21"/>
          <w:lang w:eastAsia="ja-JP"/>
        </w:rPr>
        <w:t>では</w:t>
      </w:r>
      <w:r w:rsidRPr="00963840">
        <w:rPr>
          <w:sz w:val="21"/>
          <w:szCs w:val="21"/>
          <w:lang w:eastAsia="ja-JP"/>
        </w:rPr>
        <w:t>、核心</w:t>
      </w:r>
      <w:r w:rsidR="0037075D">
        <w:rPr>
          <w:rFonts w:hint="eastAsia"/>
          <w:sz w:val="21"/>
          <w:szCs w:val="21"/>
          <w:lang w:eastAsia="ja-JP"/>
        </w:rPr>
        <w:t>の</w:t>
      </w:r>
      <w:r w:rsidRPr="00963840">
        <w:rPr>
          <w:sz w:val="21"/>
          <w:szCs w:val="21"/>
          <w:lang w:eastAsia="ja-JP"/>
        </w:rPr>
        <w:t>問題は、権利が明文化されているかどうかではなく、特に多様で</w:t>
      </w:r>
      <w:r w:rsidR="00942DE2">
        <w:rPr>
          <w:rFonts w:hint="eastAsia"/>
          <w:sz w:val="21"/>
          <w:szCs w:val="21"/>
          <w:lang w:eastAsia="ja-JP"/>
        </w:rPr>
        <w:t>片隅に置かれた</w:t>
      </w:r>
      <w:r w:rsidRPr="00963840">
        <w:rPr>
          <w:sz w:val="21"/>
          <w:szCs w:val="21"/>
          <w:lang w:eastAsia="ja-JP"/>
        </w:rPr>
        <w:t>人々にとって、その権利が実際に利用可能であり、実行可能であるかどうかである。</w:t>
      </w:r>
    </w:p>
    <w:p w14:paraId="5E6581D5" w14:textId="52A79646" w:rsidR="00B205E5" w:rsidRPr="00963840" w:rsidRDefault="00B205E5" w:rsidP="00C11593">
      <w:pPr>
        <w:ind w:firstLineChars="100" w:firstLine="210"/>
        <w:rPr>
          <w:sz w:val="21"/>
          <w:szCs w:val="21"/>
          <w:lang w:eastAsia="ja-JP"/>
        </w:rPr>
      </w:pPr>
      <w:r w:rsidRPr="00963840">
        <w:rPr>
          <w:sz w:val="21"/>
          <w:szCs w:val="21"/>
          <w:lang w:eastAsia="ja-JP"/>
        </w:rPr>
        <w:lastRenderedPageBreak/>
        <w:t>以下に、主要なメッセージ、オーストラリア</w:t>
      </w:r>
      <w:r w:rsidR="000C3B1B">
        <w:rPr>
          <w:rFonts w:hint="eastAsia"/>
          <w:sz w:val="21"/>
          <w:szCs w:val="21"/>
          <w:lang w:eastAsia="ja-JP"/>
        </w:rPr>
        <w:t>の</w:t>
      </w:r>
      <w:r w:rsidRPr="00963840">
        <w:rPr>
          <w:sz w:val="21"/>
          <w:szCs w:val="21"/>
          <w:lang w:eastAsia="ja-JP"/>
        </w:rPr>
        <w:t>多文化コミュニティ、人権、高齢化に関する背景情報、および人権高等弁務官事務所（</w:t>
      </w:r>
      <w:r w:rsidRPr="00963840">
        <w:rPr>
          <w:sz w:val="21"/>
          <w:szCs w:val="21"/>
          <w:lang w:eastAsia="ja-JP"/>
        </w:rPr>
        <w:t>OHCHR</w:t>
      </w:r>
      <w:r w:rsidRPr="00963840">
        <w:rPr>
          <w:sz w:val="21"/>
          <w:szCs w:val="21"/>
          <w:lang w:eastAsia="ja-JP"/>
        </w:rPr>
        <w:t>）から提示された</w:t>
      </w:r>
      <w:r w:rsidRPr="00963840">
        <w:rPr>
          <w:sz w:val="21"/>
          <w:szCs w:val="21"/>
          <w:lang w:eastAsia="ja-JP"/>
        </w:rPr>
        <w:t>3</w:t>
      </w:r>
      <w:r w:rsidRPr="00963840">
        <w:rPr>
          <w:sz w:val="21"/>
          <w:szCs w:val="21"/>
          <w:lang w:eastAsia="ja-JP"/>
        </w:rPr>
        <w:t>つの質問に対する回答を</w:t>
      </w:r>
      <w:r w:rsidR="00036559">
        <w:rPr>
          <w:rFonts w:hint="eastAsia"/>
          <w:sz w:val="21"/>
          <w:szCs w:val="21"/>
          <w:lang w:eastAsia="ja-JP"/>
        </w:rPr>
        <w:t>述べ</w:t>
      </w:r>
      <w:r w:rsidRPr="00963840">
        <w:rPr>
          <w:sz w:val="21"/>
          <w:szCs w:val="21"/>
          <w:lang w:eastAsia="ja-JP"/>
        </w:rPr>
        <w:t>る。</w:t>
      </w:r>
      <w:r w:rsidRPr="00963840">
        <w:rPr>
          <w:sz w:val="21"/>
          <w:szCs w:val="21"/>
          <w:lang w:eastAsia="ja-JP"/>
        </w:rPr>
        <w:t xml:space="preserve"> </w:t>
      </w:r>
    </w:p>
    <w:p w14:paraId="1D0C72B9" w14:textId="3C2C6E5F" w:rsidR="00EC1565" w:rsidRPr="00963840" w:rsidRDefault="00B205E5" w:rsidP="4EFEA5C4">
      <w:pPr>
        <w:rPr>
          <w:b/>
          <w:bCs/>
          <w:sz w:val="21"/>
          <w:szCs w:val="21"/>
          <w:lang w:val="en-AU"/>
        </w:rPr>
      </w:pPr>
      <w:r w:rsidRPr="00963840">
        <w:rPr>
          <w:b/>
          <w:bCs/>
          <w:sz w:val="21"/>
          <w:szCs w:val="21"/>
          <w:lang w:val="en-AU"/>
        </w:rPr>
        <w:t>主要なメッセージ</w:t>
      </w:r>
    </w:p>
    <w:p w14:paraId="439FD91E" w14:textId="77777777" w:rsidR="00B205E5" w:rsidRPr="00963840" w:rsidRDefault="00B205E5" w:rsidP="00B205E5">
      <w:pPr>
        <w:numPr>
          <w:ilvl w:val="0"/>
          <w:numId w:val="26"/>
        </w:numPr>
        <w:spacing w:after="0"/>
        <w:rPr>
          <w:sz w:val="21"/>
          <w:szCs w:val="21"/>
          <w:lang w:val="en-AU" w:eastAsia="ja-JP"/>
        </w:rPr>
      </w:pPr>
      <w:r w:rsidRPr="00963840">
        <w:rPr>
          <w:sz w:val="21"/>
          <w:szCs w:val="21"/>
          <w:lang w:val="en-AU" w:eastAsia="ja-JP"/>
        </w:rPr>
        <w:t>法的拘束力のある文書は、人権に基づく、公平性を重視する枠組みに立脚すべきであり、それによって、高齢者が原則として権利の保有者として認識されるだけでなく、実際にその権利を行使できることが保証されなければならない。</w:t>
      </w:r>
    </w:p>
    <w:p w14:paraId="66591F59" w14:textId="285DECB2" w:rsidR="00B205E5" w:rsidRPr="00963840" w:rsidRDefault="00B205E5" w:rsidP="00B205E5">
      <w:pPr>
        <w:numPr>
          <w:ilvl w:val="0"/>
          <w:numId w:val="26"/>
        </w:numPr>
        <w:spacing w:after="0"/>
        <w:rPr>
          <w:sz w:val="21"/>
          <w:szCs w:val="21"/>
          <w:lang w:val="en-AU" w:eastAsia="ja-JP"/>
        </w:rPr>
      </w:pPr>
      <w:r w:rsidRPr="00963840">
        <w:rPr>
          <w:sz w:val="21"/>
          <w:szCs w:val="21"/>
          <w:lang w:val="en-AU" w:eastAsia="ja-JP"/>
        </w:rPr>
        <w:t>この文書は、形式的な平等にとどまらず、特に文化的・言語的に多様な背景を持つ人を含む多様な集団にとって、権利へのアクセスを制限する構造的な障壁に対処すべきである。</w:t>
      </w:r>
    </w:p>
    <w:p w14:paraId="0414962B" w14:textId="7208CB28" w:rsidR="00B205E5" w:rsidRPr="00963840" w:rsidRDefault="00B205E5" w:rsidP="00B205E5">
      <w:pPr>
        <w:numPr>
          <w:ilvl w:val="0"/>
          <w:numId w:val="26"/>
        </w:numPr>
        <w:spacing w:after="0"/>
        <w:rPr>
          <w:sz w:val="21"/>
          <w:szCs w:val="21"/>
          <w:lang w:val="en-AU" w:eastAsia="ja-JP"/>
        </w:rPr>
      </w:pPr>
      <w:r w:rsidRPr="00963840">
        <w:rPr>
          <w:sz w:val="21"/>
          <w:szCs w:val="21"/>
          <w:lang w:val="en-AU" w:eastAsia="ja-JP"/>
        </w:rPr>
        <w:t>中核となる原則には、尊厳、自律、平等、参加が含まれるべきであり、</w:t>
      </w:r>
      <w:r w:rsidR="00896BE9">
        <w:rPr>
          <w:rFonts w:hint="eastAsia"/>
          <w:sz w:val="21"/>
          <w:szCs w:val="21"/>
          <w:lang w:val="en-AU" w:eastAsia="ja-JP"/>
        </w:rPr>
        <w:t>さらに</w:t>
      </w:r>
      <w:r w:rsidRPr="00963840">
        <w:rPr>
          <w:sz w:val="21"/>
          <w:szCs w:val="21"/>
          <w:lang w:val="en-AU" w:eastAsia="ja-JP"/>
        </w:rPr>
        <w:t>文化的安全性、言語的アクセシビリティ、および成果</w:t>
      </w:r>
      <w:r w:rsidR="00A80941">
        <w:rPr>
          <w:rFonts w:hint="eastAsia"/>
          <w:sz w:val="21"/>
          <w:szCs w:val="21"/>
          <w:lang w:val="en-AU" w:eastAsia="ja-JP"/>
        </w:rPr>
        <w:t>の</w:t>
      </w:r>
      <w:r w:rsidRPr="00963840">
        <w:rPr>
          <w:sz w:val="21"/>
          <w:szCs w:val="21"/>
          <w:lang w:val="en-AU" w:eastAsia="ja-JP"/>
        </w:rPr>
        <w:t>公平性を</w:t>
      </w:r>
      <w:r w:rsidR="00FD4209">
        <w:rPr>
          <w:rFonts w:hint="eastAsia"/>
          <w:sz w:val="21"/>
          <w:szCs w:val="21"/>
          <w:lang w:val="en-AU" w:eastAsia="ja-JP"/>
        </w:rPr>
        <w:t>明確に認めて</w:t>
      </w:r>
      <w:r w:rsidRPr="00963840">
        <w:rPr>
          <w:sz w:val="21"/>
          <w:szCs w:val="21"/>
          <w:lang w:val="en-AU" w:eastAsia="ja-JP"/>
        </w:rPr>
        <w:t>、</w:t>
      </w:r>
      <w:r w:rsidR="007C15A3">
        <w:rPr>
          <w:rFonts w:hint="eastAsia"/>
          <w:sz w:val="21"/>
          <w:szCs w:val="21"/>
          <w:lang w:val="en-AU" w:eastAsia="ja-JP"/>
        </w:rPr>
        <w:t>そ</w:t>
      </w:r>
      <w:r w:rsidRPr="00963840">
        <w:rPr>
          <w:sz w:val="21"/>
          <w:szCs w:val="21"/>
          <w:lang w:val="en-AU" w:eastAsia="ja-JP"/>
        </w:rPr>
        <w:t>れらの原則</w:t>
      </w:r>
      <w:r w:rsidR="00A80941">
        <w:rPr>
          <w:rFonts w:hint="eastAsia"/>
          <w:sz w:val="21"/>
          <w:szCs w:val="21"/>
          <w:lang w:val="en-AU" w:eastAsia="ja-JP"/>
        </w:rPr>
        <w:t>を</w:t>
      </w:r>
      <w:r w:rsidRPr="00963840">
        <w:rPr>
          <w:sz w:val="21"/>
          <w:szCs w:val="21"/>
          <w:lang w:val="en-AU" w:eastAsia="ja-JP"/>
        </w:rPr>
        <w:t>強化</w:t>
      </w:r>
      <w:r w:rsidR="00A80941">
        <w:rPr>
          <w:rFonts w:hint="eastAsia"/>
          <w:sz w:val="21"/>
          <w:szCs w:val="21"/>
          <w:lang w:val="en-AU" w:eastAsia="ja-JP"/>
        </w:rPr>
        <w:t>す</w:t>
      </w:r>
      <w:r w:rsidRPr="00963840">
        <w:rPr>
          <w:sz w:val="21"/>
          <w:szCs w:val="21"/>
          <w:lang w:val="en-AU" w:eastAsia="ja-JP"/>
        </w:rPr>
        <w:t>るべきである。</w:t>
      </w:r>
    </w:p>
    <w:p w14:paraId="24D19443" w14:textId="667105AC" w:rsidR="00B205E5" w:rsidRPr="00963840" w:rsidRDefault="00B205E5" w:rsidP="00B205E5">
      <w:pPr>
        <w:numPr>
          <w:ilvl w:val="0"/>
          <w:numId w:val="26"/>
        </w:numPr>
        <w:spacing w:after="0"/>
        <w:rPr>
          <w:sz w:val="21"/>
          <w:szCs w:val="21"/>
          <w:lang w:val="en-AU" w:eastAsia="ja-JP"/>
        </w:rPr>
      </w:pPr>
      <w:r w:rsidRPr="00963840">
        <w:rPr>
          <w:sz w:val="21"/>
          <w:szCs w:val="21"/>
          <w:lang w:val="en-AU" w:eastAsia="ja-JP"/>
        </w:rPr>
        <w:t>この枠組みは、既存の人権を再確認するとともに、</w:t>
      </w:r>
      <w:r w:rsidR="00464E5C" w:rsidRPr="00963840">
        <w:rPr>
          <w:sz w:val="21"/>
          <w:szCs w:val="21"/>
          <w:lang w:val="en-AU" w:eastAsia="ja-JP"/>
        </w:rPr>
        <w:t>高齢期にそれらがいかに適用されるかを明確にすべきである。</w:t>
      </w:r>
      <w:r w:rsidRPr="00963840">
        <w:rPr>
          <w:sz w:val="21"/>
          <w:szCs w:val="21"/>
          <w:lang w:val="en-AU" w:eastAsia="ja-JP"/>
        </w:rPr>
        <w:t>特に文化的に</w:t>
      </w:r>
      <w:r w:rsidR="00CC7D6F">
        <w:rPr>
          <w:rFonts w:hint="eastAsia"/>
          <w:sz w:val="21"/>
          <w:szCs w:val="21"/>
          <w:lang w:val="en-AU" w:eastAsia="ja-JP"/>
        </w:rPr>
        <w:t>配慮された</w:t>
      </w:r>
      <w:r w:rsidRPr="00963840">
        <w:rPr>
          <w:sz w:val="21"/>
          <w:szCs w:val="21"/>
          <w:lang w:val="en-AU" w:eastAsia="ja-JP"/>
        </w:rPr>
        <w:t>ケアへのアクセス、情報へのアクセス、制度の利用</w:t>
      </w:r>
      <w:r w:rsidR="007C15A3">
        <w:rPr>
          <w:rFonts w:hint="eastAsia"/>
          <w:sz w:val="21"/>
          <w:szCs w:val="21"/>
          <w:lang w:val="en-AU" w:eastAsia="ja-JP"/>
        </w:rPr>
        <w:t>支援</w:t>
      </w:r>
      <w:r w:rsidRPr="00963840">
        <w:rPr>
          <w:sz w:val="21"/>
          <w:szCs w:val="21"/>
          <w:lang w:val="en-AU" w:eastAsia="ja-JP"/>
        </w:rPr>
        <w:t>、孤立や排除からの保護といった分野において</w:t>
      </w:r>
      <w:r w:rsidR="00710044">
        <w:rPr>
          <w:rFonts w:hint="eastAsia"/>
          <w:sz w:val="21"/>
          <w:szCs w:val="21"/>
          <w:lang w:val="en-AU" w:eastAsia="ja-JP"/>
        </w:rPr>
        <w:t>。</w:t>
      </w:r>
    </w:p>
    <w:p w14:paraId="1731A15D" w14:textId="55523525" w:rsidR="00B205E5" w:rsidRPr="00963840" w:rsidRDefault="00B205E5" w:rsidP="00B205E5">
      <w:pPr>
        <w:numPr>
          <w:ilvl w:val="0"/>
          <w:numId w:val="26"/>
        </w:numPr>
        <w:spacing w:after="0"/>
        <w:rPr>
          <w:sz w:val="21"/>
          <w:szCs w:val="21"/>
          <w:lang w:val="en-AU" w:eastAsia="ja-JP"/>
        </w:rPr>
      </w:pPr>
      <w:r w:rsidRPr="00963840">
        <w:rPr>
          <w:sz w:val="21"/>
          <w:szCs w:val="21"/>
          <w:lang w:val="en-AU" w:eastAsia="ja-JP"/>
        </w:rPr>
        <w:t>データ、参加、</w:t>
      </w:r>
      <w:r w:rsidR="001302A2">
        <w:rPr>
          <w:rFonts w:hint="eastAsia"/>
          <w:sz w:val="21"/>
          <w:szCs w:val="21"/>
          <w:lang w:val="en-AU" w:eastAsia="ja-JP"/>
        </w:rPr>
        <w:t>監視</w:t>
      </w:r>
      <w:r w:rsidRPr="00963840">
        <w:rPr>
          <w:sz w:val="21"/>
          <w:szCs w:val="21"/>
          <w:lang w:val="en-AU" w:eastAsia="ja-JP"/>
        </w:rPr>
        <w:t>を含む強力な実施および説明責任のメカニズムに支えられた、明確かつ首尾一貫した</w:t>
      </w:r>
      <w:r w:rsidR="007C15A3">
        <w:rPr>
          <w:rFonts w:hint="eastAsia"/>
          <w:sz w:val="21"/>
          <w:szCs w:val="21"/>
          <w:lang w:val="en-AU" w:eastAsia="ja-JP"/>
        </w:rPr>
        <w:t>構成</w:t>
      </w:r>
      <w:r w:rsidRPr="00963840">
        <w:rPr>
          <w:sz w:val="21"/>
          <w:szCs w:val="21"/>
          <w:lang w:val="en-AU" w:eastAsia="ja-JP"/>
        </w:rPr>
        <w:t>は、この枠組みが実用的かつ測定可能な変化を確実に</w:t>
      </w:r>
      <w:r w:rsidR="005C22C7">
        <w:rPr>
          <w:rFonts w:hint="eastAsia"/>
          <w:sz w:val="21"/>
          <w:szCs w:val="21"/>
          <w:lang w:val="en-AU" w:eastAsia="ja-JP"/>
        </w:rPr>
        <w:t>もたらす</w:t>
      </w:r>
      <w:r w:rsidRPr="00963840">
        <w:rPr>
          <w:sz w:val="21"/>
          <w:szCs w:val="21"/>
          <w:lang w:val="en-AU" w:eastAsia="ja-JP"/>
        </w:rPr>
        <w:t>ために不可欠である。</w:t>
      </w:r>
    </w:p>
    <w:p w14:paraId="68C145D3" w14:textId="77777777" w:rsidR="00B205E5" w:rsidRPr="00963840" w:rsidRDefault="00B205E5" w:rsidP="00000077">
      <w:pPr>
        <w:rPr>
          <w:b/>
          <w:bCs/>
          <w:sz w:val="21"/>
          <w:szCs w:val="21"/>
          <w:lang w:val="en-AU" w:eastAsia="ja-JP"/>
        </w:rPr>
      </w:pPr>
    </w:p>
    <w:p w14:paraId="6E2A2019" w14:textId="77777777" w:rsidR="00B205E5" w:rsidRPr="00963840" w:rsidRDefault="00B205E5" w:rsidP="00B205E5">
      <w:pPr>
        <w:spacing w:before="180" w:after="180" w:line="240" w:lineRule="auto"/>
        <w:rPr>
          <w:b/>
          <w:bCs/>
          <w:sz w:val="21"/>
          <w:szCs w:val="21"/>
          <w:lang w:eastAsia="ja-JP"/>
        </w:rPr>
      </w:pPr>
      <w:r w:rsidRPr="00963840">
        <w:rPr>
          <w:b/>
          <w:bCs/>
          <w:sz w:val="21"/>
          <w:szCs w:val="21"/>
          <w:lang w:eastAsia="ja-JP"/>
        </w:rPr>
        <w:t>制度的背景と使命</w:t>
      </w:r>
    </w:p>
    <w:p w14:paraId="0BFBFF0B" w14:textId="43391415" w:rsidR="00B205E5" w:rsidRPr="00963840" w:rsidRDefault="00E7102F" w:rsidP="00C11593">
      <w:pPr>
        <w:spacing w:before="180" w:after="180" w:line="240" w:lineRule="auto"/>
        <w:ind w:firstLineChars="100" w:firstLine="210"/>
        <w:rPr>
          <w:sz w:val="21"/>
          <w:szCs w:val="21"/>
          <w:lang w:val="en-AU" w:eastAsia="ja-JP"/>
        </w:rPr>
      </w:pPr>
      <w:r w:rsidRPr="00E7102F">
        <w:rPr>
          <w:rFonts w:hint="eastAsia"/>
          <w:sz w:val="21"/>
          <w:szCs w:val="21"/>
          <w:lang w:val="en-AU" w:eastAsia="ja-JP"/>
        </w:rPr>
        <w:t>当機構</w:t>
      </w:r>
      <w:r w:rsidR="00B205E5" w:rsidRPr="00963840">
        <w:rPr>
          <w:sz w:val="21"/>
          <w:szCs w:val="21"/>
          <w:lang w:val="en-AU" w:eastAsia="ja-JP"/>
        </w:rPr>
        <w:t>は、オーストラリアにおける文化的・言語的に多様な人々の健康の公平性に関する成果を向上させるために設立された全国的な</w:t>
      </w:r>
      <w:r w:rsidR="003C579D">
        <w:rPr>
          <w:rFonts w:hint="eastAsia"/>
          <w:sz w:val="21"/>
          <w:szCs w:val="21"/>
          <w:lang w:val="en-AU" w:eastAsia="ja-JP"/>
        </w:rPr>
        <w:t>事業</w:t>
      </w:r>
      <w:r w:rsidR="00B205E5" w:rsidRPr="00963840">
        <w:rPr>
          <w:sz w:val="21"/>
          <w:szCs w:val="21"/>
          <w:lang w:val="en-AU" w:eastAsia="ja-JP"/>
        </w:rPr>
        <w:t>である。</w:t>
      </w:r>
      <w:r w:rsidR="003C579D">
        <w:rPr>
          <w:rFonts w:hint="eastAsia"/>
          <w:sz w:val="21"/>
          <w:szCs w:val="21"/>
          <w:lang w:val="en-AU" w:eastAsia="ja-JP"/>
        </w:rPr>
        <w:t>それ</w:t>
      </w:r>
      <w:r w:rsidR="00B205E5" w:rsidRPr="00963840">
        <w:rPr>
          <w:sz w:val="21"/>
          <w:szCs w:val="21"/>
          <w:lang w:val="en-AU" w:eastAsia="ja-JP"/>
        </w:rPr>
        <w:t>は、多文化コミュニティ組織、医療</w:t>
      </w:r>
      <w:r w:rsidR="00DD7AB2">
        <w:rPr>
          <w:rFonts w:hint="eastAsia"/>
          <w:sz w:val="21"/>
          <w:szCs w:val="21"/>
          <w:lang w:val="en-AU" w:eastAsia="ja-JP"/>
        </w:rPr>
        <w:t>分野</w:t>
      </w:r>
      <w:r w:rsidR="00B205E5" w:rsidRPr="00963840">
        <w:rPr>
          <w:sz w:val="21"/>
          <w:szCs w:val="21"/>
          <w:lang w:val="en-AU" w:eastAsia="ja-JP"/>
        </w:rPr>
        <w:t>の</w:t>
      </w:r>
      <w:r w:rsidR="00DD7AB2">
        <w:rPr>
          <w:rFonts w:hint="eastAsia"/>
          <w:sz w:val="21"/>
          <w:szCs w:val="21"/>
          <w:lang w:val="en-AU" w:eastAsia="ja-JP"/>
        </w:rPr>
        <w:t>関係者</w:t>
      </w:r>
      <w:r w:rsidR="00B205E5" w:rsidRPr="00963840">
        <w:rPr>
          <w:sz w:val="21"/>
          <w:szCs w:val="21"/>
          <w:lang w:val="en-AU" w:eastAsia="ja-JP"/>
        </w:rPr>
        <w:t>、研究者、および政府</w:t>
      </w:r>
      <w:r w:rsidR="00CE1A3D">
        <w:rPr>
          <w:rFonts w:hint="eastAsia"/>
          <w:sz w:val="21"/>
          <w:szCs w:val="21"/>
          <w:lang w:val="en-AU" w:eastAsia="ja-JP"/>
        </w:rPr>
        <w:t>の協力者</w:t>
      </w:r>
      <w:r w:rsidR="004D2DAF">
        <w:rPr>
          <w:rFonts w:hint="eastAsia"/>
          <w:sz w:val="21"/>
          <w:szCs w:val="21"/>
          <w:lang w:val="en-AU" w:eastAsia="ja-JP"/>
        </w:rPr>
        <w:t>の</w:t>
      </w:r>
      <w:r w:rsidR="00B205E5" w:rsidRPr="00963840">
        <w:rPr>
          <w:sz w:val="21"/>
          <w:szCs w:val="21"/>
          <w:lang w:val="en-AU" w:eastAsia="ja-JP"/>
        </w:rPr>
        <w:t>間の連携として運営されている。</w:t>
      </w:r>
    </w:p>
    <w:p w14:paraId="5D740A42" w14:textId="55C46814" w:rsidR="00B205E5" w:rsidRPr="00963840" w:rsidRDefault="00E7102F" w:rsidP="00C11593">
      <w:pPr>
        <w:spacing w:before="180" w:after="180" w:line="240" w:lineRule="auto"/>
        <w:ind w:firstLineChars="100" w:firstLine="210"/>
        <w:rPr>
          <w:sz w:val="21"/>
          <w:szCs w:val="21"/>
          <w:lang w:val="en-AU" w:eastAsia="ja-JP"/>
        </w:rPr>
      </w:pPr>
      <w:r w:rsidRPr="00E7102F">
        <w:rPr>
          <w:rFonts w:hint="eastAsia"/>
          <w:sz w:val="21"/>
          <w:szCs w:val="21"/>
          <w:lang w:val="en-AU" w:eastAsia="ja-JP"/>
        </w:rPr>
        <w:t>当機構</w:t>
      </w:r>
      <w:r w:rsidR="00B205E5" w:rsidRPr="00963840">
        <w:rPr>
          <w:sz w:val="21"/>
          <w:szCs w:val="21"/>
          <w:lang w:val="en-AU" w:eastAsia="ja-JP"/>
        </w:rPr>
        <w:t>は</w:t>
      </w:r>
      <w:r w:rsidR="00162428" w:rsidRPr="00162428">
        <w:rPr>
          <w:rFonts w:hint="eastAsia"/>
          <w:sz w:val="21"/>
          <w:szCs w:val="21"/>
          <w:lang w:val="en-AU" w:eastAsia="ja-JP"/>
        </w:rPr>
        <w:t>オーストラリア民族コミュニティ評議会連盟</w:t>
      </w:r>
      <w:r w:rsidR="00162428">
        <w:rPr>
          <w:rFonts w:hint="eastAsia"/>
          <w:sz w:val="21"/>
          <w:szCs w:val="21"/>
          <w:lang w:val="en-AU" w:eastAsia="ja-JP"/>
        </w:rPr>
        <w:t>（</w:t>
      </w:r>
      <w:r w:rsidR="00B205E5" w:rsidRPr="00963840">
        <w:rPr>
          <w:sz w:val="21"/>
          <w:szCs w:val="21"/>
          <w:lang w:val="en-AU" w:eastAsia="ja-JP"/>
        </w:rPr>
        <w:t>FECCA</w:t>
      </w:r>
      <w:r w:rsidR="00162428">
        <w:rPr>
          <w:rFonts w:hint="eastAsia"/>
          <w:sz w:val="21"/>
          <w:szCs w:val="21"/>
          <w:lang w:val="en-AU" w:eastAsia="ja-JP"/>
        </w:rPr>
        <w:t>）</w:t>
      </w:r>
      <w:r w:rsidR="00B205E5" w:rsidRPr="00963840">
        <w:rPr>
          <w:sz w:val="21"/>
          <w:szCs w:val="21"/>
          <w:lang w:val="en-AU" w:eastAsia="ja-JP"/>
        </w:rPr>
        <w:t>の後援を受けており、</w:t>
      </w:r>
      <w:r w:rsidR="00B205E5" w:rsidRPr="00963840">
        <w:rPr>
          <w:sz w:val="21"/>
          <w:szCs w:val="21"/>
          <w:lang w:val="en-AU" w:eastAsia="ja-JP"/>
        </w:rPr>
        <w:t>FECCA</w:t>
      </w:r>
      <w:r w:rsidR="00B205E5" w:rsidRPr="00963840">
        <w:rPr>
          <w:sz w:val="21"/>
          <w:szCs w:val="21"/>
          <w:lang w:val="en-AU" w:eastAsia="ja-JP"/>
        </w:rPr>
        <w:t>は</w:t>
      </w:r>
      <w:r w:rsidR="00B205E5" w:rsidRPr="00963840">
        <w:rPr>
          <w:sz w:val="21"/>
          <w:szCs w:val="21"/>
          <w:lang w:val="en-AU" w:eastAsia="ja-JP"/>
        </w:rPr>
        <w:t>50</w:t>
      </w:r>
      <w:r w:rsidR="00B205E5" w:rsidRPr="00963840">
        <w:rPr>
          <w:sz w:val="21"/>
          <w:szCs w:val="21"/>
          <w:lang w:val="en-AU" w:eastAsia="ja-JP"/>
        </w:rPr>
        <w:t>年近くにわたり、多文化背景を持つ人々を代表する全国的な</w:t>
      </w:r>
      <w:r w:rsidR="005E655B">
        <w:rPr>
          <w:rFonts w:hint="eastAsia"/>
          <w:sz w:val="21"/>
          <w:szCs w:val="21"/>
          <w:lang w:val="en-AU" w:eastAsia="ja-JP"/>
        </w:rPr>
        <w:t>中央</w:t>
      </w:r>
      <w:r w:rsidR="00B205E5" w:rsidRPr="00963840">
        <w:rPr>
          <w:sz w:val="21"/>
          <w:szCs w:val="21"/>
          <w:lang w:val="en-AU" w:eastAsia="ja-JP"/>
        </w:rPr>
        <w:t>機関として、オーストラリアの大都市圏、地方、農村部にまたがる</w:t>
      </w:r>
      <w:r w:rsidR="00B205E5" w:rsidRPr="00963840">
        <w:rPr>
          <w:sz w:val="21"/>
          <w:szCs w:val="21"/>
          <w:lang w:val="en-AU" w:eastAsia="ja-JP"/>
        </w:rPr>
        <w:t>1,500</w:t>
      </w:r>
      <w:r w:rsidR="00B205E5" w:rsidRPr="00963840">
        <w:rPr>
          <w:sz w:val="21"/>
          <w:szCs w:val="21"/>
          <w:lang w:val="en-AU" w:eastAsia="ja-JP"/>
        </w:rPr>
        <w:t>以上の</w:t>
      </w:r>
      <w:r w:rsidR="00075553">
        <w:rPr>
          <w:rFonts w:hint="eastAsia"/>
          <w:sz w:val="21"/>
          <w:szCs w:val="21"/>
          <w:lang w:val="en-AU" w:eastAsia="ja-JP"/>
        </w:rPr>
        <w:t>地域社会</w:t>
      </w:r>
      <w:r w:rsidR="00B205E5" w:rsidRPr="00963840">
        <w:rPr>
          <w:sz w:val="21"/>
          <w:szCs w:val="21"/>
          <w:lang w:val="en-AU" w:eastAsia="ja-JP"/>
        </w:rPr>
        <w:t>組織からなるネットワークを</w:t>
      </w:r>
      <w:r w:rsidR="00075553">
        <w:rPr>
          <w:rFonts w:hint="eastAsia"/>
          <w:sz w:val="21"/>
          <w:szCs w:val="21"/>
          <w:lang w:val="en-AU" w:eastAsia="ja-JP"/>
        </w:rPr>
        <w:t>持って</w:t>
      </w:r>
      <w:r w:rsidR="00B205E5" w:rsidRPr="00963840">
        <w:rPr>
          <w:sz w:val="21"/>
          <w:szCs w:val="21"/>
          <w:lang w:val="en-AU" w:eastAsia="ja-JP"/>
        </w:rPr>
        <w:t>いる。</w:t>
      </w:r>
    </w:p>
    <w:p w14:paraId="47BA7ED4" w14:textId="051D2137" w:rsidR="00B205E5" w:rsidRPr="00963840" w:rsidRDefault="00E7102F" w:rsidP="00C11593">
      <w:pPr>
        <w:spacing w:before="180" w:after="180" w:line="240" w:lineRule="auto"/>
        <w:ind w:firstLineChars="100" w:firstLine="210"/>
        <w:rPr>
          <w:sz w:val="21"/>
          <w:szCs w:val="21"/>
          <w:lang w:val="en-AU" w:eastAsia="ja-JP"/>
        </w:rPr>
      </w:pPr>
      <w:r w:rsidRPr="00E7102F">
        <w:rPr>
          <w:rFonts w:hint="eastAsia"/>
          <w:sz w:val="21"/>
          <w:szCs w:val="21"/>
          <w:lang w:val="en-AU" w:eastAsia="ja-JP"/>
        </w:rPr>
        <w:t>当機構</w:t>
      </w:r>
      <w:r w:rsidR="00B205E5" w:rsidRPr="00963840">
        <w:rPr>
          <w:sz w:val="21"/>
          <w:szCs w:val="21"/>
          <w:lang w:val="en-AU" w:eastAsia="ja-JP"/>
        </w:rPr>
        <w:t>は、その活動がコミュニティの正当性に根ざしつつ、同時に国家政策や制度改革に</w:t>
      </w:r>
      <w:r w:rsidR="00D631D5" w:rsidRPr="00963840">
        <w:rPr>
          <w:sz w:val="21"/>
          <w:szCs w:val="21"/>
          <w:lang w:val="en-AU" w:eastAsia="ja-JP"/>
        </w:rPr>
        <w:t>確実に</w:t>
      </w:r>
      <w:r w:rsidR="00B205E5" w:rsidRPr="00963840">
        <w:rPr>
          <w:sz w:val="21"/>
          <w:szCs w:val="21"/>
          <w:lang w:val="en-AU" w:eastAsia="ja-JP"/>
        </w:rPr>
        <w:t>影響するため</w:t>
      </w:r>
      <w:r w:rsidR="00CF2984">
        <w:rPr>
          <w:rFonts w:hint="eastAsia"/>
          <w:sz w:val="21"/>
          <w:szCs w:val="21"/>
          <w:lang w:val="en-AU" w:eastAsia="ja-JP"/>
        </w:rPr>
        <w:t>に</w:t>
      </w:r>
      <w:r w:rsidR="00B205E5" w:rsidRPr="00963840">
        <w:rPr>
          <w:sz w:val="21"/>
          <w:szCs w:val="21"/>
          <w:lang w:val="en-AU" w:eastAsia="ja-JP"/>
        </w:rPr>
        <w:t>、</w:t>
      </w:r>
      <w:r w:rsidR="00B205E5" w:rsidRPr="00963840">
        <w:rPr>
          <w:sz w:val="21"/>
          <w:szCs w:val="21"/>
          <w:lang w:val="en-AU" w:eastAsia="ja-JP"/>
        </w:rPr>
        <w:t>FECCA</w:t>
      </w:r>
      <w:r w:rsidR="00B205E5" w:rsidRPr="00963840">
        <w:rPr>
          <w:sz w:val="21"/>
          <w:szCs w:val="21"/>
          <w:lang w:val="en-AU" w:eastAsia="ja-JP"/>
        </w:rPr>
        <w:t>内に設立された。この位置づけにより、</w:t>
      </w:r>
      <w:r w:rsidRPr="00E7102F">
        <w:rPr>
          <w:rFonts w:hint="eastAsia"/>
          <w:sz w:val="21"/>
          <w:szCs w:val="21"/>
          <w:lang w:val="en-AU" w:eastAsia="ja-JP"/>
        </w:rPr>
        <w:t>当機構</w:t>
      </w:r>
      <w:r w:rsidR="00B205E5" w:rsidRPr="00963840">
        <w:rPr>
          <w:sz w:val="21"/>
          <w:szCs w:val="21"/>
          <w:lang w:val="en-AU" w:eastAsia="ja-JP"/>
        </w:rPr>
        <w:t>は「実体験」と「制度設計」の交差点で活動し、コミュニティの知見を保健・高齢化制度全体における</w:t>
      </w:r>
      <w:r w:rsidR="00C60633">
        <w:rPr>
          <w:rFonts w:hint="eastAsia"/>
          <w:sz w:val="21"/>
          <w:szCs w:val="21"/>
          <w:lang w:val="en-AU" w:eastAsia="ja-JP"/>
        </w:rPr>
        <w:t>実際</w:t>
      </w:r>
      <w:r w:rsidR="00B205E5" w:rsidRPr="00963840">
        <w:rPr>
          <w:sz w:val="21"/>
          <w:szCs w:val="21"/>
          <w:lang w:val="en-AU" w:eastAsia="ja-JP"/>
        </w:rPr>
        <w:t>的な改善へと結びつけることが可能となってい</w:t>
      </w:r>
      <w:r w:rsidR="002E6766">
        <w:rPr>
          <w:rFonts w:hint="eastAsia"/>
          <w:sz w:val="21"/>
          <w:szCs w:val="21"/>
          <w:lang w:val="en-AU" w:eastAsia="ja-JP"/>
        </w:rPr>
        <w:t>る</w:t>
      </w:r>
      <w:r w:rsidR="00B205E5" w:rsidRPr="00963840">
        <w:rPr>
          <w:sz w:val="21"/>
          <w:szCs w:val="21"/>
          <w:lang w:val="en-AU" w:eastAsia="ja-JP"/>
        </w:rPr>
        <w:t>。</w:t>
      </w:r>
    </w:p>
    <w:p w14:paraId="58A0550B" w14:textId="22AECEF0"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FECCA</w:t>
      </w:r>
      <w:r w:rsidRPr="00963840">
        <w:rPr>
          <w:sz w:val="21"/>
          <w:szCs w:val="21"/>
          <w:lang w:val="en-AU" w:eastAsia="ja-JP"/>
        </w:rPr>
        <w:t>は、国家政策の策定、政府との連携、コミュニティとの協議において長年にわたり重要な役割を果たし、高齢者ケア、多文化政策、健康の公平性における主要な改革に貢献してきた。また、オーストラリアにおける権利に基づくアプローチの推進においても積極的な役割を果たしており、例えば、高齢者に対する法的保護と権利の強化を求めるオーストラリア人権委員会主導の共同声明への署名や、国連条約の策定支援などを行ってい</w:t>
      </w:r>
      <w:r w:rsidR="00CF579E">
        <w:rPr>
          <w:rFonts w:hint="eastAsia"/>
          <w:sz w:val="21"/>
          <w:szCs w:val="21"/>
          <w:lang w:val="en-AU" w:eastAsia="ja-JP"/>
        </w:rPr>
        <w:t>る</w:t>
      </w:r>
      <w:r w:rsidR="00B42F71" w:rsidRPr="00963840">
        <w:rPr>
          <w:sz w:val="21"/>
          <w:szCs w:val="21"/>
          <w:lang w:val="en-AU" w:eastAsia="ja-JP"/>
        </w:rPr>
        <w:t>⁵</w:t>
      </w:r>
      <w:r w:rsidRPr="00963840">
        <w:rPr>
          <w:sz w:val="21"/>
          <w:szCs w:val="21"/>
          <w:lang w:val="en-AU" w:eastAsia="ja-JP"/>
        </w:rPr>
        <w:t>。</w:t>
      </w:r>
    </w:p>
    <w:p w14:paraId="675AD827" w14:textId="233B3366" w:rsidR="00000077" w:rsidRPr="00963840" w:rsidRDefault="00E7102F" w:rsidP="00C11593">
      <w:pPr>
        <w:spacing w:before="180" w:after="180" w:line="240" w:lineRule="auto"/>
        <w:ind w:firstLineChars="100" w:firstLine="210"/>
        <w:rPr>
          <w:sz w:val="21"/>
          <w:szCs w:val="21"/>
          <w:lang w:val="en-AU" w:eastAsia="ja-JP"/>
        </w:rPr>
      </w:pPr>
      <w:r w:rsidRPr="00E7102F">
        <w:rPr>
          <w:rFonts w:hint="eastAsia"/>
          <w:sz w:val="21"/>
          <w:szCs w:val="21"/>
          <w:lang w:val="en-AU" w:eastAsia="ja-JP"/>
        </w:rPr>
        <w:lastRenderedPageBreak/>
        <w:t>当機構</w:t>
      </w:r>
      <w:r w:rsidR="00B205E5" w:rsidRPr="00963840">
        <w:rPr>
          <w:sz w:val="21"/>
          <w:szCs w:val="21"/>
          <w:lang w:val="en-AU" w:eastAsia="ja-JP"/>
        </w:rPr>
        <w:t>を通じて、この</w:t>
      </w:r>
      <w:r w:rsidR="00B42F71">
        <w:rPr>
          <w:rFonts w:hint="eastAsia"/>
          <w:sz w:val="21"/>
          <w:szCs w:val="21"/>
          <w:lang w:val="en-AU" w:eastAsia="ja-JP"/>
        </w:rPr>
        <w:t>権利擁護</w:t>
      </w:r>
      <w:r w:rsidR="00B205E5" w:rsidRPr="00963840">
        <w:rPr>
          <w:sz w:val="21"/>
          <w:szCs w:val="21"/>
          <w:lang w:val="en-AU" w:eastAsia="ja-JP"/>
        </w:rPr>
        <w:t>活動は実施段階へと拡大されており、構造的な障壁の特定、文化的に配慮したモデルの支援、政策策定への提言などが</w:t>
      </w:r>
      <w:r w:rsidR="00D03D4F">
        <w:rPr>
          <w:rFonts w:hint="eastAsia"/>
          <w:sz w:val="21"/>
          <w:szCs w:val="21"/>
          <w:lang w:val="en-AU" w:eastAsia="ja-JP"/>
        </w:rPr>
        <w:t>行われて</w:t>
      </w:r>
      <w:r w:rsidR="003B26A2">
        <w:rPr>
          <w:rFonts w:hint="eastAsia"/>
          <w:sz w:val="21"/>
          <w:szCs w:val="21"/>
          <w:lang w:val="en-AU" w:eastAsia="ja-JP"/>
        </w:rPr>
        <w:t>いる</w:t>
      </w:r>
      <w:r w:rsidR="00B205E5" w:rsidRPr="00963840">
        <w:rPr>
          <w:sz w:val="21"/>
          <w:szCs w:val="21"/>
          <w:lang w:val="en-AU" w:eastAsia="ja-JP"/>
        </w:rPr>
        <w:t>。</w:t>
      </w:r>
    </w:p>
    <w:p w14:paraId="7055BDA4" w14:textId="200E307C" w:rsidR="00B205E5" w:rsidRPr="00963840" w:rsidRDefault="00B205E5" w:rsidP="00B205E5">
      <w:pPr>
        <w:rPr>
          <w:b/>
          <w:bCs/>
          <w:sz w:val="21"/>
          <w:szCs w:val="21"/>
          <w:lang w:eastAsia="ja-JP"/>
        </w:rPr>
      </w:pPr>
      <w:r w:rsidRPr="00963840">
        <w:rPr>
          <w:b/>
          <w:bCs/>
          <w:sz w:val="21"/>
          <w:szCs w:val="21"/>
          <w:lang w:eastAsia="ja-JP"/>
        </w:rPr>
        <w:t>オーストラリアにおける多文化</w:t>
      </w:r>
      <w:r w:rsidR="00D03D4F">
        <w:rPr>
          <w:rFonts w:hint="eastAsia"/>
          <w:b/>
          <w:bCs/>
          <w:sz w:val="21"/>
          <w:szCs w:val="21"/>
          <w:lang w:eastAsia="ja-JP"/>
        </w:rPr>
        <w:t>的な</w:t>
      </w:r>
      <w:r w:rsidRPr="00963840">
        <w:rPr>
          <w:b/>
          <w:bCs/>
          <w:sz w:val="21"/>
          <w:szCs w:val="21"/>
          <w:lang w:eastAsia="ja-JP"/>
        </w:rPr>
        <w:t>高齢化</w:t>
      </w:r>
    </w:p>
    <w:p w14:paraId="5107D0D8" w14:textId="778EB82B"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オーストラリアは世界で最も文化的に多様な国の一つであり、人口の半数以上が海外生まれ、あるいは少なくとも片方の親が海外生まれである</w:t>
      </w:r>
      <w:r w:rsidRPr="00963840">
        <w:rPr>
          <w:sz w:val="21"/>
          <w:szCs w:val="21"/>
          <w:lang w:val="en-AU" w:eastAsia="ja-JP"/>
        </w:rPr>
        <w:t>¹</w:t>
      </w:r>
      <w:r w:rsidRPr="00963840">
        <w:rPr>
          <w:sz w:val="21"/>
          <w:szCs w:val="21"/>
          <w:lang w:val="en-AU" w:eastAsia="ja-JP"/>
        </w:rPr>
        <w:t>。この多様性は、高齢層</w:t>
      </w:r>
      <w:r w:rsidR="00331A31">
        <w:rPr>
          <w:rFonts w:hint="eastAsia"/>
          <w:sz w:val="21"/>
          <w:szCs w:val="21"/>
          <w:lang w:val="en-AU" w:eastAsia="ja-JP"/>
        </w:rPr>
        <w:t>で</w:t>
      </w:r>
      <w:r w:rsidRPr="00963840">
        <w:rPr>
          <w:sz w:val="21"/>
          <w:szCs w:val="21"/>
          <w:lang w:val="en-AU" w:eastAsia="ja-JP"/>
        </w:rPr>
        <w:t>も</w:t>
      </w:r>
      <w:r w:rsidR="0033031D">
        <w:rPr>
          <w:rFonts w:hint="eastAsia"/>
          <w:sz w:val="21"/>
          <w:szCs w:val="21"/>
          <w:lang w:val="en-AU" w:eastAsia="ja-JP"/>
        </w:rPr>
        <w:t>次第に</w:t>
      </w:r>
      <w:r w:rsidRPr="00963840">
        <w:rPr>
          <w:sz w:val="21"/>
          <w:szCs w:val="21"/>
          <w:lang w:val="en-AU" w:eastAsia="ja-JP"/>
        </w:rPr>
        <w:t>顕著になっている。</w:t>
      </w:r>
    </w:p>
    <w:p w14:paraId="33E3C17E" w14:textId="77777777"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2056</w:t>
      </w:r>
      <w:r w:rsidRPr="00963840">
        <w:rPr>
          <w:sz w:val="21"/>
          <w:szCs w:val="21"/>
          <w:lang w:val="en-AU" w:eastAsia="ja-JP"/>
        </w:rPr>
        <w:t>年までに、オーストラリアの高齢者の約</w:t>
      </w:r>
      <w:r w:rsidRPr="00963840">
        <w:rPr>
          <w:sz w:val="21"/>
          <w:szCs w:val="21"/>
          <w:lang w:val="en-AU" w:eastAsia="ja-JP"/>
        </w:rPr>
        <w:t>3</w:t>
      </w:r>
      <w:r w:rsidRPr="00963840">
        <w:rPr>
          <w:sz w:val="21"/>
          <w:szCs w:val="21"/>
          <w:lang w:val="en-AU" w:eastAsia="ja-JP"/>
        </w:rPr>
        <w:t>分の</w:t>
      </w:r>
      <w:r w:rsidRPr="00963840">
        <w:rPr>
          <w:sz w:val="21"/>
          <w:szCs w:val="21"/>
          <w:lang w:val="en-AU" w:eastAsia="ja-JP"/>
        </w:rPr>
        <w:t>1</w:t>
      </w:r>
      <w:r w:rsidRPr="00963840">
        <w:rPr>
          <w:sz w:val="21"/>
          <w:szCs w:val="21"/>
          <w:lang w:val="en-AU" w:eastAsia="ja-JP"/>
        </w:rPr>
        <w:t>が非英語圏の出身者になると推定されており</w:t>
      </w:r>
      <w:r w:rsidRPr="00963840">
        <w:rPr>
          <w:sz w:val="21"/>
          <w:szCs w:val="21"/>
          <w:lang w:val="en-AU" w:eastAsia="ja-JP"/>
        </w:rPr>
        <w:t>²</w:t>
      </w:r>
      <w:r w:rsidRPr="00963840">
        <w:rPr>
          <w:sz w:val="21"/>
          <w:szCs w:val="21"/>
          <w:lang w:val="en-AU" w:eastAsia="ja-JP"/>
        </w:rPr>
        <w:t>、これは長期的な移民と高齢化の傾向、および高齢者人口の多様化の進展を反映している。</w:t>
      </w:r>
    </w:p>
    <w:p w14:paraId="4382BC24" w14:textId="113516CD"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多くの国では、高齢化を多文化の視点から</w:t>
      </w:r>
      <w:r w:rsidR="00A85EE7">
        <w:rPr>
          <w:rFonts w:hint="eastAsia"/>
          <w:sz w:val="21"/>
          <w:szCs w:val="21"/>
          <w:lang w:val="en-AU" w:eastAsia="ja-JP"/>
        </w:rPr>
        <w:t>はっきりとは</w:t>
      </w:r>
      <w:r w:rsidRPr="00963840">
        <w:rPr>
          <w:sz w:val="21"/>
          <w:szCs w:val="21"/>
          <w:lang w:val="en-AU" w:eastAsia="ja-JP"/>
        </w:rPr>
        <w:t>捉えていないかもしれないが、人口の移動性の高まり、移民の増加、人口動態の変化により、多様性は世界的に高齢化社会における顕著な特徴となりつつある。オーストラリアの経験は、十分に</w:t>
      </w:r>
      <w:r w:rsidR="0002787B">
        <w:rPr>
          <w:rFonts w:hint="eastAsia"/>
          <w:sz w:val="21"/>
          <w:szCs w:val="21"/>
          <w:lang w:val="en-AU" w:eastAsia="ja-JP"/>
        </w:rPr>
        <w:t>発達し</w:t>
      </w:r>
      <w:r w:rsidRPr="00963840">
        <w:rPr>
          <w:sz w:val="21"/>
          <w:szCs w:val="21"/>
          <w:lang w:val="en-AU" w:eastAsia="ja-JP"/>
        </w:rPr>
        <w:t>た制度内であっても、文化的・言語的多様性が</w:t>
      </w:r>
      <w:r w:rsidR="003B49BB">
        <w:rPr>
          <w:rFonts w:hint="eastAsia"/>
          <w:sz w:val="21"/>
          <w:szCs w:val="21"/>
          <w:lang w:val="en-AU" w:eastAsia="ja-JP"/>
        </w:rPr>
        <w:t>明確</w:t>
      </w:r>
      <w:r w:rsidRPr="00963840">
        <w:rPr>
          <w:sz w:val="21"/>
          <w:szCs w:val="21"/>
          <w:lang w:val="en-AU" w:eastAsia="ja-JP"/>
        </w:rPr>
        <w:t>に考慮されない場合、画一的なアプローチでは公平な成果をもたらせないことを浮き彫りにしている。これは、多文化主義の重要性が、移民人口の多い国々</w:t>
      </w:r>
      <w:r w:rsidR="000747F2">
        <w:rPr>
          <w:rFonts w:hint="eastAsia"/>
          <w:sz w:val="21"/>
          <w:szCs w:val="21"/>
          <w:lang w:val="en-AU" w:eastAsia="ja-JP"/>
        </w:rPr>
        <w:t>だけでなく</w:t>
      </w:r>
      <w:r w:rsidRPr="00963840">
        <w:rPr>
          <w:sz w:val="21"/>
          <w:szCs w:val="21"/>
          <w:lang w:val="en-AU" w:eastAsia="ja-JP"/>
        </w:rPr>
        <w:t>、ますます多くの地域</w:t>
      </w:r>
      <w:r w:rsidR="001B1A44">
        <w:rPr>
          <w:rFonts w:hint="eastAsia"/>
          <w:sz w:val="21"/>
          <w:szCs w:val="21"/>
          <w:lang w:val="en-AU" w:eastAsia="ja-JP"/>
        </w:rPr>
        <w:t>の課題となってきた</w:t>
      </w:r>
      <w:r w:rsidRPr="00963840">
        <w:rPr>
          <w:sz w:val="21"/>
          <w:szCs w:val="21"/>
          <w:lang w:val="en-AU" w:eastAsia="ja-JP"/>
        </w:rPr>
        <w:t>ことを示唆している。</w:t>
      </w:r>
    </w:p>
    <w:p w14:paraId="0DCDE08B" w14:textId="76184A3F" w:rsidR="00B205E5" w:rsidRPr="00963840" w:rsidRDefault="00B205E5" w:rsidP="00B205E5">
      <w:pPr>
        <w:rPr>
          <w:b/>
          <w:bCs/>
          <w:sz w:val="21"/>
          <w:szCs w:val="21"/>
          <w:lang w:eastAsia="ja-JP"/>
        </w:rPr>
      </w:pPr>
      <w:r w:rsidRPr="00963840">
        <w:rPr>
          <w:b/>
          <w:bCs/>
          <w:sz w:val="21"/>
          <w:szCs w:val="21"/>
          <w:lang w:eastAsia="ja-JP"/>
        </w:rPr>
        <w:t>「ビジョン</w:t>
      </w:r>
      <w:r w:rsidRPr="00963840">
        <w:rPr>
          <w:b/>
          <w:bCs/>
          <w:sz w:val="21"/>
          <w:szCs w:val="21"/>
          <w:lang w:eastAsia="ja-JP"/>
        </w:rPr>
        <w:t>2030</w:t>
      </w:r>
      <w:r w:rsidRPr="00963840">
        <w:rPr>
          <w:b/>
          <w:bCs/>
          <w:sz w:val="21"/>
          <w:szCs w:val="21"/>
          <w:lang w:eastAsia="ja-JP"/>
        </w:rPr>
        <w:t>」と</w:t>
      </w:r>
      <w:r w:rsidR="00DD0436">
        <w:rPr>
          <w:rFonts w:hint="eastAsia"/>
          <w:b/>
          <w:bCs/>
          <w:sz w:val="21"/>
          <w:szCs w:val="21"/>
          <w:lang w:eastAsia="ja-JP"/>
        </w:rPr>
        <w:t>証拠の重視</w:t>
      </w:r>
    </w:p>
    <w:p w14:paraId="2E2BFAC8" w14:textId="7B172D17"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FECCA</w:t>
      </w:r>
      <w:r w:rsidRPr="00963840">
        <w:rPr>
          <w:sz w:val="21"/>
          <w:szCs w:val="21"/>
          <w:lang w:val="en-AU" w:eastAsia="ja-JP"/>
        </w:rPr>
        <w:t>のビジョン</w:t>
      </w:r>
      <w:r w:rsidRPr="00963840">
        <w:rPr>
          <w:sz w:val="21"/>
          <w:szCs w:val="21"/>
          <w:lang w:val="en-AU" w:eastAsia="ja-JP"/>
        </w:rPr>
        <w:t>2030</w:t>
      </w:r>
      <w:r w:rsidRPr="00963840">
        <w:rPr>
          <w:sz w:val="21"/>
          <w:szCs w:val="21"/>
          <w:lang w:val="en-AU" w:eastAsia="ja-JP"/>
        </w:rPr>
        <w:t>：多文化オーストラリアにおける健やかな高齢化</w:t>
      </w:r>
      <w:r w:rsidRPr="00963840">
        <w:rPr>
          <w:sz w:val="21"/>
          <w:szCs w:val="21"/>
          <w:lang w:val="en-AU" w:eastAsia="ja-JP"/>
        </w:rPr>
        <w:t>³</w:t>
      </w:r>
      <w:r w:rsidRPr="00963840">
        <w:rPr>
          <w:sz w:val="21"/>
          <w:szCs w:val="21"/>
          <w:lang w:val="en-AU" w:eastAsia="ja-JP"/>
        </w:rPr>
        <w:t>は、文化的・言語的に多様な背景を持つ高齢者の成果を向上させるための全国的な</w:t>
      </w:r>
      <w:r w:rsidR="00DD0436">
        <w:rPr>
          <w:rFonts w:hint="eastAsia"/>
          <w:sz w:val="21"/>
          <w:szCs w:val="21"/>
          <w:lang w:val="en-AU" w:eastAsia="ja-JP"/>
        </w:rPr>
        <w:t>工程表</w:t>
      </w:r>
      <w:r w:rsidRPr="00963840">
        <w:rPr>
          <w:sz w:val="21"/>
          <w:szCs w:val="21"/>
          <w:lang w:val="en-AU" w:eastAsia="ja-JP"/>
        </w:rPr>
        <w:t>を提供している。</w:t>
      </w:r>
    </w:p>
    <w:p w14:paraId="68408CAA" w14:textId="17CE0184"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このビジョンは、オーストラリア全土の高齢者、</w:t>
      </w:r>
      <w:r w:rsidR="00480933">
        <w:rPr>
          <w:rFonts w:hint="eastAsia"/>
          <w:sz w:val="21"/>
          <w:szCs w:val="21"/>
          <w:lang w:val="en-AU" w:eastAsia="ja-JP"/>
        </w:rPr>
        <w:t>ケア提供者</w:t>
      </w:r>
      <w:r w:rsidRPr="00963840">
        <w:rPr>
          <w:sz w:val="21"/>
          <w:szCs w:val="21"/>
          <w:lang w:val="en-AU" w:eastAsia="ja-JP"/>
        </w:rPr>
        <w:t>、サービス提供者、研究者との協議に基づいており、多文化コミュニティが既存の制度へのアクセスやその恩恵を受ける上で構造的な障壁に直面しているという一貫した証拠を</w:t>
      </w:r>
      <w:r w:rsidR="003C15DB">
        <w:rPr>
          <w:rFonts w:hint="eastAsia"/>
          <w:sz w:val="21"/>
          <w:szCs w:val="21"/>
          <w:lang w:val="en-AU" w:eastAsia="ja-JP"/>
        </w:rPr>
        <w:t>示して</w:t>
      </w:r>
      <w:r w:rsidRPr="00963840">
        <w:rPr>
          <w:sz w:val="21"/>
          <w:szCs w:val="21"/>
          <w:lang w:val="en-AU" w:eastAsia="ja-JP"/>
        </w:rPr>
        <w:t>いる。こ</w:t>
      </w:r>
      <w:r w:rsidR="00963591">
        <w:rPr>
          <w:rFonts w:hint="eastAsia"/>
          <w:sz w:val="21"/>
          <w:szCs w:val="21"/>
          <w:lang w:val="en-AU" w:eastAsia="ja-JP"/>
        </w:rPr>
        <w:t>の障壁</w:t>
      </w:r>
      <w:r w:rsidRPr="00963840">
        <w:rPr>
          <w:sz w:val="21"/>
          <w:szCs w:val="21"/>
          <w:lang w:val="en-AU" w:eastAsia="ja-JP"/>
        </w:rPr>
        <w:t>には、言語やコミュニケーション上の課題、文化的に適切なサービスの不足、制度の複雑さ、データや説明責任における不備などが含まれる。</w:t>
      </w:r>
    </w:p>
    <w:p w14:paraId="0F6156F0" w14:textId="6A171085"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こうしたエビデンス全体を通じて、権利の形式的な承認と実際の実現との間には隔たりがあるという一貫した知見が示されてい</w:t>
      </w:r>
      <w:r w:rsidR="00076F4A">
        <w:rPr>
          <w:rFonts w:hint="eastAsia"/>
          <w:sz w:val="21"/>
          <w:szCs w:val="21"/>
          <w:lang w:val="en-AU" w:eastAsia="ja-JP"/>
        </w:rPr>
        <w:t>る</w:t>
      </w:r>
      <w:r w:rsidRPr="00963840">
        <w:rPr>
          <w:sz w:val="21"/>
          <w:szCs w:val="21"/>
          <w:lang w:val="en-AU" w:eastAsia="ja-JP"/>
        </w:rPr>
        <w:t>。これらの障壁は、サービスへのアクセスを制限するだけでなく、個人が自身の権利を理解し、十分な情報に基づいた意思決定を行い、社会に完全に参加する能力をも制限してい</w:t>
      </w:r>
      <w:r w:rsidR="00076F4A">
        <w:rPr>
          <w:rFonts w:hint="eastAsia"/>
          <w:sz w:val="21"/>
          <w:szCs w:val="21"/>
          <w:lang w:val="en-AU" w:eastAsia="ja-JP"/>
        </w:rPr>
        <w:t>る</w:t>
      </w:r>
      <w:r w:rsidRPr="00963840">
        <w:rPr>
          <w:sz w:val="21"/>
          <w:szCs w:val="21"/>
          <w:lang w:val="en-AU" w:eastAsia="ja-JP"/>
        </w:rPr>
        <w:t>。</w:t>
      </w:r>
    </w:p>
    <w:p w14:paraId="2450EE5C" w14:textId="77777777" w:rsidR="00B205E5" w:rsidRPr="00963840" w:rsidRDefault="00B205E5" w:rsidP="00B205E5">
      <w:pPr>
        <w:rPr>
          <w:b/>
          <w:bCs/>
          <w:sz w:val="21"/>
          <w:szCs w:val="21"/>
          <w:lang w:eastAsia="ja-JP"/>
        </w:rPr>
      </w:pPr>
      <w:r w:rsidRPr="00963840">
        <w:rPr>
          <w:b/>
          <w:bCs/>
          <w:sz w:val="21"/>
          <w:szCs w:val="21"/>
          <w:lang w:eastAsia="ja-JP"/>
        </w:rPr>
        <w:t>制度改革と実施</w:t>
      </w:r>
    </w:p>
    <w:p w14:paraId="4FD5099A" w14:textId="3A2D739D" w:rsidR="00B205E5" w:rsidRPr="00963840" w:rsidRDefault="00B205E5" w:rsidP="00C11593">
      <w:pPr>
        <w:spacing w:before="180" w:after="180" w:line="240" w:lineRule="auto"/>
        <w:ind w:firstLineChars="100" w:firstLine="210"/>
        <w:rPr>
          <w:sz w:val="21"/>
          <w:szCs w:val="21"/>
          <w:lang w:val="en-AU" w:eastAsia="ja-JP"/>
        </w:rPr>
      </w:pPr>
      <w:r w:rsidRPr="008A5255">
        <w:rPr>
          <w:sz w:val="21"/>
          <w:szCs w:val="21"/>
          <w:lang w:val="en-AU" w:eastAsia="ja-JP"/>
        </w:rPr>
        <w:t>この人口動態の変化は、オーストラリアの高齢者ケア</w:t>
      </w:r>
      <w:r w:rsidRPr="00963840">
        <w:rPr>
          <w:sz w:val="21"/>
          <w:szCs w:val="21"/>
          <w:lang w:val="en-AU" w:eastAsia="ja-JP"/>
        </w:rPr>
        <w:t>制度</w:t>
      </w:r>
      <w:r w:rsidR="00180D2F">
        <w:rPr>
          <w:rFonts w:hint="eastAsia"/>
          <w:sz w:val="21"/>
          <w:szCs w:val="21"/>
          <w:lang w:val="en-AU" w:eastAsia="ja-JP"/>
        </w:rPr>
        <w:t>の</w:t>
      </w:r>
      <w:r w:rsidRPr="00963840">
        <w:rPr>
          <w:sz w:val="21"/>
          <w:szCs w:val="21"/>
          <w:lang w:val="en-AU" w:eastAsia="ja-JP"/>
        </w:rPr>
        <w:t>継続的な改革</w:t>
      </w:r>
      <w:r w:rsidR="0050565F">
        <w:rPr>
          <w:rFonts w:hint="eastAsia"/>
          <w:sz w:val="21"/>
          <w:szCs w:val="21"/>
          <w:lang w:val="en-AU" w:eastAsia="ja-JP"/>
        </w:rPr>
        <w:t>（</w:t>
      </w:r>
      <w:r w:rsidR="0050565F" w:rsidRPr="008A5255">
        <w:rPr>
          <w:sz w:val="21"/>
          <w:szCs w:val="21"/>
          <w:lang w:val="en-AU" w:eastAsia="ja-JP"/>
        </w:rPr>
        <w:t>より権利に基づくアプローチへの転換</w:t>
      </w:r>
      <w:r w:rsidR="0050565F" w:rsidRPr="008A5255">
        <w:rPr>
          <w:sz w:val="21"/>
          <w:szCs w:val="21"/>
          <w:lang w:val="en-AU" w:eastAsia="ja-JP"/>
        </w:rPr>
        <w:t>⁴</w:t>
      </w:r>
      <w:r w:rsidR="0050565F">
        <w:rPr>
          <w:rFonts w:hint="eastAsia"/>
          <w:sz w:val="21"/>
          <w:szCs w:val="21"/>
          <w:lang w:val="en-AU" w:eastAsia="ja-JP"/>
        </w:rPr>
        <w:t>など）</w:t>
      </w:r>
      <w:r w:rsidRPr="00963840">
        <w:rPr>
          <w:sz w:val="21"/>
          <w:szCs w:val="21"/>
          <w:lang w:val="en-AU" w:eastAsia="ja-JP"/>
        </w:rPr>
        <w:t>と並行して生じている。</w:t>
      </w:r>
    </w:p>
    <w:p w14:paraId="3ADE2C0B" w14:textId="0524BE1F"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しかし</w:t>
      </w:r>
      <w:r w:rsidR="0092538A">
        <w:rPr>
          <w:rFonts w:hint="eastAsia"/>
          <w:sz w:val="21"/>
          <w:szCs w:val="21"/>
          <w:lang w:val="en-AU" w:eastAsia="ja-JP"/>
        </w:rPr>
        <w:t>ながら</w:t>
      </w:r>
      <w:r w:rsidRPr="00963840">
        <w:rPr>
          <w:sz w:val="21"/>
          <w:szCs w:val="21"/>
          <w:lang w:val="en-AU" w:eastAsia="ja-JP"/>
        </w:rPr>
        <w:t>、文化的・言語的に多様な背景を持つ多くの高齢者が、依然として権利へのアクセスや権利の行使において障壁に直面し続けていることを示している。</w:t>
      </w:r>
      <w:r w:rsidR="00C92B71">
        <w:rPr>
          <w:rFonts w:hint="eastAsia"/>
          <w:sz w:val="21"/>
          <w:szCs w:val="21"/>
          <w:lang w:val="en-AU" w:eastAsia="ja-JP"/>
        </w:rPr>
        <w:t>そのことは、</w:t>
      </w:r>
      <w:r w:rsidR="0092538A" w:rsidRPr="00963840">
        <w:rPr>
          <w:sz w:val="21"/>
          <w:szCs w:val="21"/>
          <w:lang w:val="en-AU" w:eastAsia="ja-JP"/>
        </w:rPr>
        <w:t>FECCA</w:t>
      </w:r>
      <w:r w:rsidR="0092538A" w:rsidRPr="00963840">
        <w:rPr>
          <w:sz w:val="21"/>
          <w:szCs w:val="21"/>
          <w:lang w:val="en-AU" w:eastAsia="ja-JP"/>
        </w:rPr>
        <w:t>の「ビジョン</w:t>
      </w:r>
      <w:r w:rsidR="0092538A" w:rsidRPr="00963840">
        <w:rPr>
          <w:sz w:val="21"/>
          <w:szCs w:val="21"/>
          <w:lang w:val="en-AU" w:eastAsia="ja-JP"/>
        </w:rPr>
        <w:lastRenderedPageBreak/>
        <w:t>2030</w:t>
      </w:r>
      <w:r w:rsidR="0092538A" w:rsidRPr="00963840">
        <w:rPr>
          <w:sz w:val="21"/>
          <w:szCs w:val="21"/>
          <w:lang w:val="en-AU" w:eastAsia="ja-JP"/>
        </w:rPr>
        <w:t>」</w:t>
      </w:r>
      <w:r w:rsidR="0092538A" w:rsidRPr="00963840">
        <w:rPr>
          <w:sz w:val="21"/>
          <w:szCs w:val="21"/>
          <w:lang w:val="en-AU" w:eastAsia="ja-JP"/>
        </w:rPr>
        <w:t>³</w:t>
      </w:r>
      <w:r w:rsidR="0092538A" w:rsidRPr="00963840">
        <w:rPr>
          <w:sz w:val="21"/>
          <w:szCs w:val="21"/>
          <w:lang w:val="en-AU" w:eastAsia="ja-JP"/>
        </w:rPr>
        <w:t>を通じて実施されたものを含む全国的な協議や、より広範な医療システム分析からの証拠</w:t>
      </w:r>
      <w:r w:rsidR="00B212B4">
        <w:rPr>
          <w:rFonts w:hint="eastAsia"/>
          <w:sz w:val="21"/>
          <w:szCs w:val="21"/>
          <w:lang w:val="en-AU" w:eastAsia="ja-JP"/>
        </w:rPr>
        <w:t>が示している。</w:t>
      </w:r>
      <w:r w:rsidRPr="00963840">
        <w:rPr>
          <w:sz w:val="21"/>
          <w:szCs w:val="21"/>
          <w:lang w:val="en-AU" w:eastAsia="ja-JP"/>
        </w:rPr>
        <w:t>これらの障壁はサービス提供に限定されるものではなく、システムの設計、情報伝達、利用方法に関するより広範な課題</w:t>
      </w:r>
      <w:r w:rsidR="00E041B7">
        <w:rPr>
          <w:rFonts w:hint="eastAsia"/>
          <w:sz w:val="21"/>
          <w:szCs w:val="21"/>
          <w:lang w:val="en-AU" w:eastAsia="ja-JP"/>
        </w:rPr>
        <w:t>に</w:t>
      </w:r>
      <w:r w:rsidR="002508D1">
        <w:rPr>
          <w:rFonts w:hint="eastAsia"/>
          <w:sz w:val="21"/>
          <w:szCs w:val="21"/>
          <w:lang w:val="en-AU" w:eastAsia="ja-JP"/>
        </w:rPr>
        <w:t>表れてい</w:t>
      </w:r>
      <w:r w:rsidRPr="00963840">
        <w:rPr>
          <w:sz w:val="21"/>
          <w:szCs w:val="21"/>
          <w:lang w:val="en-AU" w:eastAsia="ja-JP"/>
        </w:rPr>
        <w:t>る。</w:t>
      </w:r>
    </w:p>
    <w:p w14:paraId="784C6654" w14:textId="19119DC6" w:rsidR="00B205E5" w:rsidRPr="00963840" w:rsidRDefault="00B205E5" w:rsidP="00B205E5">
      <w:pPr>
        <w:rPr>
          <w:b/>
          <w:bCs/>
          <w:sz w:val="21"/>
          <w:szCs w:val="21"/>
          <w:lang w:eastAsia="ja-JP"/>
        </w:rPr>
      </w:pPr>
      <w:r w:rsidRPr="00963840">
        <w:rPr>
          <w:b/>
          <w:bCs/>
          <w:sz w:val="21"/>
          <w:szCs w:val="21"/>
          <w:lang w:eastAsia="ja-JP"/>
        </w:rPr>
        <w:t>オーストラリア</w:t>
      </w:r>
      <w:r w:rsidR="009D215D">
        <w:rPr>
          <w:rFonts w:hint="eastAsia"/>
          <w:b/>
          <w:bCs/>
          <w:sz w:val="21"/>
          <w:szCs w:val="21"/>
          <w:lang w:eastAsia="ja-JP"/>
        </w:rPr>
        <w:t>で</w:t>
      </w:r>
      <w:r w:rsidRPr="00963840">
        <w:rPr>
          <w:b/>
          <w:bCs/>
          <w:sz w:val="21"/>
          <w:szCs w:val="21"/>
          <w:lang w:eastAsia="ja-JP"/>
        </w:rPr>
        <w:t>の実施に向けて</w:t>
      </w:r>
    </w:p>
    <w:p w14:paraId="25FE9788" w14:textId="4582D2F2"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オーストラリアの経験は、高齢者の人権に関する法的拘束力のある文書が実際にどのように</w:t>
      </w:r>
      <w:r w:rsidR="00ED716F">
        <w:rPr>
          <w:rFonts w:hint="eastAsia"/>
          <w:sz w:val="21"/>
          <w:szCs w:val="21"/>
          <w:lang w:val="en-AU" w:eastAsia="ja-JP"/>
        </w:rPr>
        <w:t>運用される</w:t>
      </w:r>
      <w:r w:rsidRPr="00963840">
        <w:rPr>
          <w:sz w:val="21"/>
          <w:szCs w:val="21"/>
          <w:lang w:val="en-AU" w:eastAsia="ja-JP"/>
        </w:rPr>
        <w:t>かについて、有益な事例研究を提供している。この経験は、そのような文書が実現可能かつ価値あるものであることを示唆しているが、その有効性は、権利</w:t>
      </w:r>
      <w:r w:rsidR="00DC28FE">
        <w:rPr>
          <w:rFonts w:hint="eastAsia"/>
          <w:sz w:val="21"/>
          <w:szCs w:val="21"/>
          <w:lang w:val="en-AU" w:eastAsia="ja-JP"/>
        </w:rPr>
        <w:t>が明示される</w:t>
      </w:r>
      <w:r w:rsidRPr="00963840">
        <w:rPr>
          <w:sz w:val="21"/>
          <w:szCs w:val="21"/>
          <w:lang w:val="en-AU" w:eastAsia="ja-JP"/>
        </w:rPr>
        <w:t>だけでなく、権利が</w:t>
      </w:r>
      <w:r w:rsidR="0077755A" w:rsidRPr="00984BC9">
        <w:rPr>
          <w:rFonts w:hint="eastAsia"/>
          <w:sz w:val="16"/>
          <w:szCs w:val="16"/>
          <w:lang w:val="en-AU" w:eastAsia="ja-JP"/>
        </w:rPr>
        <w:t>（訳注　国内の）</w:t>
      </w:r>
      <w:r w:rsidRPr="00963840">
        <w:rPr>
          <w:sz w:val="21"/>
          <w:szCs w:val="21"/>
          <w:lang w:val="en-AU" w:eastAsia="ja-JP"/>
        </w:rPr>
        <w:t>法律にどのように組み込まれ、特に保健・高齢者ケアといった複雑なシステム全体でどのように実施されるかにかかっている。</w:t>
      </w:r>
    </w:p>
    <w:p w14:paraId="33080F5A" w14:textId="48C586A2"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オーストラリアの文脈における中心的な特徴は、</w:t>
      </w:r>
      <w:r w:rsidR="00254668">
        <w:rPr>
          <w:rFonts w:hint="eastAsia"/>
          <w:sz w:val="21"/>
          <w:szCs w:val="21"/>
          <w:lang w:val="en-AU" w:eastAsia="ja-JP"/>
        </w:rPr>
        <w:t>総合</w:t>
      </w:r>
      <w:r w:rsidRPr="00963840">
        <w:rPr>
          <w:sz w:val="21"/>
          <w:szCs w:val="21"/>
          <w:lang w:val="en-AU" w:eastAsia="ja-JP"/>
        </w:rPr>
        <w:t>的な全国的な人権法が存在しないことである。</w:t>
      </w:r>
      <w:r w:rsidRPr="00963840">
        <w:rPr>
          <w:sz w:val="21"/>
          <w:szCs w:val="21"/>
          <w:lang w:val="en-AU" w:eastAsia="ja-JP"/>
        </w:rPr>
        <w:t>FECCA</w:t>
      </w:r>
      <w:r w:rsidRPr="00963840">
        <w:rPr>
          <w:sz w:val="21"/>
          <w:szCs w:val="21"/>
          <w:lang w:val="en-AU" w:eastAsia="ja-JP"/>
        </w:rPr>
        <w:t>は、全国的な人権法およびより広範な人権枠組みの確立を一貫して提唱しており、これにより、全国における権利の保護、一貫性、および執行可能性を強化することを目指している。</w:t>
      </w:r>
      <w:r w:rsidRPr="00963840">
        <w:rPr>
          <w:sz w:val="21"/>
          <w:szCs w:val="21"/>
          <w:lang w:val="en-AU" w:eastAsia="ja-JP"/>
        </w:rPr>
        <w:t xml:space="preserve"> </w:t>
      </w:r>
      <w:r w:rsidRPr="00963840">
        <w:rPr>
          <w:sz w:val="21"/>
          <w:szCs w:val="21"/>
          <w:lang w:val="en-AU" w:eastAsia="ja-JP"/>
        </w:rPr>
        <w:t>現行の制度では、保護措置は連邦法、コモン・ロー</w:t>
      </w:r>
      <w:r w:rsidR="0031766D">
        <w:rPr>
          <w:rFonts w:hint="eastAsia"/>
          <w:sz w:val="21"/>
          <w:szCs w:val="21"/>
          <w:lang w:val="en-AU" w:eastAsia="ja-JP"/>
        </w:rPr>
        <w:t>（判例法）</w:t>
      </w:r>
      <w:r w:rsidRPr="00963840">
        <w:rPr>
          <w:sz w:val="21"/>
          <w:szCs w:val="21"/>
          <w:lang w:val="en-AU" w:eastAsia="ja-JP"/>
        </w:rPr>
        <w:t>の原則、政策枠組みに分散しているほか、オーストラリア首都特別地域、ビクトリア州、クイーンズランド州を含む</w:t>
      </w:r>
      <w:r w:rsidRPr="00963840">
        <w:rPr>
          <w:sz w:val="21"/>
          <w:szCs w:val="21"/>
          <w:lang w:val="en-AU" w:eastAsia="ja-JP"/>
        </w:rPr>
        <w:t>8</w:t>
      </w:r>
      <w:r w:rsidRPr="00963840">
        <w:rPr>
          <w:sz w:val="21"/>
          <w:szCs w:val="21"/>
          <w:lang w:val="en-AU" w:eastAsia="ja-JP"/>
        </w:rPr>
        <w:t>つの州・準州のうち</w:t>
      </w:r>
      <w:r w:rsidRPr="00963840">
        <w:rPr>
          <w:sz w:val="21"/>
          <w:szCs w:val="21"/>
          <w:lang w:val="en-AU" w:eastAsia="ja-JP"/>
        </w:rPr>
        <w:t>3</w:t>
      </w:r>
      <w:r w:rsidRPr="00963840">
        <w:rPr>
          <w:sz w:val="21"/>
          <w:szCs w:val="21"/>
          <w:lang w:val="en-AU" w:eastAsia="ja-JP"/>
        </w:rPr>
        <w:t>つでは、法定の人権憲章が制定されている。これらの地方レベルの枠組みは重要な保護を提供しているものの、全国的な包括的な立法枠組みが存在しないため、権利の解釈、適用、執行の仕方にばらつきが生じている。</w:t>
      </w:r>
    </w:p>
    <w:p w14:paraId="5741CC75" w14:textId="7FC68E78"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各州および準州の人権憲章の経験は、意思決定プロセスに人権上の義務を直接組み込む</w:t>
      </w:r>
      <w:r w:rsidR="001917F3">
        <w:rPr>
          <w:rFonts w:hint="eastAsia"/>
          <w:sz w:val="21"/>
          <w:szCs w:val="21"/>
          <w:lang w:val="en-AU" w:eastAsia="ja-JP"/>
        </w:rPr>
        <w:t>意義</w:t>
      </w:r>
      <w:r w:rsidRPr="00963840">
        <w:rPr>
          <w:sz w:val="21"/>
          <w:szCs w:val="21"/>
          <w:lang w:val="en-AU" w:eastAsia="ja-JP"/>
        </w:rPr>
        <w:t>を実証している。公的機関</w:t>
      </w:r>
      <w:r w:rsidR="003B6324">
        <w:rPr>
          <w:rFonts w:hint="eastAsia"/>
          <w:sz w:val="21"/>
          <w:szCs w:val="21"/>
          <w:lang w:val="en-AU" w:eastAsia="ja-JP"/>
        </w:rPr>
        <w:t>は</w:t>
      </w:r>
      <w:r w:rsidRPr="00963840">
        <w:rPr>
          <w:sz w:val="21"/>
          <w:szCs w:val="21"/>
          <w:lang w:val="en-AU" w:eastAsia="ja-JP"/>
        </w:rPr>
        <w:t>人権への配慮を義務付けら</w:t>
      </w:r>
      <w:r w:rsidR="00304414">
        <w:rPr>
          <w:rFonts w:hint="eastAsia"/>
          <w:sz w:val="21"/>
          <w:szCs w:val="21"/>
          <w:lang w:val="en-AU" w:eastAsia="ja-JP"/>
        </w:rPr>
        <w:t>れ</w:t>
      </w:r>
      <w:r w:rsidRPr="00963840">
        <w:rPr>
          <w:sz w:val="21"/>
          <w:szCs w:val="21"/>
          <w:lang w:val="en-AU" w:eastAsia="ja-JP"/>
        </w:rPr>
        <w:t>、その結果具体的な成果の向上がもたらされてきた。</w:t>
      </w:r>
      <w:r w:rsidRPr="00963840">
        <w:rPr>
          <w:sz w:val="21"/>
          <w:szCs w:val="21"/>
          <w:lang w:val="en-AU" w:eastAsia="ja-JP"/>
        </w:rPr>
        <w:t xml:space="preserve"> </w:t>
      </w:r>
      <w:r w:rsidRPr="00963840">
        <w:rPr>
          <w:sz w:val="21"/>
          <w:szCs w:val="21"/>
          <w:lang w:val="en-AU" w:eastAsia="ja-JP"/>
        </w:rPr>
        <w:t>オーストラリアの州および準州の人権枠組み</w:t>
      </w:r>
      <w:r w:rsidR="00D132B2">
        <w:rPr>
          <w:rFonts w:hint="eastAsia"/>
          <w:sz w:val="21"/>
          <w:szCs w:val="21"/>
          <w:lang w:val="en-AU" w:eastAsia="ja-JP"/>
        </w:rPr>
        <w:t>が示す</w:t>
      </w:r>
      <w:r w:rsidRPr="00963840">
        <w:rPr>
          <w:sz w:val="21"/>
          <w:szCs w:val="21"/>
          <w:lang w:val="en-AU" w:eastAsia="ja-JP"/>
        </w:rPr>
        <w:t>証拠（審判手続における通訳の利用や、都市計画決定における文化的・宗教的権利の承認に関する事例研究を含む）は、意思決定に人権上の義務を組み込むことの実践的な影響を示している</w:t>
      </w:r>
      <w:r w:rsidRPr="00963840">
        <w:rPr>
          <w:sz w:val="21"/>
          <w:szCs w:val="21"/>
          <w:vertAlign w:val="superscript"/>
          <w:lang w:val="en-AU" w:eastAsia="ja-JP"/>
        </w:rPr>
        <w:t>6</w:t>
      </w:r>
      <w:r w:rsidRPr="00963840">
        <w:rPr>
          <w:sz w:val="21"/>
          <w:szCs w:val="21"/>
          <w:lang w:val="en-AU" w:eastAsia="ja-JP"/>
        </w:rPr>
        <w:t>。これらの事例は、権利が明確な法的義務、利用しやすい救済手段、およびシステム全体にわたる説明責任を確保する仕組みによって支えられたときに最も効果を発揮するという</w:t>
      </w:r>
      <w:r w:rsidRPr="00963840">
        <w:rPr>
          <w:sz w:val="21"/>
          <w:szCs w:val="21"/>
          <w:lang w:val="en-AU" w:eastAsia="ja-JP"/>
        </w:rPr>
        <w:t>FECCA</w:t>
      </w:r>
      <w:r w:rsidRPr="00963840">
        <w:rPr>
          <w:sz w:val="21"/>
          <w:szCs w:val="21"/>
          <w:lang w:val="en-AU" w:eastAsia="ja-JP"/>
        </w:rPr>
        <w:t>の立場を裏付けている。</w:t>
      </w:r>
    </w:p>
    <w:p w14:paraId="124D7967" w14:textId="28379DFA"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これは、国際的な法的</w:t>
      </w:r>
      <w:r w:rsidR="00100CFC">
        <w:rPr>
          <w:rFonts w:hint="eastAsia"/>
          <w:sz w:val="21"/>
          <w:szCs w:val="21"/>
          <w:lang w:val="en-AU" w:eastAsia="ja-JP"/>
        </w:rPr>
        <w:t>文書</w:t>
      </w:r>
      <w:r w:rsidRPr="00963840">
        <w:rPr>
          <w:sz w:val="21"/>
          <w:szCs w:val="21"/>
          <w:lang w:val="en-AU" w:eastAsia="ja-JP"/>
        </w:rPr>
        <w:t>の策定に直接関連する。オーストラリアの経験が示すように、権利が一貫して適用され、実際に執行されることを確保するには、明確で包括的な枠組みの存在が不可欠である。これがなければ、権利が断片化され、適用にばらつきが生じ、個人が権利を行使しにくくなるリスクがある。</w:t>
      </w:r>
    </w:p>
    <w:p w14:paraId="4137102D" w14:textId="0AB2A611"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こうした問題は、オーストラリアの医療および高齢者</w:t>
      </w:r>
      <w:r w:rsidR="00884594">
        <w:rPr>
          <w:rFonts w:hint="eastAsia"/>
          <w:sz w:val="21"/>
          <w:szCs w:val="21"/>
          <w:lang w:val="en-AU" w:eastAsia="ja-JP"/>
        </w:rPr>
        <w:t>ケア</w:t>
      </w:r>
      <w:r w:rsidRPr="00963840">
        <w:rPr>
          <w:sz w:val="21"/>
          <w:szCs w:val="21"/>
          <w:lang w:val="en-AU" w:eastAsia="ja-JP"/>
        </w:rPr>
        <w:t>制度において特に顕著である。オーストラリアは、連邦政府と州・準州政府が責任を分担する、公的・民間の混合型医療制度を採用している。この制度は全体として質の高いケアを提供している一方で、分断化、複数の利用窓口、アクセスの格差といった特徴も</w:t>
      </w:r>
      <w:r w:rsidR="00884594">
        <w:rPr>
          <w:rFonts w:hint="eastAsia"/>
          <w:sz w:val="21"/>
          <w:szCs w:val="21"/>
          <w:lang w:val="en-AU" w:eastAsia="ja-JP"/>
        </w:rPr>
        <w:t>持ってい</w:t>
      </w:r>
      <w:r w:rsidRPr="00963840">
        <w:rPr>
          <w:sz w:val="21"/>
          <w:szCs w:val="21"/>
          <w:lang w:val="en-AU" w:eastAsia="ja-JP"/>
        </w:rPr>
        <w:t>る。高齢者にとって、特に文化的・言語的に多様な背景を持つ人々にとっては、この制度をうまく利用することは複雑な作業となり得る。</w:t>
      </w:r>
    </w:p>
    <w:p w14:paraId="78746B2E" w14:textId="56840998"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lastRenderedPageBreak/>
        <w:t>言語、</w:t>
      </w:r>
      <w:r w:rsidR="004E1DFF">
        <w:rPr>
          <w:rFonts w:hint="eastAsia"/>
          <w:sz w:val="21"/>
          <w:szCs w:val="21"/>
          <w:lang w:val="en-AU" w:eastAsia="ja-JP"/>
        </w:rPr>
        <w:t>健康</w:t>
      </w:r>
      <w:r w:rsidRPr="00963840">
        <w:rPr>
          <w:sz w:val="21"/>
          <w:szCs w:val="21"/>
          <w:lang w:val="en-AU" w:eastAsia="ja-JP"/>
        </w:rPr>
        <w:t>リテラシー、デジタルアクセス、システムの複雑さといった障壁は、権利内容を理解し、サービスを利用し、意思決定に参加する能力を制限する可能性がある。こうした状況下では、権利が自動的に行使される</w:t>
      </w:r>
      <w:r w:rsidR="0025362A">
        <w:rPr>
          <w:rFonts w:hint="eastAsia"/>
          <w:sz w:val="21"/>
          <w:szCs w:val="21"/>
          <w:lang w:val="en-AU" w:eastAsia="ja-JP"/>
        </w:rPr>
        <w:t>こ</w:t>
      </w:r>
      <w:r w:rsidRPr="00963840">
        <w:rPr>
          <w:sz w:val="21"/>
          <w:szCs w:val="21"/>
          <w:lang w:val="en-AU" w:eastAsia="ja-JP"/>
        </w:rPr>
        <w:t>とは想定できない。権利は、通訳への一貫したアクセス、文化に配慮したケアモデル、効果的な</w:t>
      </w:r>
      <w:r w:rsidR="00970F96">
        <w:rPr>
          <w:rFonts w:hint="eastAsia"/>
          <w:sz w:val="21"/>
          <w:szCs w:val="21"/>
          <w:lang w:val="en-AU" w:eastAsia="ja-JP"/>
        </w:rPr>
        <w:t>制度利用</w:t>
      </w:r>
      <w:r w:rsidRPr="00963840">
        <w:rPr>
          <w:sz w:val="21"/>
          <w:szCs w:val="21"/>
          <w:lang w:val="en-AU" w:eastAsia="ja-JP"/>
        </w:rPr>
        <w:t>支援、成果や不平等を監視するための堅固なデータ収集といった実践的な措置を通じて、積極的に具体化されなければならない。</w:t>
      </w:r>
    </w:p>
    <w:p w14:paraId="2540C5F0" w14:textId="26DE93C9"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したがって、オーストラリアの経験は、国際的な法的</w:t>
      </w:r>
      <w:r w:rsidR="0015174E">
        <w:rPr>
          <w:rFonts w:hint="eastAsia"/>
          <w:sz w:val="21"/>
          <w:szCs w:val="21"/>
          <w:lang w:val="en-AU" w:eastAsia="ja-JP"/>
        </w:rPr>
        <w:t>文書</w:t>
      </w:r>
      <w:r w:rsidRPr="00963840">
        <w:rPr>
          <w:sz w:val="21"/>
          <w:szCs w:val="21"/>
          <w:lang w:val="en-AU" w:eastAsia="ja-JP"/>
        </w:rPr>
        <w:t>の策定に向けたより広範な教訓を裏付けている。権利に基づく枠組みは必要であるが、それだけでは不十分である。その効果は、明確な法的基盤、調整された制度改革、</w:t>
      </w:r>
      <w:r w:rsidR="00EF64DC">
        <w:rPr>
          <w:rFonts w:hint="eastAsia"/>
          <w:sz w:val="21"/>
          <w:szCs w:val="21"/>
          <w:lang w:val="en-AU" w:eastAsia="ja-JP"/>
        </w:rPr>
        <w:t>職員</w:t>
      </w:r>
      <w:r w:rsidRPr="00963840">
        <w:rPr>
          <w:sz w:val="21"/>
          <w:szCs w:val="21"/>
          <w:lang w:val="en-AU" w:eastAsia="ja-JP"/>
        </w:rPr>
        <w:t>の能力、アクセシブルなコミュニケーション、そして地域社会との持続的な関与にかかっている。これらの要素が欠如すれば、権利は形式的には認められていても、実際には</w:t>
      </w:r>
      <w:r w:rsidR="002F0482">
        <w:rPr>
          <w:rFonts w:hint="eastAsia"/>
          <w:sz w:val="21"/>
          <w:szCs w:val="21"/>
          <w:lang w:val="en-AU" w:eastAsia="ja-JP"/>
        </w:rPr>
        <w:t>ばらばらに</w:t>
      </w:r>
      <w:r w:rsidRPr="00963840">
        <w:rPr>
          <w:sz w:val="21"/>
          <w:szCs w:val="21"/>
          <w:lang w:val="en-AU" w:eastAsia="ja-JP"/>
        </w:rPr>
        <w:t>しか実現されないリスクがある。</w:t>
      </w:r>
    </w:p>
    <w:p w14:paraId="40F65630" w14:textId="77777777" w:rsidR="00B205E5" w:rsidRPr="00963840" w:rsidRDefault="00B205E5" w:rsidP="00B205E5">
      <w:pPr>
        <w:rPr>
          <w:b/>
          <w:bCs/>
          <w:sz w:val="21"/>
          <w:szCs w:val="21"/>
          <w:lang w:eastAsia="ja-JP"/>
        </w:rPr>
      </w:pPr>
      <w:r w:rsidRPr="00963840">
        <w:rPr>
          <w:b/>
          <w:bCs/>
          <w:sz w:val="21"/>
          <w:szCs w:val="21"/>
          <w:lang w:eastAsia="ja-JP"/>
        </w:rPr>
        <w:t>OHCHR</w:t>
      </w:r>
      <w:r w:rsidRPr="00963840">
        <w:rPr>
          <w:b/>
          <w:bCs/>
          <w:sz w:val="21"/>
          <w:szCs w:val="21"/>
          <w:lang w:eastAsia="ja-JP"/>
        </w:rPr>
        <w:t>が提示した協議質問への回答</w:t>
      </w:r>
    </w:p>
    <w:p w14:paraId="45554CA6" w14:textId="10B6339A" w:rsidR="00B205E5" w:rsidRPr="00963840" w:rsidRDefault="00B205E5" w:rsidP="00B205E5">
      <w:pPr>
        <w:spacing w:before="180" w:after="180" w:line="240" w:lineRule="auto"/>
        <w:rPr>
          <w:i/>
          <w:iCs/>
          <w:sz w:val="21"/>
          <w:szCs w:val="21"/>
          <w:lang w:eastAsia="ja-JP"/>
        </w:rPr>
      </w:pPr>
      <w:r w:rsidRPr="00963840">
        <w:rPr>
          <w:b/>
          <w:bCs/>
          <w:i/>
          <w:iCs/>
          <w:sz w:val="21"/>
          <w:szCs w:val="21"/>
          <w:lang w:eastAsia="ja-JP"/>
        </w:rPr>
        <w:t>質問</w:t>
      </w:r>
      <w:r w:rsidR="00286A9C">
        <w:rPr>
          <w:rFonts w:hint="eastAsia"/>
          <w:b/>
          <w:bCs/>
          <w:i/>
          <w:iCs/>
          <w:sz w:val="21"/>
          <w:szCs w:val="21"/>
          <w:lang w:eastAsia="ja-JP"/>
        </w:rPr>
        <w:t xml:space="preserve"> </w:t>
      </w:r>
      <w:r w:rsidRPr="00963840">
        <w:rPr>
          <w:b/>
          <w:bCs/>
          <w:i/>
          <w:iCs/>
          <w:sz w:val="21"/>
          <w:szCs w:val="21"/>
          <w:lang w:eastAsia="ja-JP"/>
        </w:rPr>
        <w:t>1</w:t>
      </w:r>
      <w:r w:rsidRPr="00963840">
        <w:rPr>
          <w:b/>
          <w:bCs/>
          <w:i/>
          <w:iCs/>
          <w:sz w:val="21"/>
          <w:szCs w:val="21"/>
          <w:lang w:eastAsia="ja-JP"/>
        </w:rPr>
        <w:t>：包括的な枠組み</w:t>
      </w:r>
    </w:p>
    <w:p w14:paraId="746A54A4" w14:textId="5DE527E5" w:rsidR="00B205E5" w:rsidRPr="00963840" w:rsidRDefault="00B205E5" w:rsidP="00C11593">
      <w:pPr>
        <w:spacing w:before="180" w:after="180" w:line="240" w:lineRule="auto"/>
        <w:ind w:firstLineChars="100" w:firstLine="210"/>
        <w:rPr>
          <w:sz w:val="21"/>
          <w:szCs w:val="21"/>
          <w:lang w:val="en-AU" w:eastAsia="ja-JP"/>
        </w:rPr>
      </w:pPr>
      <w:r w:rsidRPr="00E81BB3">
        <w:rPr>
          <w:sz w:val="21"/>
          <w:szCs w:val="21"/>
          <w:lang w:val="en-AU" w:eastAsia="ja-JP"/>
        </w:rPr>
        <w:t>国際的な法的拘束力のある文書は、人権に基づ</w:t>
      </w:r>
      <w:r w:rsidR="00AB16DA">
        <w:rPr>
          <w:rFonts w:hint="eastAsia"/>
          <w:sz w:val="21"/>
          <w:szCs w:val="21"/>
          <w:lang w:val="en-AU" w:eastAsia="ja-JP"/>
        </w:rPr>
        <w:t>き</w:t>
      </w:r>
      <w:r w:rsidRPr="00E81BB3">
        <w:rPr>
          <w:sz w:val="21"/>
          <w:szCs w:val="21"/>
          <w:lang w:val="en-AU" w:eastAsia="ja-JP"/>
        </w:rPr>
        <w:t>、公平性を重視し、実施に焦点を当てた枠組みに導</w:t>
      </w:r>
      <w:r w:rsidRPr="00963840">
        <w:rPr>
          <w:sz w:val="21"/>
          <w:szCs w:val="21"/>
          <w:lang w:val="en-AU" w:eastAsia="ja-JP"/>
        </w:rPr>
        <w:t>かれるべきである。そこでは、高齢者が完全な権利の保有者であり、他のすべての人々と同様に普遍的な人権と基本的自由を享受する権利を有することを明確に確認すべきである。</w:t>
      </w:r>
    </w:p>
    <w:p w14:paraId="2E3E1DB4" w14:textId="1FB9BC6A"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同時に、これらの権利の実現が実際には不均一であることを認識すべきである。構造的・制度的な障壁により、特に多様</w:t>
      </w:r>
      <w:r w:rsidR="00C3259D">
        <w:rPr>
          <w:rFonts w:hint="eastAsia"/>
          <w:sz w:val="21"/>
          <w:szCs w:val="21"/>
          <w:lang w:val="en-AU" w:eastAsia="ja-JP"/>
        </w:rPr>
        <w:t>性</w:t>
      </w:r>
      <w:r w:rsidR="00CF73B6">
        <w:rPr>
          <w:rFonts w:hint="eastAsia"/>
          <w:sz w:val="21"/>
          <w:szCs w:val="21"/>
          <w:lang w:val="en-AU" w:eastAsia="ja-JP"/>
        </w:rPr>
        <w:t>のある</w:t>
      </w:r>
      <w:r w:rsidRPr="00963840">
        <w:rPr>
          <w:sz w:val="21"/>
          <w:szCs w:val="21"/>
          <w:lang w:val="en-AU" w:eastAsia="ja-JP"/>
        </w:rPr>
        <w:t>人口集団</w:t>
      </w:r>
      <w:r w:rsidR="00CF73B6">
        <w:rPr>
          <w:rFonts w:hint="eastAsia"/>
          <w:sz w:val="21"/>
          <w:szCs w:val="21"/>
          <w:lang w:val="en-AU" w:eastAsia="ja-JP"/>
        </w:rPr>
        <w:t>では</w:t>
      </w:r>
      <w:r w:rsidRPr="00963840">
        <w:rPr>
          <w:sz w:val="21"/>
          <w:szCs w:val="21"/>
          <w:lang w:val="en-AU" w:eastAsia="ja-JP"/>
        </w:rPr>
        <w:t>、高齢者が自らの権利にアクセスし、行使することが妨げられることが多々ある。</w:t>
      </w:r>
    </w:p>
    <w:p w14:paraId="20063B1D" w14:textId="130107CF"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したがって、この枠組みは形式的な平等</w:t>
      </w:r>
      <w:r w:rsidR="0077541E">
        <w:rPr>
          <w:rFonts w:hint="eastAsia"/>
          <w:sz w:val="21"/>
          <w:szCs w:val="21"/>
          <w:lang w:val="en-AU" w:eastAsia="ja-JP"/>
        </w:rPr>
        <w:t>（</w:t>
      </w:r>
      <w:r w:rsidR="0077541E" w:rsidRPr="0077541E">
        <w:rPr>
          <w:sz w:val="21"/>
          <w:szCs w:val="21"/>
          <w:lang w:val="en-AU" w:eastAsia="ja-JP"/>
        </w:rPr>
        <w:t>equality</w:t>
      </w:r>
      <w:r w:rsidR="0077541E">
        <w:rPr>
          <w:rFonts w:hint="eastAsia"/>
          <w:sz w:val="21"/>
          <w:szCs w:val="21"/>
          <w:lang w:val="en-AU" w:eastAsia="ja-JP"/>
        </w:rPr>
        <w:t>）</w:t>
      </w:r>
      <w:r w:rsidRPr="00963840">
        <w:rPr>
          <w:sz w:val="21"/>
          <w:szCs w:val="21"/>
          <w:lang w:val="en-AU" w:eastAsia="ja-JP"/>
        </w:rPr>
        <w:t>にとどまらず、公平性</w:t>
      </w:r>
      <w:r w:rsidR="0077541E">
        <w:rPr>
          <w:rFonts w:hint="eastAsia"/>
          <w:sz w:val="21"/>
          <w:szCs w:val="21"/>
          <w:lang w:val="en-AU" w:eastAsia="ja-JP"/>
        </w:rPr>
        <w:t>（</w:t>
      </w:r>
      <w:r w:rsidR="0048693B" w:rsidRPr="0048693B">
        <w:rPr>
          <w:sz w:val="21"/>
          <w:szCs w:val="21"/>
          <w:lang w:val="en-AU" w:eastAsia="ja-JP"/>
        </w:rPr>
        <w:t>equity</w:t>
      </w:r>
      <w:r w:rsidR="0077541E">
        <w:rPr>
          <w:rFonts w:hint="eastAsia"/>
          <w:sz w:val="21"/>
          <w:szCs w:val="21"/>
          <w:lang w:val="en-AU" w:eastAsia="ja-JP"/>
        </w:rPr>
        <w:t>）</w:t>
      </w:r>
      <w:r w:rsidRPr="00963840">
        <w:rPr>
          <w:sz w:val="21"/>
          <w:szCs w:val="21"/>
          <w:lang w:val="en-AU" w:eastAsia="ja-JP"/>
        </w:rPr>
        <w:t>を</w:t>
      </w:r>
      <w:r w:rsidR="00426078">
        <w:rPr>
          <w:rFonts w:hint="eastAsia"/>
          <w:sz w:val="21"/>
          <w:szCs w:val="21"/>
          <w:lang w:val="en-AU" w:eastAsia="ja-JP"/>
        </w:rPr>
        <w:t>明確</w:t>
      </w:r>
      <w:r w:rsidRPr="00963840">
        <w:rPr>
          <w:sz w:val="21"/>
          <w:szCs w:val="21"/>
          <w:lang w:val="en-AU" w:eastAsia="ja-JP"/>
        </w:rPr>
        <w:t>に組み込むべきである。これには、文化的・言語的多様性を人権実現の中心的な</w:t>
      </w:r>
      <w:r w:rsidR="0037573F">
        <w:rPr>
          <w:rFonts w:hint="eastAsia"/>
          <w:sz w:val="21"/>
          <w:szCs w:val="21"/>
          <w:lang w:val="en-AU" w:eastAsia="ja-JP"/>
        </w:rPr>
        <w:t>次元</w:t>
      </w:r>
      <w:r w:rsidRPr="00963840">
        <w:rPr>
          <w:sz w:val="21"/>
          <w:szCs w:val="21"/>
          <w:lang w:val="en-AU" w:eastAsia="ja-JP"/>
        </w:rPr>
        <w:t>として認識すること、また、アクセシビリティ、文化的配慮、制度の活用</w:t>
      </w:r>
      <w:r w:rsidR="00180008">
        <w:rPr>
          <w:rFonts w:hint="eastAsia"/>
          <w:sz w:val="21"/>
          <w:szCs w:val="21"/>
          <w:lang w:val="en-AU" w:eastAsia="ja-JP"/>
        </w:rPr>
        <w:t>支援</w:t>
      </w:r>
      <w:r w:rsidRPr="00963840">
        <w:rPr>
          <w:sz w:val="21"/>
          <w:szCs w:val="21"/>
          <w:lang w:val="en-AU" w:eastAsia="ja-JP"/>
        </w:rPr>
        <w:t>が権利行使の基盤であることを認めることが含まれる。</w:t>
      </w:r>
      <w:r w:rsidR="0048693B">
        <w:rPr>
          <w:rFonts w:hint="eastAsia"/>
          <w:sz w:val="21"/>
          <w:szCs w:val="21"/>
          <w:lang w:val="en-AU" w:eastAsia="ja-JP"/>
        </w:rPr>
        <w:t xml:space="preserve">　</w:t>
      </w:r>
    </w:p>
    <w:p w14:paraId="2A168E45" w14:textId="1147F607" w:rsidR="00B205E5" w:rsidRPr="00963840" w:rsidRDefault="00B205E5" w:rsidP="00B205E5">
      <w:pPr>
        <w:spacing w:before="180" w:after="180" w:line="240" w:lineRule="auto"/>
        <w:rPr>
          <w:i/>
          <w:iCs/>
          <w:sz w:val="21"/>
          <w:szCs w:val="21"/>
          <w:lang w:eastAsia="ja-JP"/>
        </w:rPr>
      </w:pPr>
      <w:r w:rsidRPr="00963840">
        <w:rPr>
          <w:b/>
          <w:bCs/>
          <w:i/>
          <w:iCs/>
          <w:sz w:val="21"/>
          <w:szCs w:val="21"/>
          <w:lang w:eastAsia="ja-JP"/>
        </w:rPr>
        <w:t>質問</w:t>
      </w:r>
      <w:r w:rsidR="00286A9C">
        <w:rPr>
          <w:rFonts w:hint="eastAsia"/>
          <w:b/>
          <w:bCs/>
          <w:i/>
          <w:iCs/>
          <w:sz w:val="21"/>
          <w:szCs w:val="21"/>
          <w:lang w:eastAsia="ja-JP"/>
        </w:rPr>
        <w:t xml:space="preserve"> </w:t>
      </w:r>
      <w:r w:rsidRPr="00963840">
        <w:rPr>
          <w:b/>
          <w:bCs/>
          <w:i/>
          <w:iCs/>
          <w:sz w:val="21"/>
          <w:szCs w:val="21"/>
          <w:lang w:eastAsia="ja-JP"/>
        </w:rPr>
        <w:t>2</w:t>
      </w:r>
      <w:r w:rsidRPr="00963840">
        <w:rPr>
          <w:b/>
          <w:bCs/>
          <w:i/>
          <w:iCs/>
          <w:sz w:val="21"/>
          <w:szCs w:val="21"/>
          <w:lang w:eastAsia="ja-JP"/>
        </w:rPr>
        <w:t>：中核的原則と規範的</w:t>
      </w:r>
      <w:r w:rsidR="00861E28">
        <w:rPr>
          <w:rFonts w:hint="eastAsia"/>
          <w:b/>
          <w:bCs/>
          <w:i/>
          <w:iCs/>
          <w:sz w:val="21"/>
          <w:szCs w:val="21"/>
          <w:lang w:eastAsia="ja-JP"/>
        </w:rPr>
        <w:t>欠落</w:t>
      </w:r>
    </w:p>
    <w:p w14:paraId="3E5CB286" w14:textId="7D36FAF6"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この枠組みは、尊厳、自律、平等と</w:t>
      </w:r>
      <w:r w:rsidR="00861E28">
        <w:rPr>
          <w:rFonts w:hint="eastAsia"/>
          <w:sz w:val="21"/>
          <w:szCs w:val="21"/>
          <w:lang w:val="en-AU" w:eastAsia="ja-JP"/>
        </w:rPr>
        <w:t>無</w:t>
      </w:r>
      <w:r w:rsidRPr="00963840">
        <w:rPr>
          <w:sz w:val="21"/>
          <w:szCs w:val="21"/>
          <w:lang w:val="en-AU" w:eastAsia="ja-JP"/>
        </w:rPr>
        <w:t>差別、参加、</w:t>
      </w:r>
      <w:r w:rsidR="00861E28">
        <w:rPr>
          <w:rFonts w:hint="eastAsia"/>
          <w:sz w:val="21"/>
          <w:szCs w:val="21"/>
          <w:lang w:val="en-AU" w:eastAsia="ja-JP"/>
        </w:rPr>
        <w:t>独</w:t>
      </w:r>
      <w:r w:rsidRPr="00963840">
        <w:rPr>
          <w:sz w:val="21"/>
          <w:szCs w:val="21"/>
          <w:lang w:val="en-AU" w:eastAsia="ja-JP"/>
        </w:rPr>
        <w:t>立、包摂といった中核的原則に裏付けられるべきである。これらは、文化的安全性、言語的アクセシビリティ、および</w:t>
      </w:r>
      <w:r w:rsidR="0099494B">
        <w:rPr>
          <w:rFonts w:hint="eastAsia"/>
          <w:sz w:val="21"/>
          <w:szCs w:val="21"/>
          <w:lang w:val="en-AU" w:eastAsia="ja-JP"/>
        </w:rPr>
        <w:t>結果の</w:t>
      </w:r>
      <w:r w:rsidRPr="00963840">
        <w:rPr>
          <w:sz w:val="21"/>
          <w:szCs w:val="21"/>
          <w:lang w:val="en-AU" w:eastAsia="ja-JP"/>
        </w:rPr>
        <w:t>公平性を</w:t>
      </w:r>
      <w:r w:rsidR="0099494B">
        <w:rPr>
          <w:rFonts w:hint="eastAsia"/>
          <w:sz w:val="21"/>
          <w:szCs w:val="21"/>
          <w:lang w:val="en-AU" w:eastAsia="ja-JP"/>
        </w:rPr>
        <w:t>明確</w:t>
      </w:r>
      <w:r w:rsidRPr="00963840">
        <w:rPr>
          <w:sz w:val="21"/>
          <w:szCs w:val="21"/>
          <w:lang w:val="en-AU" w:eastAsia="ja-JP"/>
        </w:rPr>
        <w:t>に認識すること</w:t>
      </w:r>
      <w:r w:rsidR="0099494B">
        <w:rPr>
          <w:rFonts w:hint="eastAsia"/>
          <w:sz w:val="21"/>
          <w:szCs w:val="21"/>
          <w:lang w:val="en-AU" w:eastAsia="ja-JP"/>
        </w:rPr>
        <w:t>によって</w:t>
      </w:r>
      <w:r w:rsidRPr="00963840">
        <w:rPr>
          <w:sz w:val="21"/>
          <w:szCs w:val="21"/>
          <w:lang w:val="en-AU" w:eastAsia="ja-JP"/>
        </w:rPr>
        <w:t>強化されるべきである。これらの要素は、権利が実際に行使されるために必要な条件</w:t>
      </w:r>
      <w:r w:rsidR="00C95644">
        <w:rPr>
          <w:rFonts w:hint="eastAsia"/>
          <w:sz w:val="21"/>
          <w:szCs w:val="21"/>
          <w:lang w:val="en-AU" w:eastAsia="ja-JP"/>
        </w:rPr>
        <w:t>である</w:t>
      </w:r>
      <w:r w:rsidRPr="00963840">
        <w:rPr>
          <w:sz w:val="21"/>
          <w:szCs w:val="21"/>
          <w:lang w:val="en-AU" w:eastAsia="ja-JP"/>
        </w:rPr>
        <w:t>。</w:t>
      </w:r>
    </w:p>
    <w:p w14:paraId="0539A722" w14:textId="1F8DCA00"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この枠組みは、既存の人権のすべてが高齢者に完全に適用されることを再確認するとともに、それらの権利が高齢期においてどのように適用され</w:t>
      </w:r>
      <w:r w:rsidR="001956A5">
        <w:rPr>
          <w:rFonts w:hint="eastAsia"/>
          <w:sz w:val="21"/>
          <w:szCs w:val="21"/>
          <w:lang w:val="en-AU" w:eastAsia="ja-JP"/>
        </w:rPr>
        <w:t>ている</w:t>
      </w:r>
      <w:r w:rsidRPr="00963840">
        <w:rPr>
          <w:sz w:val="21"/>
          <w:szCs w:val="21"/>
          <w:lang w:val="en-AU" w:eastAsia="ja-JP"/>
        </w:rPr>
        <w:t>かを明確にし、主要な</w:t>
      </w:r>
      <w:r w:rsidR="008216F3">
        <w:rPr>
          <w:rFonts w:hint="eastAsia"/>
          <w:sz w:val="21"/>
          <w:szCs w:val="21"/>
          <w:lang w:val="en-AU" w:eastAsia="ja-JP"/>
        </w:rPr>
        <w:t>欠陥</w:t>
      </w:r>
      <w:r w:rsidRPr="00963840">
        <w:rPr>
          <w:sz w:val="21"/>
          <w:szCs w:val="21"/>
          <w:lang w:val="en-AU" w:eastAsia="ja-JP"/>
        </w:rPr>
        <w:t>を特定すべきである。こ</w:t>
      </w:r>
      <w:r w:rsidRPr="00963840">
        <w:rPr>
          <w:sz w:val="21"/>
          <w:szCs w:val="21"/>
          <w:lang w:val="en-AU" w:eastAsia="ja-JP"/>
        </w:rPr>
        <w:lastRenderedPageBreak/>
        <w:t>れには、文化的に適切なケアへのアクセス、明確かつ</w:t>
      </w:r>
      <w:r w:rsidR="00227CB9">
        <w:rPr>
          <w:rFonts w:hint="eastAsia"/>
          <w:sz w:val="21"/>
          <w:szCs w:val="21"/>
          <w:lang w:val="en-AU" w:eastAsia="ja-JP"/>
        </w:rPr>
        <w:t>アクセシブルな</w:t>
      </w:r>
      <w:r w:rsidRPr="00963840">
        <w:rPr>
          <w:sz w:val="21"/>
          <w:szCs w:val="21"/>
          <w:lang w:val="en-AU" w:eastAsia="ja-JP"/>
        </w:rPr>
        <w:t>情報、制度利用の支援、社会的孤立からの保護、および説明責任のためのデータの改善などが含まれる。</w:t>
      </w:r>
    </w:p>
    <w:p w14:paraId="0FCD7EC6" w14:textId="3B042D80"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この文書は、尊厳、自律、平等および</w:t>
      </w:r>
      <w:r w:rsidR="009C2840">
        <w:rPr>
          <w:rFonts w:hint="eastAsia"/>
          <w:sz w:val="21"/>
          <w:szCs w:val="21"/>
          <w:lang w:val="en-AU" w:eastAsia="ja-JP"/>
        </w:rPr>
        <w:t>無</w:t>
      </w:r>
      <w:r w:rsidRPr="00963840">
        <w:rPr>
          <w:sz w:val="21"/>
          <w:szCs w:val="21"/>
          <w:lang w:val="en-AU" w:eastAsia="ja-JP"/>
        </w:rPr>
        <w:t>差別、参加、</w:t>
      </w:r>
      <w:r w:rsidR="009C2840">
        <w:rPr>
          <w:rFonts w:hint="eastAsia"/>
          <w:sz w:val="21"/>
          <w:szCs w:val="21"/>
          <w:lang w:val="en-AU" w:eastAsia="ja-JP"/>
        </w:rPr>
        <w:t>独</w:t>
      </w:r>
      <w:r w:rsidRPr="00963840">
        <w:rPr>
          <w:sz w:val="21"/>
          <w:szCs w:val="21"/>
          <w:lang w:val="en-AU" w:eastAsia="ja-JP"/>
        </w:rPr>
        <w:t>立、包摂といった中核的な人権原則に基づいていなければならない。これらは、高齢期において権利を効果的に享受するための不可欠な条件として、文化的配慮、言語的アクセシビリティ、および成果における公平性を明確に認識することを通じて強化されるべきである。</w:t>
      </w:r>
      <w:r w:rsidRPr="00963840">
        <w:rPr>
          <w:sz w:val="21"/>
          <w:szCs w:val="21"/>
          <w:lang w:val="en-AU" w:eastAsia="ja-JP"/>
        </w:rPr>
        <w:t xml:space="preserve"> </w:t>
      </w:r>
      <w:r w:rsidRPr="00963840">
        <w:rPr>
          <w:sz w:val="21"/>
          <w:szCs w:val="21"/>
          <w:lang w:val="en-AU" w:eastAsia="ja-JP"/>
        </w:rPr>
        <w:t>この文書は、既存の人権のすべてが高齢者にも等しく適用されることを再確認するとともに、高齢期におけるその適用を明確化し、主要な規範上の</w:t>
      </w:r>
      <w:r w:rsidR="002A6FEF">
        <w:rPr>
          <w:rFonts w:hint="eastAsia"/>
          <w:sz w:val="21"/>
          <w:szCs w:val="21"/>
          <w:lang w:val="en-AU" w:eastAsia="ja-JP"/>
        </w:rPr>
        <w:t>欠陥</w:t>
      </w:r>
      <w:r w:rsidRPr="00963840">
        <w:rPr>
          <w:sz w:val="21"/>
          <w:szCs w:val="21"/>
          <w:lang w:val="en-AU" w:eastAsia="ja-JP"/>
        </w:rPr>
        <w:t>に対処すべきである。これには、文化的に適切なケアへのアクセス、利用しやすい情報、制度利用の支援、社会的孤立からの保護、および説明責任を果たすための</w:t>
      </w:r>
      <w:r w:rsidR="005464B1">
        <w:rPr>
          <w:rFonts w:hint="eastAsia"/>
          <w:sz w:val="21"/>
          <w:szCs w:val="21"/>
          <w:lang w:val="en-AU" w:eastAsia="ja-JP"/>
        </w:rPr>
        <w:t>分類</w:t>
      </w:r>
      <w:r w:rsidRPr="00963840">
        <w:rPr>
          <w:sz w:val="21"/>
          <w:szCs w:val="21"/>
          <w:lang w:val="en-AU" w:eastAsia="ja-JP"/>
        </w:rPr>
        <w:t>されたデータの収集の改善などが含まれる。この文書は、人種、民族、言語、移民の地位、障害に基づく交差的な差別を含め、年齢</w:t>
      </w:r>
      <w:r w:rsidR="00A3413D">
        <w:rPr>
          <w:rFonts w:hint="eastAsia"/>
          <w:sz w:val="21"/>
          <w:szCs w:val="21"/>
          <w:lang w:val="en-AU" w:eastAsia="ja-JP"/>
        </w:rPr>
        <w:t>による</w:t>
      </w:r>
      <w:r w:rsidRPr="00963840">
        <w:rPr>
          <w:sz w:val="21"/>
          <w:szCs w:val="21"/>
          <w:lang w:val="en-AU" w:eastAsia="ja-JP"/>
        </w:rPr>
        <w:t>差別を明示的に禁止すべきである。</w:t>
      </w:r>
      <w:r w:rsidR="00E80941" w:rsidRPr="00EB33DA">
        <w:rPr>
          <w:rFonts w:hint="eastAsia"/>
          <w:sz w:val="16"/>
          <w:szCs w:val="16"/>
          <w:lang w:val="en-AU" w:eastAsia="ja-JP"/>
        </w:rPr>
        <w:t>（訳注　内容的には前の記述と重複する部分が多いがそのまま訳した。）</w:t>
      </w:r>
    </w:p>
    <w:p w14:paraId="598526FA" w14:textId="38402E96" w:rsidR="00B205E5" w:rsidRPr="00963840" w:rsidRDefault="00B205E5" w:rsidP="00B205E5">
      <w:pPr>
        <w:spacing w:before="180" w:after="180" w:line="240" w:lineRule="auto"/>
        <w:rPr>
          <w:i/>
          <w:iCs/>
          <w:sz w:val="21"/>
          <w:szCs w:val="21"/>
          <w:lang w:eastAsia="ja-JP"/>
        </w:rPr>
      </w:pPr>
      <w:r w:rsidRPr="00963840">
        <w:rPr>
          <w:b/>
          <w:bCs/>
          <w:i/>
          <w:iCs/>
          <w:sz w:val="21"/>
          <w:szCs w:val="21"/>
          <w:lang w:eastAsia="ja-JP"/>
        </w:rPr>
        <w:t>質問</w:t>
      </w:r>
      <w:r w:rsidR="00286A9C">
        <w:rPr>
          <w:rFonts w:hint="eastAsia"/>
          <w:b/>
          <w:bCs/>
          <w:i/>
          <w:iCs/>
          <w:sz w:val="21"/>
          <w:szCs w:val="21"/>
          <w:lang w:eastAsia="ja-JP"/>
        </w:rPr>
        <w:t xml:space="preserve"> </w:t>
      </w:r>
      <w:r w:rsidRPr="00963840">
        <w:rPr>
          <w:b/>
          <w:bCs/>
          <w:i/>
          <w:iCs/>
          <w:sz w:val="21"/>
          <w:szCs w:val="21"/>
          <w:lang w:eastAsia="ja-JP"/>
        </w:rPr>
        <w:t>3</w:t>
      </w:r>
      <w:r w:rsidRPr="00963840">
        <w:rPr>
          <w:b/>
          <w:bCs/>
          <w:i/>
          <w:iCs/>
          <w:sz w:val="21"/>
          <w:szCs w:val="21"/>
          <w:lang w:eastAsia="ja-JP"/>
        </w:rPr>
        <w:t>：</w:t>
      </w:r>
      <w:r w:rsidR="002929BF">
        <w:rPr>
          <w:rFonts w:hint="eastAsia"/>
          <w:b/>
          <w:bCs/>
          <w:i/>
          <w:iCs/>
          <w:sz w:val="21"/>
          <w:szCs w:val="21"/>
          <w:lang w:eastAsia="ja-JP"/>
        </w:rPr>
        <w:t>構成</w:t>
      </w:r>
      <w:r w:rsidRPr="00963840">
        <w:rPr>
          <w:b/>
          <w:bCs/>
          <w:i/>
          <w:iCs/>
          <w:sz w:val="21"/>
          <w:szCs w:val="21"/>
          <w:lang w:eastAsia="ja-JP"/>
        </w:rPr>
        <w:t>と</w:t>
      </w:r>
      <w:r w:rsidR="002929BF">
        <w:rPr>
          <w:rFonts w:hint="eastAsia"/>
          <w:b/>
          <w:bCs/>
          <w:i/>
          <w:iCs/>
          <w:sz w:val="21"/>
          <w:szCs w:val="21"/>
          <w:lang w:eastAsia="ja-JP"/>
        </w:rPr>
        <w:t>設計</w:t>
      </w:r>
    </w:p>
    <w:p w14:paraId="643535BC" w14:textId="54F0E4A2"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この</w:t>
      </w:r>
      <w:r w:rsidR="006F2687">
        <w:rPr>
          <w:rFonts w:hint="eastAsia"/>
          <w:sz w:val="21"/>
          <w:szCs w:val="21"/>
          <w:lang w:val="en-AU" w:eastAsia="ja-JP"/>
        </w:rPr>
        <w:t>文書</w:t>
      </w:r>
      <w:r w:rsidRPr="00963840">
        <w:rPr>
          <w:sz w:val="21"/>
          <w:szCs w:val="21"/>
          <w:lang w:val="en-AU" w:eastAsia="ja-JP"/>
        </w:rPr>
        <w:t>は、法的な明確性と実践的な実施を支える、明確かつ首尾一貫した</w:t>
      </w:r>
      <w:r w:rsidR="00405FD0">
        <w:rPr>
          <w:rFonts w:hint="eastAsia"/>
          <w:sz w:val="21"/>
          <w:szCs w:val="21"/>
          <w:lang w:val="en-AU" w:eastAsia="ja-JP"/>
        </w:rPr>
        <w:t>構成</w:t>
      </w:r>
      <w:r w:rsidRPr="00963840">
        <w:rPr>
          <w:sz w:val="21"/>
          <w:szCs w:val="21"/>
          <w:lang w:val="en-AU" w:eastAsia="ja-JP"/>
        </w:rPr>
        <w:t>を採用すべきである。これには、高齢者の尊厳と権利を明記した前文、定義の項、一般原則と義務の明示、および具体的な権利の明確な概要が含まれるべきである。</w:t>
      </w:r>
      <w:r w:rsidRPr="00963840">
        <w:rPr>
          <w:sz w:val="21"/>
          <w:szCs w:val="21"/>
          <w:lang w:val="en-AU" w:eastAsia="ja-JP"/>
        </w:rPr>
        <w:t xml:space="preserve"> </w:t>
      </w:r>
      <w:r w:rsidRPr="00963840">
        <w:rPr>
          <w:sz w:val="21"/>
          <w:szCs w:val="21"/>
          <w:lang w:val="en-AU" w:eastAsia="ja-JP"/>
        </w:rPr>
        <w:t>強力な実施および説明責任に関する規定が不可欠であり、これには参加、</w:t>
      </w:r>
      <w:r w:rsidR="00B80952">
        <w:rPr>
          <w:rFonts w:hint="eastAsia"/>
          <w:sz w:val="21"/>
          <w:szCs w:val="21"/>
          <w:lang w:val="en-AU" w:eastAsia="ja-JP"/>
        </w:rPr>
        <w:t>監視</w:t>
      </w:r>
      <w:r w:rsidRPr="00963840">
        <w:rPr>
          <w:sz w:val="21"/>
          <w:szCs w:val="21"/>
          <w:lang w:val="en-AU" w:eastAsia="ja-JP"/>
        </w:rPr>
        <w:t>および報告、</w:t>
      </w:r>
      <w:r w:rsidR="00B80952">
        <w:rPr>
          <w:rFonts w:hint="eastAsia"/>
          <w:sz w:val="21"/>
          <w:szCs w:val="21"/>
          <w:lang w:val="en-AU" w:eastAsia="ja-JP"/>
        </w:rPr>
        <w:t>分類</w:t>
      </w:r>
      <w:r w:rsidRPr="00963840">
        <w:rPr>
          <w:sz w:val="21"/>
          <w:szCs w:val="21"/>
          <w:lang w:val="en-AU" w:eastAsia="ja-JP"/>
        </w:rPr>
        <w:t>されたデータの収集、救済措置へのアクセスを確保するための仕組みが含まれるべきである。多様な背景を持つ高齢者を含む高齢者の有意義な参加は、条約の策定、実施、</w:t>
      </w:r>
      <w:r w:rsidR="00B80952">
        <w:rPr>
          <w:rFonts w:hint="eastAsia"/>
          <w:sz w:val="21"/>
          <w:szCs w:val="21"/>
          <w:lang w:val="en-AU" w:eastAsia="ja-JP"/>
        </w:rPr>
        <w:t>監視</w:t>
      </w:r>
      <w:r w:rsidRPr="00963840">
        <w:rPr>
          <w:sz w:val="21"/>
          <w:szCs w:val="21"/>
          <w:lang w:val="en-AU" w:eastAsia="ja-JP"/>
        </w:rPr>
        <w:t>を含むあらゆる側面に組み込まれるべきである。</w:t>
      </w:r>
    </w:p>
    <w:p w14:paraId="685B633B" w14:textId="3FD53ED6"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の文書は、法的明確性と実践的な実施の両方を支える、明確かつ首尾一貫した構造を採用すべきである。これには、高齢者の尊厳、自律性、権利を明記した前文に加え、一貫した解釈を確保するための定義の項を含めるべきである。また、平等、</w:t>
      </w:r>
      <w:r w:rsidR="00003945">
        <w:rPr>
          <w:rFonts w:hint="eastAsia"/>
          <w:sz w:val="21"/>
          <w:szCs w:val="21"/>
          <w:lang w:val="en-AU" w:eastAsia="ja-JP"/>
        </w:rPr>
        <w:t>無</w:t>
      </w:r>
      <w:r w:rsidRPr="00963840">
        <w:rPr>
          <w:sz w:val="21"/>
          <w:szCs w:val="21"/>
          <w:lang w:val="en-AU" w:eastAsia="ja-JP"/>
        </w:rPr>
        <w:t>差別、参加、説明責任といった指針となる原則を定め、実質的な権利とそれに対応する国家の義務を明確に規定すべきである。</w:t>
      </w:r>
      <w:r w:rsidRPr="00963840">
        <w:rPr>
          <w:sz w:val="21"/>
          <w:szCs w:val="21"/>
          <w:lang w:val="en-AU" w:eastAsia="ja-JP"/>
        </w:rPr>
        <w:t xml:space="preserve"> </w:t>
      </w:r>
      <w:r w:rsidRPr="00963840">
        <w:rPr>
          <w:sz w:val="21"/>
          <w:szCs w:val="21"/>
          <w:lang w:val="en-AU" w:eastAsia="ja-JP"/>
        </w:rPr>
        <w:t>強力な実施および説明責任のメカニズムが不可欠であり、これには、</w:t>
      </w:r>
      <w:r w:rsidR="00003945">
        <w:rPr>
          <w:rFonts w:hint="eastAsia"/>
          <w:sz w:val="21"/>
          <w:szCs w:val="21"/>
          <w:lang w:val="en-AU" w:eastAsia="ja-JP"/>
        </w:rPr>
        <w:t>監視</w:t>
      </w:r>
      <w:r w:rsidRPr="00963840">
        <w:rPr>
          <w:sz w:val="21"/>
          <w:szCs w:val="21"/>
          <w:lang w:val="en-AU" w:eastAsia="ja-JP"/>
        </w:rPr>
        <w:t>および報告の</w:t>
      </w:r>
      <w:r w:rsidR="00003945">
        <w:rPr>
          <w:rFonts w:hint="eastAsia"/>
          <w:sz w:val="21"/>
          <w:szCs w:val="21"/>
          <w:lang w:val="en-AU" w:eastAsia="ja-JP"/>
        </w:rPr>
        <w:t>義務</w:t>
      </w:r>
      <w:r w:rsidRPr="00963840">
        <w:rPr>
          <w:sz w:val="21"/>
          <w:szCs w:val="21"/>
          <w:lang w:val="en-AU" w:eastAsia="ja-JP"/>
        </w:rPr>
        <w:t>、</w:t>
      </w:r>
      <w:r w:rsidR="00003945">
        <w:rPr>
          <w:rFonts w:hint="eastAsia"/>
          <w:sz w:val="21"/>
          <w:szCs w:val="21"/>
          <w:lang w:val="en-AU" w:eastAsia="ja-JP"/>
        </w:rPr>
        <w:t>分類</w:t>
      </w:r>
      <w:r w:rsidRPr="00963840">
        <w:rPr>
          <w:sz w:val="21"/>
          <w:szCs w:val="21"/>
          <w:lang w:val="en-AU" w:eastAsia="ja-JP"/>
        </w:rPr>
        <w:t>されたデータの収集、権利侵害に対する</w:t>
      </w:r>
      <w:r w:rsidR="0045365F">
        <w:rPr>
          <w:rFonts w:hint="eastAsia"/>
          <w:sz w:val="21"/>
          <w:szCs w:val="21"/>
          <w:lang w:val="en-AU" w:eastAsia="ja-JP"/>
        </w:rPr>
        <w:t>アクセシブルな</w:t>
      </w:r>
      <w:r w:rsidRPr="00963840">
        <w:rPr>
          <w:sz w:val="21"/>
          <w:szCs w:val="21"/>
          <w:lang w:val="en-AU" w:eastAsia="ja-JP"/>
        </w:rPr>
        <w:t>救済措置などが含まれる。高齢者の有意義な参加は、特に多様で周縁化された高齢者に配慮しつつ、条約の策定、実施、モニタリングを含む全過程に組み込まれる必要がある。</w:t>
      </w:r>
    </w:p>
    <w:p w14:paraId="14FACAE4" w14:textId="77777777" w:rsidR="00B205E5" w:rsidRPr="00963840" w:rsidRDefault="00B205E5" w:rsidP="00B205E5">
      <w:pPr>
        <w:rPr>
          <w:b/>
          <w:bCs/>
          <w:sz w:val="21"/>
          <w:szCs w:val="21"/>
        </w:rPr>
      </w:pPr>
      <w:r w:rsidRPr="00963840">
        <w:rPr>
          <w:b/>
          <w:bCs/>
          <w:sz w:val="21"/>
          <w:szCs w:val="21"/>
        </w:rPr>
        <w:t>結論</w:t>
      </w:r>
    </w:p>
    <w:p w14:paraId="74465B5A" w14:textId="4AB2BBFD"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オーストラリア多文化</w:t>
      </w:r>
      <w:r w:rsidR="006A604E">
        <w:rPr>
          <w:rFonts w:hint="eastAsia"/>
          <w:sz w:val="21"/>
          <w:szCs w:val="21"/>
          <w:lang w:val="en-AU" w:eastAsia="ja-JP"/>
        </w:rPr>
        <w:t>保健</w:t>
      </w:r>
      <w:r w:rsidRPr="00963840">
        <w:rPr>
          <w:sz w:val="21"/>
          <w:szCs w:val="21"/>
          <w:lang w:val="en-AU" w:eastAsia="ja-JP"/>
        </w:rPr>
        <w:t>協力機構は、高齢者の人権に関する法的拘束力のある国際条約の策定を強く支持する。このような条約の制定は、世界的な保護体制を強化し、既存の権利の適用を明確にし、各国の制度においてより一貫性があり説明責任のある取り組みを推進する重要な機会となる。</w:t>
      </w:r>
    </w:p>
    <w:p w14:paraId="4A2B7352" w14:textId="3F43DF8E"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この枠組み</w:t>
      </w:r>
      <w:r w:rsidR="007709A3">
        <w:rPr>
          <w:rFonts w:hint="eastAsia"/>
          <w:sz w:val="21"/>
          <w:szCs w:val="21"/>
          <w:lang w:val="en-AU" w:eastAsia="ja-JP"/>
        </w:rPr>
        <w:t>を効果的なものとする</w:t>
      </w:r>
      <w:r w:rsidRPr="00963840">
        <w:rPr>
          <w:sz w:val="21"/>
          <w:szCs w:val="21"/>
          <w:lang w:val="en-AU" w:eastAsia="ja-JP"/>
        </w:rPr>
        <w:t>ためには、普遍的な原則にとどまらず、公平な実施を確保しなければならない。権利の実現は、それが提供される制度によって形作られるものであり、アクセシビリテ</w:t>
      </w:r>
      <w:r w:rsidRPr="00963840">
        <w:rPr>
          <w:sz w:val="21"/>
          <w:szCs w:val="21"/>
          <w:lang w:val="en-AU" w:eastAsia="ja-JP"/>
        </w:rPr>
        <w:lastRenderedPageBreak/>
        <w:t>ィ、文化的配慮、制度設計に意図的</w:t>
      </w:r>
      <w:r w:rsidR="00867A27">
        <w:rPr>
          <w:rFonts w:hint="eastAsia"/>
          <w:sz w:val="21"/>
          <w:szCs w:val="21"/>
          <w:lang w:val="en-AU" w:eastAsia="ja-JP"/>
        </w:rPr>
        <w:t>に</w:t>
      </w:r>
      <w:r w:rsidRPr="00963840">
        <w:rPr>
          <w:sz w:val="21"/>
          <w:szCs w:val="21"/>
          <w:lang w:val="en-AU" w:eastAsia="ja-JP"/>
        </w:rPr>
        <w:t>注意を払わなければ、多くの高齢者が権利を行使する上で障壁に直面し続けることになるという事実を認識しなければならない。したがって、多様性は周辺的な考慮事項としてではなく、権利が実際にどのように実現されるかという上での中心的な要素として理解されるべきである。</w:t>
      </w:r>
    </w:p>
    <w:p w14:paraId="7FF3F2B7" w14:textId="2514F116"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オーストラリアの経験が浮き彫りにしているのは、課題は</w:t>
      </w:r>
      <w:r w:rsidR="00C70416">
        <w:rPr>
          <w:rFonts w:hint="eastAsia"/>
          <w:sz w:val="21"/>
          <w:szCs w:val="21"/>
          <w:lang w:val="en-AU" w:eastAsia="ja-JP"/>
        </w:rPr>
        <w:t>、</w:t>
      </w:r>
      <w:r w:rsidRPr="00963840">
        <w:rPr>
          <w:sz w:val="21"/>
          <w:szCs w:val="21"/>
          <w:lang w:val="en-AU" w:eastAsia="ja-JP"/>
        </w:rPr>
        <w:t>単に権利を定義することだけでなく、複雑な保健・高齢者ケアシステムの中で、</w:t>
      </w:r>
      <w:r w:rsidR="0084751C">
        <w:rPr>
          <w:rFonts w:hint="eastAsia"/>
          <w:sz w:val="21"/>
          <w:szCs w:val="21"/>
          <w:lang w:val="en-AU" w:eastAsia="ja-JP"/>
        </w:rPr>
        <w:t>その</w:t>
      </w:r>
      <w:r w:rsidRPr="00963840">
        <w:rPr>
          <w:sz w:val="21"/>
          <w:szCs w:val="21"/>
          <w:lang w:val="en-AU" w:eastAsia="ja-JP"/>
        </w:rPr>
        <w:t>権利が理解され、</w:t>
      </w:r>
      <w:r w:rsidR="0084751C">
        <w:rPr>
          <w:rFonts w:hint="eastAsia"/>
          <w:sz w:val="21"/>
          <w:szCs w:val="21"/>
          <w:lang w:val="en-AU" w:eastAsia="ja-JP"/>
        </w:rPr>
        <w:t>アクセシブル</w:t>
      </w:r>
      <w:r w:rsidRPr="00963840">
        <w:rPr>
          <w:sz w:val="21"/>
          <w:szCs w:val="21"/>
          <w:lang w:val="en-AU" w:eastAsia="ja-JP"/>
        </w:rPr>
        <w:t>であり、実行可能なものであることを確保することにある。言語へのアクセス、システムの利用方法、文化的安全性、データの可視性といった問題は、付随的な懸念事項ではない。これらは、権利が有意義な形で行使できるかどうかの根本をなすものである。これらの</w:t>
      </w:r>
      <w:r w:rsidR="009E7395">
        <w:rPr>
          <w:rFonts w:hint="eastAsia"/>
          <w:sz w:val="21"/>
          <w:szCs w:val="21"/>
          <w:lang w:val="en-AU" w:eastAsia="ja-JP"/>
        </w:rPr>
        <w:t>要素</w:t>
      </w:r>
      <w:r w:rsidRPr="00963840">
        <w:rPr>
          <w:sz w:val="21"/>
          <w:szCs w:val="21"/>
          <w:lang w:val="en-AU" w:eastAsia="ja-JP"/>
        </w:rPr>
        <w:t>に対処するには、実践的な仕組み、明確な期待、そして実施に向けた持続的な投資が必要となる。</w:t>
      </w:r>
    </w:p>
    <w:p w14:paraId="4CB36631" w14:textId="266DAFD3"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これは、原則に基づいているだけでなく、実用的な枠組みの重要性を強調するものである。強力な指針</w:t>
      </w:r>
      <w:r w:rsidR="00CC4261">
        <w:rPr>
          <w:rFonts w:hint="eastAsia"/>
          <w:sz w:val="21"/>
          <w:szCs w:val="21"/>
          <w:lang w:val="en-AU" w:eastAsia="ja-JP"/>
        </w:rPr>
        <w:t>原則</w:t>
      </w:r>
      <w:r w:rsidRPr="00963840">
        <w:rPr>
          <w:sz w:val="21"/>
          <w:szCs w:val="21"/>
          <w:lang w:val="en-AU" w:eastAsia="ja-JP"/>
        </w:rPr>
        <w:t>、明確な</w:t>
      </w:r>
      <w:r w:rsidR="00872D56">
        <w:rPr>
          <w:rFonts w:hint="eastAsia"/>
          <w:sz w:val="21"/>
          <w:szCs w:val="21"/>
          <w:lang w:val="en-AU" w:eastAsia="ja-JP"/>
        </w:rPr>
        <w:t>構成</w:t>
      </w:r>
      <w:r w:rsidRPr="00963840">
        <w:rPr>
          <w:sz w:val="21"/>
          <w:szCs w:val="21"/>
          <w:lang w:val="en-AU" w:eastAsia="ja-JP"/>
        </w:rPr>
        <w:t>、そして堅固な説明責任の仕組みが不可欠である一方で、これらが現実の世界でどのような成果につながるかに焦点を当てることも同様に重要である。この枠組みの有効性は、最終的に、多様な状況</w:t>
      </w:r>
      <w:r w:rsidR="00872D56">
        <w:rPr>
          <w:rFonts w:hint="eastAsia"/>
          <w:sz w:val="21"/>
          <w:szCs w:val="21"/>
          <w:lang w:val="en-AU" w:eastAsia="ja-JP"/>
        </w:rPr>
        <w:t>の</w:t>
      </w:r>
      <w:r w:rsidRPr="00963840">
        <w:rPr>
          <w:sz w:val="21"/>
          <w:szCs w:val="21"/>
          <w:lang w:val="en-AU" w:eastAsia="ja-JP"/>
        </w:rPr>
        <w:t>高齢者の生活体験をどの程度改善できるかによって測られる。</w:t>
      </w:r>
    </w:p>
    <w:p w14:paraId="19644E7A" w14:textId="183D81A6" w:rsidR="00B205E5" w:rsidRPr="00963840" w:rsidRDefault="0020539A" w:rsidP="00C11593">
      <w:pPr>
        <w:spacing w:before="180" w:after="180" w:line="240" w:lineRule="auto"/>
        <w:ind w:firstLineChars="100" w:firstLine="210"/>
        <w:rPr>
          <w:sz w:val="21"/>
          <w:szCs w:val="21"/>
          <w:lang w:val="en-AU" w:eastAsia="ja-JP"/>
        </w:rPr>
      </w:pPr>
      <w:r>
        <w:rPr>
          <w:sz w:val="21"/>
          <w:szCs w:val="21"/>
          <w:lang w:val="en-AU" w:eastAsia="ja-JP"/>
        </w:rPr>
        <w:t>我々</w:t>
      </w:r>
      <w:r w:rsidR="00B205E5" w:rsidRPr="00963840">
        <w:rPr>
          <w:sz w:val="21"/>
          <w:szCs w:val="21"/>
          <w:lang w:val="en-AU" w:eastAsia="ja-JP"/>
        </w:rPr>
        <w:t>は、多文化コミュニティからの実証データの共有、参画プロセス</w:t>
      </w:r>
      <w:r w:rsidR="00982E2A">
        <w:rPr>
          <w:rFonts w:hint="eastAsia"/>
          <w:sz w:val="21"/>
          <w:szCs w:val="21"/>
          <w:lang w:val="en-AU" w:eastAsia="ja-JP"/>
        </w:rPr>
        <w:t>へ</w:t>
      </w:r>
      <w:r w:rsidR="00B205E5" w:rsidRPr="00963840">
        <w:rPr>
          <w:sz w:val="21"/>
          <w:szCs w:val="21"/>
          <w:lang w:val="en-AU" w:eastAsia="ja-JP"/>
        </w:rPr>
        <w:t>の支援、</w:t>
      </w:r>
      <w:r w:rsidR="00B6446C">
        <w:rPr>
          <w:rFonts w:hint="eastAsia"/>
          <w:sz w:val="21"/>
          <w:szCs w:val="21"/>
          <w:lang w:val="en-AU" w:eastAsia="ja-JP"/>
        </w:rPr>
        <w:t>制度</w:t>
      </w:r>
      <w:r w:rsidR="00B205E5" w:rsidRPr="00963840">
        <w:rPr>
          <w:sz w:val="21"/>
          <w:szCs w:val="21"/>
          <w:lang w:val="en-AU" w:eastAsia="ja-JP"/>
        </w:rPr>
        <w:t>レベルでの実施を強化するアプローチへの貢献などを通じて、この枠組みの策定にさらに寄与する機会を歓迎</w:t>
      </w:r>
      <w:r w:rsidR="003C579D">
        <w:rPr>
          <w:rFonts w:hint="eastAsia"/>
          <w:sz w:val="21"/>
          <w:szCs w:val="21"/>
          <w:lang w:val="en-AU" w:eastAsia="ja-JP"/>
        </w:rPr>
        <w:t>する</w:t>
      </w:r>
      <w:r w:rsidR="00B205E5" w:rsidRPr="00963840">
        <w:rPr>
          <w:sz w:val="21"/>
          <w:szCs w:val="21"/>
          <w:lang w:val="en-AU" w:eastAsia="ja-JP"/>
        </w:rPr>
        <w:t>。</w:t>
      </w:r>
    </w:p>
    <w:p w14:paraId="38236EA5" w14:textId="34AC99FE" w:rsidR="00B205E5" w:rsidRPr="00963840" w:rsidRDefault="00B205E5" w:rsidP="00C11593">
      <w:pPr>
        <w:spacing w:before="180" w:after="180" w:line="240" w:lineRule="auto"/>
        <w:ind w:firstLineChars="100" w:firstLine="210"/>
        <w:rPr>
          <w:sz w:val="21"/>
          <w:szCs w:val="21"/>
          <w:lang w:val="en-AU" w:eastAsia="ja-JP"/>
        </w:rPr>
      </w:pPr>
      <w:r w:rsidRPr="00963840">
        <w:rPr>
          <w:sz w:val="21"/>
          <w:szCs w:val="21"/>
          <w:lang w:val="en-AU" w:eastAsia="ja-JP"/>
        </w:rPr>
        <w:t>法的拘束力のある文書は、大きな前進となる可能性を秘めてい</w:t>
      </w:r>
      <w:r w:rsidR="003C579D">
        <w:rPr>
          <w:rFonts w:hint="eastAsia"/>
          <w:sz w:val="21"/>
          <w:szCs w:val="21"/>
          <w:lang w:val="en-AU" w:eastAsia="ja-JP"/>
        </w:rPr>
        <w:t>る</w:t>
      </w:r>
      <w:r w:rsidRPr="00963840">
        <w:rPr>
          <w:sz w:val="21"/>
          <w:szCs w:val="21"/>
          <w:lang w:val="en-AU" w:eastAsia="ja-JP"/>
        </w:rPr>
        <w:t>。今こそ、それが高齢者の権利を単に確認するだけでなく、あらゆる状況下において、すべての人々のために、その権利が実際に実現されることを可能にするものであることを確実にする好機で</w:t>
      </w:r>
      <w:r w:rsidR="003C579D">
        <w:rPr>
          <w:rFonts w:hint="eastAsia"/>
          <w:sz w:val="21"/>
          <w:szCs w:val="21"/>
          <w:lang w:val="en-AU" w:eastAsia="ja-JP"/>
        </w:rPr>
        <w:t>ある</w:t>
      </w:r>
      <w:r w:rsidRPr="00963840">
        <w:rPr>
          <w:sz w:val="21"/>
          <w:szCs w:val="21"/>
          <w:lang w:val="en-AU" w:eastAsia="ja-JP"/>
        </w:rPr>
        <w:t>。</w:t>
      </w:r>
    </w:p>
    <w:p w14:paraId="42587EFE" w14:textId="4859C0DF" w:rsidR="00B205E5" w:rsidRPr="00963840" w:rsidRDefault="00B205E5" w:rsidP="00177399">
      <w:pPr>
        <w:spacing w:before="180" w:after="180" w:line="240" w:lineRule="auto"/>
        <w:ind w:firstLineChars="100" w:firstLine="210"/>
        <w:rPr>
          <w:sz w:val="21"/>
          <w:szCs w:val="21"/>
          <w:lang w:val="en-AU" w:eastAsia="ja-JP"/>
        </w:rPr>
      </w:pPr>
      <w:r w:rsidRPr="00963840">
        <w:rPr>
          <w:sz w:val="21"/>
          <w:szCs w:val="21"/>
          <w:lang w:val="en-AU" w:eastAsia="ja-JP"/>
        </w:rPr>
        <w:t>法的拘束力のある文書は、権利の承認にとどまらず、すべての高齢者にとって、実践において一貫性があり公平な権利の実現へと進むための極めて重要な機会とな</w:t>
      </w:r>
      <w:r w:rsidR="00767C01">
        <w:rPr>
          <w:rFonts w:hint="eastAsia"/>
          <w:sz w:val="21"/>
          <w:szCs w:val="21"/>
          <w:lang w:val="en-AU" w:eastAsia="ja-JP"/>
        </w:rPr>
        <w:t>る</w:t>
      </w:r>
      <w:r w:rsidRPr="00963840">
        <w:rPr>
          <w:sz w:val="21"/>
          <w:szCs w:val="21"/>
          <w:lang w:val="en-AU" w:eastAsia="ja-JP"/>
        </w:rPr>
        <w:t>。</w:t>
      </w:r>
    </w:p>
    <w:p w14:paraId="580CA1F3" w14:textId="77777777" w:rsidR="00B205E5" w:rsidRPr="00963840" w:rsidRDefault="00B205E5" w:rsidP="00B205E5">
      <w:pPr>
        <w:spacing w:before="180" w:after="180" w:line="240" w:lineRule="auto"/>
        <w:rPr>
          <w:sz w:val="21"/>
          <w:szCs w:val="21"/>
          <w:lang w:val="en-AU" w:eastAsia="ja-JP"/>
        </w:rPr>
      </w:pPr>
    </w:p>
    <w:p w14:paraId="77ADD2A6" w14:textId="77777777" w:rsidR="00B205E5" w:rsidRPr="00963840" w:rsidRDefault="00B205E5" w:rsidP="00B205E5">
      <w:pPr>
        <w:spacing w:after="0" w:line="240" w:lineRule="auto"/>
        <w:rPr>
          <w:sz w:val="21"/>
          <w:szCs w:val="21"/>
          <w:lang w:val="en-AU" w:eastAsia="ja-JP"/>
        </w:rPr>
      </w:pPr>
      <w:r w:rsidRPr="00963840">
        <w:rPr>
          <w:sz w:val="21"/>
          <w:szCs w:val="21"/>
          <w:lang w:val="en-AU" w:eastAsia="ja-JP"/>
        </w:rPr>
        <w:t>プリヤンカ・ライ</w:t>
      </w:r>
    </w:p>
    <w:p w14:paraId="62770F4E" w14:textId="77777777" w:rsidR="00B205E5" w:rsidRPr="00963840" w:rsidRDefault="00B205E5" w:rsidP="00B205E5">
      <w:pPr>
        <w:spacing w:after="0" w:line="240" w:lineRule="auto"/>
        <w:rPr>
          <w:sz w:val="21"/>
          <w:szCs w:val="21"/>
          <w:lang w:val="en-AU" w:eastAsia="ja-JP"/>
        </w:rPr>
      </w:pPr>
      <w:r w:rsidRPr="00963840">
        <w:rPr>
          <w:sz w:val="21"/>
          <w:szCs w:val="21"/>
          <w:lang w:val="en-AU" w:eastAsia="ja-JP"/>
        </w:rPr>
        <w:t>事務局長</w:t>
      </w:r>
    </w:p>
    <w:p w14:paraId="0C931DD9" w14:textId="585CB9A6" w:rsidR="00B205E5" w:rsidRPr="00963840" w:rsidRDefault="00B205E5" w:rsidP="00B205E5">
      <w:pPr>
        <w:spacing w:after="0" w:line="240" w:lineRule="auto"/>
        <w:rPr>
          <w:b/>
          <w:bCs/>
          <w:sz w:val="21"/>
          <w:szCs w:val="21"/>
          <w:lang w:val="en-AU" w:eastAsia="ja-JP"/>
        </w:rPr>
      </w:pPr>
      <w:r w:rsidRPr="00963840">
        <w:rPr>
          <w:b/>
          <w:bCs/>
          <w:sz w:val="21"/>
          <w:szCs w:val="21"/>
          <w:lang w:val="en-AU" w:eastAsia="ja-JP"/>
        </w:rPr>
        <w:t>オーストラリア多文化</w:t>
      </w:r>
      <w:r w:rsidR="00FC6A9E">
        <w:rPr>
          <w:rFonts w:hint="eastAsia"/>
          <w:b/>
          <w:bCs/>
          <w:sz w:val="21"/>
          <w:szCs w:val="21"/>
          <w:lang w:val="en-AU" w:eastAsia="ja-JP"/>
        </w:rPr>
        <w:t>保健</w:t>
      </w:r>
      <w:r w:rsidRPr="00963840">
        <w:rPr>
          <w:b/>
          <w:bCs/>
          <w:sz w:val="21"/>
          <w:szCs w:val="21"/>
          <w:lang w:val="en-AU" w:eastAsia="ja-JP"/>
        </w:rPr>
        <w:t>協力機構</w:t>
      </w:r>
    </w:p>
    <w:p w14:paraId="468FCF2B" w14:textId="77777777" w:rsidR="00B205E5" w:rsidRPr="00963840" w:rsidRDefault="00B205E5" w:rsidP="00B205E5">
      <w:pPr>
        <w:spacing w:before="180" w:after="180" w:line="240" w:lineRule="auto"/>
        <w:rPr>
          <w:sz w:val="21"/>
          <w:szCs w:val="21"/>
          <w:lang w:val="en-AU" w:eastAsia="ja-JP"/>
        </w:rPr>
      </w:pPr>
    </w:p>
    <w:p w14:paraId="54D685D2" w14:textId="77777777" w:rsidR="00B205E5" w:rsidRPr="00963840" w:rsidRDefault="00B205E5" w:rsidP="00B205E5">
      <w:pPr>
        <w:spacing w:before="180" w:after="180" w:line="240" w:lineRule="auto"/>
        <w:rPr>
          <w:b/>
          <w:bCs/>
          <w:sz w:val="21"/>
          <w:szCs w:val="21"/>
          <w:lang w:val="en-AU"/>
        </w:rPr>
      </w:pPr>
      <w:r w:rsidRPr="00963840">
        <w:rPr>
          <w:b/>
          <w:bCs/>
          <w:sz w:val="21"/>
          <w:szCs w:val="21"/>
          <w:lang w:val="en-AU"/>
        </w:rPr>
        <w:t>脚注</w:t>
      </w:r>
    </w:p>
    <w:p w14:paraId="44D89BDC" w14:textId="7A3357AE" w:rsidR="00B205E5" w:rsidRPr="00963840" w:rsidRDefault="00B205E5" w:rsidP="00B205E5">
      <w:pPr>
        <w:numPr>
          <w:ilvl w:val="0"/>
          <w:numId w:val="27"/>
        </w:numPr>
        <w:tabs>
          <w:tab w:val="clear" w:pos="720"/>
          <w:tab w:val="num" w:pos="360"/>
        </w:tabs>
        <w:spacing w:after="0" w:line="240" w:lineRule="auto"/>
        <w:ind w:left="360"/>
        <w:rPr>
          <w:sz w:val="21"/>
          <w:szCs w:val="21"/>
          <w:lang w:val="en-AU" w:eastAsia="ja-JP"/>
        </w:rPr>
      </w:pPr>
      <w:r w:rsidRPr="00963840">
        <w:rPr>
          <w:sz w:val="21"/>
          <w:szCs w:val="21"/>
          <w:lang w:val="en-AU" w:eastAsia="ja-JP"/>
        </w:rPr>
        <w:t>オーストラリア統計局（</w:t>
      </w:r>
      <w:r w:rsidRPr="00963840">
        <w:rPr>
          <w:sz w:val="21"/>
          <w:szCs w:val="21"/>
          <w:lang w:val="en-AU" w:eastAsia="ja-JP"/>
        </w:rPr>
        <w:t>ABS</w:t>
      </w:r>
      <w:r w:rsidRPr="00963840">
        <w:rPr>
          <w:sz w:val="21"/>
          <w:szCs w:val="21"/>
          <w:lang w:val="en-AU" w:eastAsia="ja-JP"/>
        </w:rPr>
        <w:t>）、</w:t>
      </w:r>
      <w:r w:rsidR="00A51CDA">
        <w:rPr>
          <w:rFonts w:hint="eastAsia"/>
          <w:sz w:val="21"/>
          <w:szCs w:val="21"/>
          <w:lang w:val="en-AU" w:eastAsia="ja-JP"/>
        </w:rPr>
        <w:t>「</w:t>
      </w:r>
      <w:r w:rsidRPr="00963840">
        <w:rPr>
          <w:sz w:val="21"/>
          <w:szCs w:val="21"/>
          <w:lang w:val="en-AU" w:eastAsia="ja-JP"/>
        </w:rPr>
        <w:t>人口・住宅センサス：文化的多様性データ</w:t>
      </w:r>
      <w:r w:rsidR="00BD5B09">
        <w:rPr>
          <w:rFonts w:hint="eastAsia"/>
          <w:sz w:val="21"/>
          <w:szCs w:val="21"/>
          <w:lang w:val="en-AU" w:eastAsia="ja-JP"/>
        </w:rPr>
        <w:t>の</w:t>
      </w:r>
      <w:r w:rsidRPr="00963840">
        <w:rPr>
          <w:sz w:val="21"/>
          <w:szCs w:val="21"/>
          <w:lang w:val="en-AU" w:eastAsia="ja-JP"/>
        </w:rPr>
        <w:t>要約、</w:t>
      </w:r>
      <w:r w:rsidRPr="00963840">
        <w:rPr>
          <w:sz w:val="21"/>
          <w:szCs w:val="21"/>
          <w:lang w:val="en-AU" w:eastAsia="ja-JP"/>
        </w:rPr>
        <w:t>2021</w:t>
      </w:r>
      <w:r w:rsidRPr="00963840">
        <w:rPr>
          <w:sz w:val="21"/>
          <w:szCs w:val="21"/>
          <w:lang w:val="en-AU" w:eastAsia="ja-JP"/>
        </w:rPr>
        <w:t>年</w:t>
      </w:r>
      <w:r w:rsidR="00A51CDA">
        <w:rPr>
          <w:rFonts w:hint="eastAsia"/>
          <w:sz w:val="21"/>
          <w:szCs w:val="21"/>
          <w:lang w:val="en-AU" w:eastAsia="ja-JP"/>
        </w:rPr>
        <w:t>」</w:t>
      </w:r>
      <w:r w:rsidRPr="00963840">
        <w:rPr>
          <w:sz w:val="21"/>
          <w:szCs w:val="21"/>
          <w:lang w:val="en-AU" w:eastAsia="ja-JP"/>
        </w:rPr>
        <w:t>、キャンベラ、</w:t>
      </w:r>
      <w:r w:rsidRPr="00963840">
        <w:rPr>
          <w:sz w:val="21"/>
          <w:szCs w:val="21"/>
          <w:lang w:val="en-AU" w:eastAsia="ja-JP"/>
        </w:rPr>
        <w:t>2022</w:t>
      </w:r>
      <w:r w:rsidRPr="00963840">
        <w:rPr>
          <w:sz w:val="21"/>
          <w:szCs w:val="21"/>
          <w:lang w:val="en-AU" w:eastAsia="ja-JP"/>
        </w:rPr>
        <w:t>年。</w:t>
      </w:r>
    </w:p>
    <w:p w14:paraId="44E02734" w14:textId="053EC110" w:rsidR="00B205E5" w:rsidRPr="00963840" w:rsidRDefault="00B205E5" w:rsidP="00B205E5">
      <w:pPr>
        <w:numPr>
          <w:ilvl w:val="0"/>
          <w:numId w:val="27"/>
        </w:numPr>
        <w:tabs>
          <w:tab w:val="clear" w:pos="720"/>
          <w:tab w:val="num" w:pos="360"/>
        </w:tabs>
        <w:spacing w:after="0" w:line="240" w:lineRule="auto"/>
        <w:ind w:left="360"/>
        <w:rPr>
          <w:sz w:val="21"/>
          <w:szCs w:val="21"/>
          <w:lang w:val="en-AU" w:eastAsia="ja-JP"/>
        </w:rPr>
      </w:pPr>
      <w:r w:rsidRPr="00963840">
        <w:rPr>
          <w:sz w:val="21"/>
          <w:szCs w:val="21"/>
          <w:lang w:val="en-AU" w:eastAsia="ja-JP"/>
        </w:rPr>
        <w:lastRenderedPageBreak/>
        <w:t>この推計値は、オーストラリア統計局の人口推計に基づく長期的な人口動態の傾向を反映しており、オーストラリア民族コミュニティ評議会連盟（</w:t>
      </w:r>
      <w:r w:rsidRPr="00963840">
        <w:rPr>
          <w:sz w:val="21"/>
          <w:szCs w:val="21"/>
          <w:lang w:val="en-AU" w:eastAsia="ja-JP"/>
        </w:rPr>
        <w:t>FECCA</w:t>
      </w:r>
      <w:r w:rsidRPr="00963840">
        <w:rPr>
          <w:sz w:val="21"/>
          <w:szCs w:val="21"/>
          <w:lang w:val="en-AU" w:eastAsia="ja-JP"/>
        </w:rPr>
        <w:t>）の</w:t>
      </w:r>
      <w:r w:rsidR="00973325">
        <w:rPr>
          <w:rFonts w:hint="eastAsia"/>
          <w:sz w:val="21"/>
          <w:szCs w:val="21"/>
          <w:lang w:val="en-AU" w:eastAsia="ja-JP"/>
        </w:rPr>
        <w:t>「</w:t>
      </w:r>
      <w:r w:rsidRPr="00963840">
        <w:rPr>
          <w:sz w:val="21"/>
          <w:szCs w:val="21"/>
          <w:lang w:val="en-AU" w:eastAsia="ja-JP"/>
        </w:rPr>
        <w:t>ビジョン</w:t>
      </w:r>
      <w:r w:rsidRPr="00963840">
        <w:rPr>
          <w:sz w:val="21"/>
          <w:szCs w:val="21"/>
          <w:lang w:val="en-AU" w:eastAsia="ja-JP"/>
        </w:rPr>
        <w:t>2030</w:t>
      </w:r>
      <w:r w:rsidRPr="00963840">
        <w:rPr>
          <w:sz w:val="21"/>
          <w:szCs w:val="21"/>
          <w:lang w:val="en-AU" w:eastAsia="ja-JP"/>
        </w:rPr>
        <w:t>：多文化オーストラリアにおける健やかな高齢化</w:t>
      </w:r>
      <w:r w:rsidR="00973325">
        <w:rPr>
          <w:rFonts w:hint="eastAsia"/>
          <w:sz w:val="21"/>
          <w:szCs w:val="21"/>
          <w:lang w:val="en-AU" w:eastAsia="ja-JP"/>
        </w:rPr>
        <w:t>」</w:t>
      </w:r>
      <w:r w:rsidRPr="00963840">
        <w:rPr>
          <w:sz w:val="21"/>
          <w:szCs w:val="21"/>
          <w:lang w:val="en-AU" w:eastAsia="ja-JP"/>
        </w:rPr>
        <w:t>（</w:t>
      </w:r>
      <w:r w:rsidRPr="00963840">
        <w:rPr>
          <w:sz w:val="21"/>
          <w:szCs w:val="21"/>
          <w:lang w:val="en-AU" w:eastAsia="ja-JP"/>
        </w:rPr>
        <w:t>2024</w:t>
      </w:r>
      <w:r w:rsidRPr="00963840">
        <w:rPr>
          <w:sz w:val="21"/>
          <w:szCs w:val="21"/>
          <w:lang w:val="en-AU" w:eastAsia="ja-JP"/>
        </w:rPr>
        <w:t>年）をはじめとする国家政策の策定</w:t>
      </w:r>
      <w:r w:rsidR="00BD5B09">
        <w:rPr>
          <w:rFonts w:hint="eastAsia"/>
          <w:sz w:val="21"/>
          <w:szCs w:val="21"/>
          <w:lang w:val="en-AU" w:eastAsia="ja-JP"/>
        </w:rPr>
        <w:t>で</w:t>
      </w:r>
      <w:r w:rsidRPr="00963840">
        <w:rPr>
          <w:sz w:val="21"/>
          <w:szCs w:val="21"/>
          <w:lang w:val="en-AU" w:eastAsia="ja-JP"/>
        </w:rPr>
        <w:t>参照されている。</w:t>
      </w:r>
    </w:p>
    <w:p w14:paraId="664CDF63" w14:textId="7D0646DB" w:rsidR="00B205E5" w:rsidRPr="00963840" w:rsidRDefault="00B205E5" w:rsidP="00B205E5">
      <w:pPr>
        <w:numPr>
          <w:ilvl w:val="0"/>
          <w:numId w:val="27"/>
        </w:numPr>
        <w:tabs>
          <w:tab w:val="clear" w:pos="720"/>
          <w:tab w:val="num" w:pos="360"/>
        </w:tabs>
        <w:spacing w:after="0" w:line="240" w:lineRule="auto"/>
        <w:ind w:left="360"/>
        <w:rPr>
          <w:sz w:val="21"/>
          <w:szCs w:val="21"/>
          <w:lang w:val="en-AU" w:eastAsia="ja-JP"/>
        </w:rPr>
      </w:pPr>
      <w:r w:rsidRPr="00963840">
        <w:rPr>
          <w:sz w:val="21"/>
          <w:szCs w:val="21"/>
          <w:lang w:val="en-AU" w:eastAsia="ja-JP"/>
        </w:rPr>
        <w:t>オーストラリア民族コミュニティ評議会連盟（</w:t>
      </w:r>
      <w:r w:rsidRPr="00963840">
        <w:rPr>
          <w:sz w:val="21"/>
          <w:szCs w:val="21"/>
          <w:lang w:val="en-AU" w:eastAsia="ja-JP"/>
        </w:rPr>
        <w:t>FECCA</w:t>
      </w:r>
      <w:r w:rsidRPr="00963840">
        <w:rPr>
          <w:sz w:val="21"/>
          <w:szCs w:val="21"/>
          <w:lang w:val="en-AU" w:eastAsia="ja-JP"/>
        </w:rPr>
        <w:t>）、</w:t>
      </w:r>
      <w:r w:rsidR="00973325">
        <w:rPr>
          <w:rFonts w:hint="eastAsia"/>
          <w:sz w:val="21"/>
          <w:szCs w:val="21"/>
          <w:lang w:val="en-AU" w:eastAsia="ja-JP"/>
        </w:rPr>
        <w:t>「</w:t>
      </w:r>
      <w:r w:rsidRPr="00963840">
        <w:rPr>
          <w:sz w:val="21"/>
          <w:szCs w:val="21"/>
          <w:lang w:val="en-AU" w:eastAsia="ja-JP"/>
        </w:rPr>
        <w:t>ビジョン</w:t>
      </w:r>
      <w:r w:rsidRPr="00963840">
        <w:rPr>
          <w:sz w:val="21"/>
          <w:szCs w:val="21"/>
          <w:lang w:val="en-AU" w:eastAsia="ja-JP"/>
        </w:rPr>
        <w:t>2030</w:t>
      </w:r>
      <w:r w:rsidRPr="00963840">
        <w:rPr>
          <w:sz w:val="21"/>
          <w:szCs w:val="21"/>
          <w:lang w:val="en-AU" w:eastAsia="ja-JP"/>
        </w:rPr>
        <w:t>：多文化オーストラリアにおける健やかな高齢化</w:t>
      </w:r>
      <w:r w:rsidR="00973325">
        <w:rPr>
          <w:rFonts w:hint="eastAsia"/>
          <w:sz w:val="21"/>
          <w:szCs w:val="21"/>
          <w:lang w:val="en-AU" w:eastAsia="ja-JP"/>
        </w:rPr>
        <w:t>」</w:t>
      </w:r>
      <w:r w:rsidRPr="00963840">
        <w:rPr>
          <w:sz w:val="21"/>
          <w:szCs w:val="21"/>
          <w:lang w:val="en-AU" w:eastAsia="ja-JP"/>
        </w:rPr>
        <w:t>、</w:t>
      </w:r>
      <w:r w:rsidRPr="00963840">
        <w:rPr>
          <w:sz w:val="21"/>
          <w:szCs w:val="21"/>
          <w:lang w:val="en-AU" w:eastAsia="ja-JP"/>
        </w:rPr>
        <w:t>2024</w:t>
      </w:r>
      <w:r w:rsidRPr="00963840">
        <w:rPr>
          <w:sz w:val="21"/>
          <w:szCs w:val="21"/>
          <w:lang w:val="en-AU" w:eastAsia="ja-JP"/>
        </w:rPr>
        <w:t>年。</w:t>
      </w:r>
    </w:p>
    <w:p w14:paraId="2E22CF94" w14:textId="08912AE6" w:rsidR="00B205E5" w:rsidRPr="00963840" w:rsidRDefault="00B205E5" w:rsidP="00B205E5">
      <w:pPr>
        <w:numPr>
          <w:ilvl w:val="0"/>
          <w:numId w:val="27"/>
        </w:numPr>
        <w:tabs>
          <w:tab w:val="clear" w:pos="720"/>
          <w:tab w:val="num" w:pos="360"/>
        </w:tabs>
        <w:spacing w:after="0" w:line="240" w:lineRule="auto"/>
        <w:ind w:left="360"/>
        <w:rPr>
          <w:sz w:val="21"/>
          <w:szCs w:val="21"/>
          <w:lang w:val="en-AU" w:eastAsia="ja-JP"/>
        </w:rPr>
      </w:pPr>
      <w:r w:rsidRPr="00963840">
        <w:rPr>
          <w:sz w:val="21"/>
          <w:szCs w:val="21"/>
          <w:lang w:val="en-AU" w:eastAsia="ja-JP"/>
        </w:rPr>
        <w:t>高齢者ケアの質と安全に関する王立委員会、</w:t>
      </w:r>
      <w:r w:rsidR="00FB4C21">
        <w:rPr>
          <w:rFonts w:hint="eastAsia"/>
          <w:sz w:val="21"/>
          <w:szCs w:val="21"/>
          <w:lang w:val="en-AU" w:eastAsia="ja-JP"/>
        </w:rPr>
        <w:t>「</w:t>
      </w:r>
      <w:r w:rsidRPr="00963840">
        <w:rPr>
          <w:sz w:val="21"/>
          <w:szCs w:val="21"/>
          <w:lang w:val="en-AU" w:eastAsia="ja-JP"/>
        </w:rPr>
        <w:t>最終報告：ケア、尊厳、そして敬意</w:t>
      </w:r>
      <w:r w:rsidR="00FB4C21">
        <w:rPr>
          <w:rFonts w:hint="eastAsia"/>
          <w:sz w:val="21"/>
          <w:szCs w:val="21"/>
          <w:lang w:val="en-AU" w:eastAsia="ja-JP"/>
        </w:rPr>
        <w:t>」</w:t>
      </w:r>
      <w:r w:rsidRPr="00963840">
        <w:rPr>
          <w:sz w:val="21"/>
          <w:szCs w:val="21"/>
          <w:lang w:val="en-AU" w:eastAsia="ja-JP"/>
        </w:rPr>
        <w:t>、オーストラリア連邦、</w:t>
      </w:r>
      <w:r w:rsidRPr="00963840">
        <w:rPr>
          <w:sz w:val="21"/>
          <w:szCs w:val="21"/>
          <w:lang w:val="en-AU" w:eastAsia="ja-JP"/>
        </w:rPr>
        <w:t>2021</w:t>
      </w:r>
      <w:r w:rsidRPr="00963840">
        <w:rPr>
          <w:sz w:val="21"/>
          <w:szCs w:val="21"/>
          <w:lang w:val="en-AU" w:eastAsia="ja-JP"/>
        </w:rPr>
        <w:t>年。</w:t>
      </w:r>
    </w:p>
    <w:p w14:paraId="088228DA" w14:textId="656A18BF" w:rsidR="00B205E5" w:rsidRPr="00963840" w:rsidRDefault="00B205E5" w:rsidP="00B205E5">
      <w:pPr>
        <w:numPr>
          <w:ilvl w:val="0"/>
          <w:numId w:val="27"/>
        </w:numPr>
        <w:tabs>
          <w:tab w:val="clear" w:pos="720"/>
          <w:tab w:val="num" w:pos="360"/>
        </w:tabs>
        <w:spacing w:after="0" w:line="240" w:lineRule="auto"/>
        <w:ind w:left="360"/>
        <w:rPr>
          <w:sz w:val="21"/>
          <w:szCs w:val="21"/>
          <w:lang w:val="en-AU"/>
        </w:rPr>
      </w:pPr>
      <w:r w:rsidRPr="00963840">
        <w:rPr>
          <w:sz w:val="21"/>
          <w:szCs w:val="21"/>
          <w:lang w:val="en-AU"/>
        </w:rPr>
        <w:t>オーストラリア人権委員会ほか、</w:t>
      </w:r>
      <w:r w:rsidR="00FB4C21" w:rsidRPr="00FB4C21">
        <w:rPr>
          <w:rFonts w:hint="eastAsia"/>
          <w:i/>
          <w:iCs/>
          <w:sz w:val="21"/>
          <w:szCs w:val="21"/>
          <w:lang w:val="en-AU" w:eastAsia="ja-JP"/>
        </w:rPr>
        <w:t>「</w:t>
      </w:r>
      <w:r w:rsidRPr="00963840">
        <w:rPr>
          <w:i/>
          <w:iCs/>
          <w:sz w:val="21"/>
          <w:szCs w:val="21"/>
          <w:lang w:val="en-AU"/>
        </w:rPr>
        <w:t>オーストラリアにおける高齢者の人権に関する共同声明</w:t>
      </w:r>
      <w:r w:rsidR="00FB4C21">
        <w:rPr>
          <w:rFonts w:hint="eastAsia"/>
          <w:i/>
          <w:iCs/>
          <w:sz w:val="21"/>
          <w:szCs w:val="21"/>
          <w:lang w:val="en-AU" w:eastAsia="ja-JP"/>
        </w:rPr>
        <w:t>」</w:t>
      </w:r>
      <w:r w:rsidRPr="00963840">
        <w:rPr>
          <w:sz w:val="21"/>
          <w:szCs w:val="21"/>
          <w:lang w:val="en-AU"/>
        </w:rPr>
        <w:t>、</w:t>
      </w:r>
      <w:r w:rsidRPr="00963840">
        <w:rPr>
          <w:sz w:val="21"/>
          <w:szCs w:val="21"/>
          <w:lang w:val="en-AU"/>
        </w:rPr>
        <w:t>2024</w:t>
      </w:r>
      <w:r w:rsidRPr="00963840">
        <w:rPr>
          <w:sz w:val="21"/>
          <w:szCs w:val="21"/>
          <w:lang w:val="en-AU"/>
        </w:rPr>
        <w:t>年、参照：</w:t>
      </w:r>
      <w:hyperlink r:id="rId11" w:history="1">
        <w:r w:rsidRPr="00963840">
          <w:rPr>
            <w:rStyle w:val="af8"/>
            <w:sz w:val="21"/>
            <w:szCs w:val="21"/>
            <w:lang w:val="en-AU"/>
          </w:rPr>
          <w:t>https://humanrights.gov.au/about-us/media-centre/media-releases/older-peoples-rights/joint-statement-on-the-human-rights-of-older-persons-in-australia</w:t>
        </w:r>
      </w:hyperlink>
    </w:p>
    <w:p w14:paraId="0465DCA2" w14:textId="3839923B" w:rsidR="00B205E5" w:rsidRPr="00963840" w:rsidRDefault="00B205E5" w:rsidP="00B205E5">
      <w:pPr>
        <w:numPr>
          <w:ilvl w:val="0"/>
          <w:numId w:val="27"/>
        </w:numPr>
        <w:tabs>
          <w:tab w:val="clear" w:pos="720"/>
          <w:tab w:val="num" w:pos="360"/>
        </w:tabs>
        <w:spacing w:after="0" w:line="240" w:lineRule="auto"/>
        <w:ind w:left="360"/>
        <w:rPr>
          <w:sz w:val="21"/>
          <w:szCs w:val="21"/>
          <w:lang w:val="en-AU" w:eastAsia="ja-JP"/>
        </w:rPr>
      </w:pPr>
      <w:r w:rsidRPr="00963840">
        <w:rPr>
          <w:sz w:val="21"/>
          <w:szCs w:val="21"/>
          <w:lang w:eastAsia="ja-JP"/>
        </w:rPr>
        <w:t>オーストラリア民族コミュニティ評議会連盟（</w:t>
      </w:r>
      <w:r w:rsidRPr="00963840">
        <w:rPr>
          <w:sz w:val="21"/>
          <w:szCs w:val="21"/>
          <w:lang w:eastAsia="ja-JP"/>
        </w:rPr>
        <w:t>FECCA</w:t>
      </w:r>
      <w:r w:rsidRPr="00963840">
        <w:rPr>
          <w:sz w:val="21"/>
          <w:szCs w:val="21"/>
          <w:lang w:eastAsia="ja-JP"/>
        </w:rPr>
        <w:t>）、</w:t>
      </w:r>
      <w:r w:rsidR="00F771A4">
        <w:rPr>
          <w:rFonts w:hint="eastAsia"/>
          <w:i/>
          <w:iCs/>
          <w:sz w:val="21"/>
          <w:szCs w:val="21"/>
          <w:lang w:eastAsia="ja-JP"/>
        </w:rPr>
        <w:t>「</w:t>
      </w:r>
      <w:r w:rsidRPr="00963840">
        <w:rPr>
          <w:i/>
          <w:iCs/>
          <w:sz w:val="21"/>
          <w:szCs w:val="21"/>
          <w:lang w:eastAsia="ja-JP"/>
        </w:rPr>
        <w:t>意見書</w:t>
      </w:r>
      <w:r w:rsidRPr="00963840">
        <w:rPr>
          <w:i/>
          <w:iCs/>
          <w:sz w:val="21"/>
          <w:szCs w:val="21"/>
          <w:lang w:eastAsia="ja-JP"/>
        </w:rPr>
        <w:t>――</w:t>
      </w:r>
      <w:r w:rsidRPr="00963840">
        <w:rPr>
          <w:i/>
          <w:iCs/>
          <w:sz w:val="21"/>
          <w:szCs w:val="21"/>
          <w:lang w:eastAsia="ja-JP"/>
        </w:rPr>
        <w:t>オーストラリアの人権枠組みに関する調査</w:t>
      </w:r>
      <w:r w:rsidR="003926A7">
        <w:rPr>
          <w:rFonts w:hint="eastAsia"/>
          <w:i/>
          <w:iCs/>
          <w:sz w:val="21"/>
          <w:szCs w:val="21"/>
          <w:lang w:eastAsia="ja-JP"/>
        </w:rPr>
        <w:t>」</w:t>
      </w:r>
      <w:r w:rsidRPr="00963840">
        <w:rPr>
          <w:sz w:val="21"/>
          <w:szCs w:val="21"/>
          <w:lang w:eastAsia="ja-JP"/>
        </w:rPr>
        <w:t>、</w:t>
      </w:r>
      <w:r w:rsidRPr="00963840">
        <w:rPr>
          <w:sz w:val="21"/>
          <w:szCs w:val="21"/>
          <w:lang w:eastAsia="ja-JP"/>
        </w:rPr>
        <w:t>2024</w:t>
      </w:r>
      <w:r w:rsidRPr="00963840">
        <w:rPr>
          <w:sz w:val="21"/>
          <w:szCs w:val="21"/>
          <w:lang w:eastAsia="ja-JP"/>
        </w:rPr>
        <w:t>年。これには、</w:t>
      </w:r>
      <w:r w:rsidR="008D5ADF">
        <w:rPr>
          <w:rFonts w:hint="eastAsia"/>
          <w:sz w:val="21"/>
          <w:szCs w:val="21"/>
          <w:lang w:eastAsia="ja-JP"/>
        </w:rPr>
        <w:t>裁判</w:t>
      </w:r>
      <w:r w:rsidRPr="00963840">
        <w:rPr>
          <w:sz w:val="21"/>
          <w:szCs w:val="21"/>
          <w:lang w:eastAsia="ja-JP"/>
        </w:rPr>
        <w:t>手続における通訳の利用や、</w:t>
      </w:r>
      <w:r w:rsidR="00CC09D8">
        <w:rPr>
          <w:rFonts w:hint="eastAsia"/>
          <w:sz w:val="21"/>
          <w:szCs w:val="21"/>
          <w:lang w:eastAsia="ja-JP"/>
        </w:rPr>
        <w:t>都市</w:t>
      </w:r>
      <w:r w:rsidRPr="00963840">
        <w:rPr>
          <w:sz w:val="21"/>
          <w:szCs w:val="21"/>
          <w:lang w:eastAsia="ja-JP"/>
        </w:rPr>
        <w:t>計画決定における人権の適用に関する事例研究が含まれている（例：</w:t>
      </w:r>
      <w:r w:rsidR="00B97054" w:rsidRPr="00B97054">
        <w:rPr>
          <w:rFonts w:hint="eastAsia"/>
          <w:sz w:val="21"/>
          <w:szCs w:val="21"/>
          <w:lang w:eastAsia="ja-JP"/>
        </w:rPr>
        <w:t>オーストラリア首都特別地域</w:t>
      </w:r>
      <w:r w:rsidR="00CC57A1">
        <w:rPr>
          <w:rFonts w:hint="eastAsia"/>
          <w:sz w:val="21"/>
          <w:szCs w:val="21"/>
          <w:lang w:eastAsia="ja-JP"/>
        </w:rPr>
        <w:t>（</w:t>
      </w:r>
      <w:r w:rsidRPr="00963840">
        <w:rPr>
          <w:sz w:val="21"/>
          <w:szCs w:val="21"/>
          <w:lang w:eastAsia="ja-JP"/>
        </w:rPr>
        <w:t>ACT</w:t>
      </w:r>
      <w:r w:rsidR="00CC57A1">
        <w:rPr>
          <w:rFonts w:hint="eastAsia"/>
          <w:sz w:val="21"/>
          <w:szCs w:val="21"/>
          <w:lang w:eastAsia="ja-JP"/>
        </w:rPr>
        <w:t>）</w:t>
      </w:r>
      <w:r w:rsidRPr="00963840">
        <w:rPr>
          <w:sz w:val="21"/>
          <w:szCs w:val="21"/>
          <w:lang w:eastAsia="ja-JP"/>
        </w:rPr>
        <w:t>人権委員会年次報告書</w:t>
      </w:r>
      <w:r w:rsidRPr="00963840">
        <w:rPr>
          <w:sz w:val="21"/>
          <w:szCs w:val="21"/>
          <w:lang w:eastAsia="ja-JP"/>
        </w:rPr>
        <w:t>2017-18</w:t>
      </w:r>
      <w:r w:rsidRPr="00963840">
        <w:rPr>
          <w:sz w:val="21"/>
          <w:szCs w:val="21"/>
          <w:lang w:eastAsia="ja-JP"/>
        </w:rPr>
        <w:t>、ビクトリア州人権憲章の判例）。</w:t>
      </w:r>
    </w:p>
    <w:p w14:paraId="67B0450C" w14:textId="77777777" w:rsidR="00B205E5" w:rsidRDefault="00B205E5" w:rsidP="00B205E5">
      <w:pPr>
        <w:spacing w:before="180" w:after="180" w:line="240" w:lineRule="auto"/>
        <w:rPr>
          <w:sz w:val="21"/>
          <w:szCs w:val="21"/>
          <w:lang w:val="en-AU" w:eastAsia="ja-JP"/>
        </w:rPr>
      </w:pPr>
    </w:p>
    <w:p w14:paraId="3C33F583" w14:textId="2CF01F8E" w:rsidR="00CC57A1" w:rsidRPr="00963840" w:rsidRDefault="00CC57A1" w:rsidP="00CC57A1">
      <w:pPr>
        <w:spacing w:before="180" w:after="180" w:line="240" w:lineRule="auto"/>
        <w:jc w:val="right"/>
        <w:rPr>
          <w:sz w:val="21"/>
          <w:szCs w:val="21"/>
          <w:lang w:val="en-AU" w:eastAsia="ja-JP"/>
        </w:rPr>
      </w:pPr>
      <w:r>
        <w:rPr>
          <w:rFonts w:hint="eastAsia"/>
          <w:sz w:val="21"/>
          <w:szCs w:val="21"/>
          <w:lang w:val="en-AU" w:eastAsia="ja-JP"/>
        </w:rPr>
        <w:t>（翻訳・佐藤久夫、　　　）</w:t>
      </w:r>
    </w:p>
    <w:p w14:paraId="1638F4A6" w14:textId="5B362060" w:rsidR="68A87195" w:rsidRPr="00963840" w:rsidRDefault="68A87195">
      <w:pPr>
        <w:rPr>
          <w:sz w:val="21"/>
          <w:szCs w:val="21"/>
          <w:highlight w:val="yellow"/>
          <w:lang w:val="en-US" w:eastAsia="ja-JP"/>
        </w:rPr>
        <w:sectPr w:rsidR="68A87195" w:rsidRPr="00963840" w:rsidSect="00331239">
          <w:headerReference w:type="default" r:id="rId12"/>
          <w:footerReference w:type="even" r:id="rId13"/>
          <w:footerReference w:type="default" r:id="rId14"/>
          <w:headerReference w:type="first" r:id="rId15"/>
          <w:footerReference w:type="first" r:id="rId16"/>
          <w:pgSz w:w="11906" w:h="16838"/>
          <w:pgMar w:top="2998" w:right="1077" w:bottom="1457" w:left="1077" w:header="709" w:footer="441" w:gutter="0"/>
          <w:pgNumType w:start="1"/>
          <w:cols w:space="708"/>
          <w:titlePg/>
          <w:docGrid w:linePitch="360"/>
        </w:sectPr>
      </w:pPr>
    </w:p>
    <w:p w14:paraId="07297DA3" w14:textId="460FAF4F" w:rsidR="002E3794" w:rsidRPr="00963840" w:rsidRDefault="002E3794" w:rsidP="00250108">
      <w:pPr>
        <w:rPr>
          <w:sz w:val="21"/>
          <w:szCs w:val="21"/>
          <w:lang w:eastAsia="ja-JP"/>
        </w:rPr>
      </w:pPr>
    </w:p>
    <w:sectPr w:rsidR="002E3794" w:rsidRPr="00963840" w:rsidSect="002E3794">
      <w:headerReference w:type="first" r:id="rId17"/>
      <w:footerReference w:type="first" r:id="rId18"/>
      <w:pgSz w:w="11906" w:h="16838"/>
      <w:pgMar w:top="3096" w:right="1077" w:bottom="2659" w:left="1077" w:header="709" w:footer="7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77AB7" w14:textId="77777777" w:rsidR="004E5202" w:rsidRDefault="004E5202" w:rsidP="00250108">
      <w:r>
        <w:separator/>
      </w:r>
    </w:p>
  </w:endnote>
  <w:endnote w:type="continuationSeparator" w:id="0">
    <w:p w14:paraId="106BB0C0" w14:textId="77777777" w:rsidR="004E5202" w:rsidRDefault="004E5202" w:rsidP="00250108">
      <w:r>
        <w:continuationSeparator/>
      </w:r>
    </w:p>
  </w:endnote>
  <w:endnote w:type="continuationNotice" w:id="1">
    <w:p w14:paraId="5512B954" w14:textId="77777777" w:rsidR="004E5202" w:rsidRDefault="004E52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Rational Display Book">
    <w:altName w:val="Calibri"/>
    <w:panose1 w:val="00000000000000000000"/>
    <w:charset w:val="00"/>
    <w:family w:val="auto"/>
    <w:notTrueType/>
    <w:pitch w:val="variable"/>
    <w:sig w:usb0="00000007" w:usb1="00000023" w:usb2="00000000" w:usb3="00000000" w:csb0="00000093" w:csb1="00000000"/>
  </w:font>
  <w:font w:name="Rational Display SemiBold">
    <w:altName w:val="Calibri"/>
    <w:panose1 w:val="00000000000000000000"/>
    <w:charset w:val="00"/>
    <w:family w:val="auto"/>
    <w:notTrueType/>
    <w:pitch w:val="variable"/>
    <w:sig w:usb0="00000007" w:usb1="00000023" w:usb2="00000000" w:usb3="00000000" w:csb0="00000093" w:csb1="00000000"/>
  </w:font>
  <w:font w:name="Rational Display Medium">
    <w:altName w:val="Calibri"/>
    <w:panose1 w:val="00000000000000000000"/>
    <w:charset w:val="00"/>
    <w:family w:val="auto"/>
    <w:notTrueType/>
    <w:pitch w:val="variable"/>
    <w:sig w:usb0="00000007" w:usb1="00000023" w:usb2="00000000" w:usb3="00000000" w:csb0="00000093" w:csb1="00000000"/>
  </w:font>
  <w:font w:name="游ゴシック Light">
    <w:panose1 w:val="020B0300000000000000"/>
    <w:charset w:val="80"/>
    <w:family w:val="modern"/>
    <w:pitch w:val="variable"/>
    <w:sig w:usb0="E00002FF" w:usb1="2AC7FDFF" w:usb2="00000016" w:usb3="00000000" w:csb0="0002009F" w:csb1="00000000"/>
  </w:font>
  <w:font w:name="Montserrat SemiBold">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tional Display ExtraLight">
    <w:altName w:val="Calibri"/>
    <w:panose1 w:val="00000000000000000000"/>
    <w:charset w:val="00"/>
    <w:family w:val="auto"/>
    <w:notTrueType/>
    <w:pitch w:val="variable"/>
    <w:sig w:usb0="00000007" w:usb1="00000023" w:usb2="00000000" w:usb3="00000000" w:csb0="00000093" w:csb1="00000000"/>
  </w:font>
  <w:font w:name="Times New Roman (Body CS)">
    <w:altName w:val="Times New Roman"/>
    <w:panose1 w:val="00000000000000000000"/>
    <w:charset w:val="00"/>
    <w:family w:val="roman"/>
    <w:notTrueType/>
    <w:pitch w:val="default"/>
  </w:font>
  <w:font w:name="Bahnschrift SemiCondense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884302266"/>
      <w:docPartObj>
        <w:docPartGallery w:val="Page Numbers (Bottom of Page)"/>
        <w:docPartUnique/>
      </w:docPartObj>
    </w:sdtPr>
    <w:sdtEndPr>
      <w:rPr>
        <w:rStyle w:val="af6"/>
      </w:rPr>
    </w:sdtEndPr>
    <w:sdtContent>
      <w:p w14:paraId="4C90AA84" w14:textId="1130DB55" w:rsidR="00331239" w:rsidRDefault="00331239">
        <w:pPr>
          <w:pStyle w:val="af"/>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end"/>
        </w:r>
      </w:p>
    </w:sdtContent>
  </w:sdt>
  <w:p w14:paraId="2A21781E" w14:textId="77777777" w:rsidR="00331239" w:rsidRDefault="00331239" w:rsidP="00331239">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828231"/>
      <w:docPartObj>
        <w:docPartGallery w:val="Page Numbers (Bottom of Page)"/>
        <w:docPartUnique/>
      </w:docPartObj>
    </w:sdtPr>
    <w:sdtEndPr/>
    <w:sdtContent>
      <w:p w14:paraId="437C7395" w14:textId="4655A505" w:rsidR="00B54CB5" w:rsidRDefault="00B54CB5">
        <w:pPr>
          <w:pStyle w:val="af"/>
        </w:pPr>
        <w:r>
          <w:fldChar w:fldCharType="begin"/>
        </w:r>
        <w:r>
          <w:instrText>PAGE   \* MERGEFORMAT</w:instrText>
        </w:r>
        <w:r>
          <w:fldChar w:fldCharType="separate"/>
        </w:r>
        <w:r>
          <w:rPr>
            <w:lang w:val="ja-JP" w:eastAsia="ja-JP"/>
          </w:rPr>
          <w:t>2</w:t>
        </w:r>
        <w:r>
          <w:fldChar w:fldCharType="end"/>
        </w:r>
      </w:p>
    </w:sdtContent>
  </w:sdt>
  <w:p w14:paraId="4016BDCF" w14:textId="77777777" w:rsidR="00B54CB5" w:rsidRDefault="00B54CB5">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445799"/>
      <w:docPartObj>
        <w:docPartGallery w:val="Page Numbers (Bottom of Page)"/>
        <w:docPartUnique/>
      </w:docPartObj>
    </w:sdtPr>
    <w:sdtEndPr/>
    <w:sdtContent>
      <w:p w14:paraId="27B60CD7" w14:textId="2643F521" w:rsidR="00717793" w:rsidRDefault="00717793">
        <w:pPr>
          <w:pStyle w:val="af"/>
        </w:pPr>
        <w:r>
          <w:fldChar w:fldCharType="begin"/>
        </w:r>
        <w:r>
          <w:instrText>PAGE   \* MERGEFORMAT</w:instrText>
        </w:r>
        <w:r>
          <w:fldChar w:fldCharType="separate"/>
        </w:r>
        <w:r>
          <w:rPr>
            <w:lang w:val="ja-JP" w:eastAsia="ja-JP"/>
          </w:rPr>
          <w:t>2</w:t>
        </w:r>
        <w:r>
          <w:fldChar w:fldCharType="end"/>
        </w:r>
      </w:p>
    </w:sdtContent>
  </w:sdt>
  <w:p w14:paraId="3FDE0E5B" w14:textId="77777777" w:rsidR="00331239" w:rsidRDefault="00331239" w:rsidP="00331239">
    <w:pPr>
      <w:pStyle w:val="af"/>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67ED" w14:textId="77777777" w:rsidR="00331239" w:rsidRPr="00250108" w:rsidRDefault="00331239" w:rsidP="00250108">
    <w:pPr>
      <w:pStyle w:val="Footer1"/>
      <w:rPr>
        <w:color w:val="FFFFFF" w:themeColor="background1"/>
        <w:lang w:eastAsia="ja-JP"/>
      </w:rPr>
    </w:pPr>
    <w:r w:rsidRPr="00250108">
      <w:rPr>
        <w:color w:val="FFFFFF" w:themeColor="background1"/>
        <w:lang w:eastAsia="ja-JP"/>
      </w:rPr>
      <w:t>マーカス・クラーク・ストリート</w:t>
    </w:r>
    <w:r w:rsidRPr="00250108">
      <w:rPr>
        <w:color w:val="FFFFFF" w:themeColor="background1"/>
        <w:lang w:eastAsia="ja-JP"/>
      </w:rPr>
      <w:t>54</w:t>
    </w:r>
    <w:r w:rsidRPr="00250108">
      <w:rPr>
        <w:color w:val="FFFFFF" w:themeColor="background1"/>
        <w:lang w:eastAsia="ja-JP"/>
      </w:rPr>
      <w:t>番地</w:t>
    </w:r>
    <w:r w:rsidRPr="00250108">
      <w:rPr>
        <w:color w:val="FFFFFF" w:themeColor="background1"/>
        <w:lang w:eastAsia="ja-JP"/>
      </w:rPr>
      <w:t xml:space="preserve"> 6</w:t>
    </w:r>
    <w:r w:rsidRPr="00250108">
      <w:rPr>
        <w:color w:val="FFFFFF" w:themeColor="background1"/>
        <w:lang w:eastAsia="ja-JP"/>
      </w:rPr>
      <w:t>階</w:t>
    </w:r>
    <w:r w:rsidRPr="00250108">
      <w:rPr>
        <w:color w:val="FFFFFF" w:themeColor="background1"/>
        <w:lang w:eastAsia="ja-JP"/>
      </w:rPr>
      <w:t xml:space="preserve"> 1</w:t>
    </w:r>
    <w:r w:rsidRPr="00250108">
      <w:rPr>
        <w:color w:val="FFFFFF" w:themeColor="background1"/>
        <w:lang w:eastAsia="ja-JP"/>
      </w:rPr>
      <w:t>号室</w:t>
    </w:r>
  </w:p>
  <w:p w14:paraId="5CC9CF3B" w14:textId="77777777" w:rsidR="00331239" w:rsidRPr="00250108" w:rsidRDefault="00331239" w:rsidP="00250108">
    <w:pPr>
      <w:pStyle w:val="Footer1"/>
      <w:rPr>
        <w:color w:val="FFFFFF" w:themeColor="background1"/>
        <w:lang w:eastAsia="ja-JP"/>
      </w:rPr>
    </w:pPr>
    <w:r w:rsidRPr="00250108">
      <w:rPr>
        <w:color w:val="FFFFFF" w:themeColor="background1"/>
        <w:lang w:eastAsia="ja-JP"/>
      </w:rPr>
      <w:t>キャンベラ・シティ、</w:t>
    </w:r>
    <w:r w:rsidRPr="00250108">
      <w:rPr>
        <w:color w:val="FFFFFF" w:themeColor="background1"/>
        <w:lang w:eastAsia="ja-JP"/>
      </w:rPr>
      <w:t xml:space="preserve">ACT 2601 </w:t>
    </w:r>
  </w:p>
  <w:p w14:paraId="451FE5FF" w14:textId="77777777" w:rsidR="00331239" w:rsidRPr="00250108" w:rsidRDefault="00331239" w:rsidP="00250108">
    <w:pPr>
      <w:pStyle w:val="Footer1"/>
      <w:rPr>
        <w:color w:val="FFFFFF" w:themeColor="background1"/>
      </w:rPr>
    </w:pPr>
    <w:r w:rsidRPr="00250108">
      <w:rPr>
        <w:color w:val="FFFFFF" w:themeColor="background1"/>
      </w:rPr>
      <w:t>電話</w:t>
    </w:r>
    <w:r w:rsidRPr="00250108">
      <w:rPr>
        <w:color w:val="FFFFFF" w:themeColor="background1"/>
      </w:rPr>
      <w:t xml:space="preserve"> (02) 6282 5755</w:t>
    </w:r>
  </w:p>
  <w:p w14:paraId="73C74020" w14:textId="77777777" w:rsidR="00331239" w:rsidRPr="00250108" w:rsidRDefault="00331239" w:rsidP="00250108">
    <w:pPr>
      <w:pStyle w:val="Footer1"/>
      <w:rPr>
        <w:color w:val="FFFFFF" w:themeColor="background1"/>
      </w:rPr>
    </w:pPr>
    <w:r w:rsidRPr="00250108">
      <w:rPr>
        <w:color w:val="FFFFFF" w:themeColor="background1"/>
      </w:rPr>
      <w:t xml:space="preserve">e admin@multiculturalhealth.org.au </w:t>
    </w:r>
  </w:p>
  <w:p w14:paraId="3DF3F952" w14:textId="23491F87" w:rsidR="00331239" w:rsidRPr="00250108" w:rsidRDefault="00331239" w:rsidP="00250108">
    <w:pPr>
      <w:pStyle w:val="Footer1"/>
      <w:rPr>
        <w:color w:val="FFFFFF" w:themeColor="background1"/>
      </w:rPr>
    </w:pPr>
    <w:r w:rsidRPr="00250108">
      <w:rPr>
        <w:color w:val="FFFFFF" w:themeColor="background1"/>
      </w:rPr>
      <w:t xml:space="preserve">s </w:t>
    </w:r>
    <w:r w:rsidR="00B205E5">
      <w:rPr>
        <w:color w:val="FFFFFF" w:themeColor="background1"/>
      </w:rPr>
      <w:t>@amhcollab</w:t>
    </w:r>
  </w:p>
  <w:p w14:paraId="53B095A1" w14:textId="2E3B4483" w:rsidR="00331239" w:rsidRPr="00250108" w:rsidRDefault="00B205E5" w:rsidP="00250108">
    <w:pPr>
      <w:pStyle w:val="Footer1"/>
      <w:rPr>
        <w:color w:val="FFFFFF" w:themeColor="background1"/>
      </w:rPr>
    </w:pPr>
    <w:r>
      <w:rPr>
        <w:color w:val="FFFFFF" w:themeColor="background1"/>
      </w:rPr>
      <w:t>ウェブサイト：</w:t>
    </w:r>
    <w:r w:rsidR="00331239" w:rsidRPr="00250108">
      <w:rPr>
        <w:color w:val="FFFFFF" w:themeColor="background1"/>
      </w:rPr>
      <w:t>multiculturalhealth.org.au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0667" w14:textId="77777777" w:rsidR="004E5202" w:rsidRDefault="004E5202" w:rsidP="00250108">
      <w:r>
        <w:separator/>
      </w:r>
    </w:p>
  </w:footnote>
  <w:footnote w:type="continuationSeparator" w:id="0">
    <w:p w14:paraId="4ACD066E" w14:textId="77777777" w:rsidR="004E5202" w:rsidRDefault="004E5202" w:rsidP="00250108">
      <w:r>
        <w:continuationSeparator/>
      </w:r>
    </w:p>
  </w:footnote>
  <w:footnote w:type="continuationNotice" w:id="1">
    <w:p w14:paraId="64BBDFE8" w14:textId="77777777" w:rsidR="004E5202" w:rsidRDefault="004E52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AEFF" w14:textId="063FA992" w:rsidR="00904B27" w:rsidRDefault="00904B27" w:rsidP="00250108">
    <w:pPr>
      <w:pStyle w:val="ad"/>
    </w:pPr>
    <w:r>
      <w:rPr>
        <w:noProof/>
      </w:rPr>
      <w:drawing>
        <wp:anchor distT="0" distB="0" distL="114300" distR="114300" simplePos="0" relativeHeight="251658241" behindDoc="1" locked="0" layoutInCell="1" allowOverlap="1" wp14:anchorId="5358F578" wp14:editId="0771352E">
          <wp:simplePos x="0" y="0"/>
          <wp:positionH relativeFrom="column">
            <wp:posOffset>-139396</wp:posOffset>
          </wp:positionH>
          <wp:positionV relativeFrom="paragraph">
            <wp:posOffset>3175</wp:posOffset>
          </wp:positionV>
          <wp:extent cx="1050202" cy="1110739"/>
          <wp:effectExtent l="0" t="0" r="0" b="0"/>
          <wp:wrapNone/>
          <wp:docPr id="337378236" name="Picture 2" descr="A green circle desig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91131" name="Picture 2" descr="A green circle design with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50202" cy="111073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EDA6" w14:textId="4709E9D4" w:rsidR="00904B27" w:rsidRDefault="00904B27" w:rsidP="00250108">
    <w:pPr>
      <w:pStyle w:val="ad"/>
    </w:pPr>
    <w:r>
      <w:rPr>
        <w:noProof/>
      </w:rPr>
      <w:drawing>
        <wp:anchor distT="0" distB="0" distL="114300" distR="114300" simplePos="0" relativeHeight="251658240" behindDoc="1" locked="0" layoutInCell="1" allowOverlap="1" wp14:anchorId="625C522A" wp14:editId="222E00E3">
          <wp:simplePos x="0" y="0"/>
          <wp:positionH relativeFrom="column">
            <wp:posOffset>-729311</wp:posOffset>
          </wp:positionH>
          <wp:positionV relativeFrom="paragraph">
            <wp:posOffset>-449580</wp:posOffset>
          </wp:positionV>
          <wp:extent cx="7603443" cy="1647731"/>
          <wp:effectExtent l="0" t="0" r="0" b="3810"/>
          <wp:wrapNone/>
          <wp:docPr id="1990485899" name="Picture 1" descr="A blue square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29884" name="Picture 1" descr="A blue square with white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3443" cy="164773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1CFC" w14:textId="268D3CB5" w:rsidR="002E3794" w:rsidRDefault="002E3794" w:rsidP="00250108">
    <w:pPr>
      <w:pStyle w:val="ad"/>
    </w:pPr>
    <w:r>
      <w:rPr>
        <w:noProof/>
      </w:rPr>
      <w:drawing>
        <wp:anchor distT="0" distB="0" distL="114300" distR="114300" simplePos="0" relativeHeight="251658242" behindDoc="1" locked="0" layoutInCell="1" allowOverlap="1" wp14:anchorId="135EBDBA" wp14:editId="11BEEECF">
          <wp:simplePos x="0" y="0"/>
          <wp:positionH relativeFrom="column">
            <wp:posOffset>-691846</wp:posOffset>
          </wp:positionH>
          <wp:positionV relativeFrom="paragraph">
            <wp:posOffset>-466118</wp:posOffset>
          </wp:positionV>
          <wp:extent cx="7566341" cy="10694505"/>
          <wp:effectExtent l="0" t="0" r="3175" b="0"/>
          <wp:wrapNone/>
          <wp:docPr id="110387674" name="Picture 10"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7674" name="Picture 10" descr="A blue square with whit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9706" cy="107133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78C"/>
    <w:multiLevelType w:val="multilevel"/>
    <w:tmpl w:val="BB0061C0"/>
    <w:styleLink w:val="CurrentList11"/>
    <w:lvl w:ilvl="0">
      <w:start w:val="1"/>
      <w:numFmt w:val="decimal"/>
      <w:lvlText w:val="%1."/>
      <w:lvlJc w:val="left"/>
      <w:pPr>
        <w:ind w:left="1134" w:hanging="567"/>
      </w:pPr>
      <w:rPr>
        <w:rFonts w:hint="default"/>
      </w:rPr>
    </w:lvl>
    <w:lvl w:ilvl="1">
      <w:start w:val="1"/>
      <w:numFmt w:val="lowerLetter"/>
      <w:lvlText w:val="%2."/>
      <w:lvlJc w:val="left"/>
      <w:pPr>
        <w:ind w:left="1701" w:hanging="567"/>
      </w:pPr>
      <w:rPr>
        <w:rFonts w:hint="default"/>
      </w:rPr>
    </w:lvl>
    <w:lvl w:ilvl="2">
      <w:start w:val="1"/>
      <w:numFmt w:val="lowerRoman"/>
      <w:lvlText w:val="%3."/>
      <w:lvlJc w:val="right"/>
      <w:pPr>
        <w:ind w:left="1985" w:hanging="56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 w15:restartNumberingAfterBreak="0">
    <w:nsid w:val="08A60750"/>
    <w:multiLevelType w:val="multilevel"/>
    <w:tmpl w:val="4D148EA0"/>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440" w:hanging="363"/>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B4F7B"/>
    <w:multiLevelType w:val="multilevel"/>
    <w:tmpl w:val="C8089480"/>
    <w:lvl w:ilvl="0">
      <w:start w:val="1"/>
      <w:numFmt w:val="bullet"/>
      <w:pStyle w:val="2"/>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C5B2AAB"/>
    <w:multiLevelType w:val="multilevel"/>
    <w:tmpl w:val="021C5F0E"/>
    <w:styleLink w:val="CurrentList10"/>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2608" w:hanging="34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4" w15:restartNumberingAfterBreak="0">
    <w:nsid w:val="166D0F67"/>
    <w:multiLevelType w:val="hybridMultilevel"/>
    <w:tmpl w:val="43EAB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FC3E32"/>
    <w:multiLevelType w:val="hybridMultilevel"/>
    <w:tmpl w:val="75C6A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392F51"/>
    <w:multiLevelType w:val="hybridMultilevel"/>
    <w:tmpl w:val="59323952"/>
    <w:lvl w:ilvl="0" w:tplc="06206022">
      <w:start w:val="1"/>
      <w:numFmt w:val="bullet"/>
      <w:pStyle w:val="a"/>
      <w:lvlText w:val=""/>
      <w:lvlJc w:val="left"/>
      <w:pPr>
        <w:ind w:left="284" w:hanging="284"/>
      </w:pPr>
      <w:rPr>
        <w:rFonts w:ascii="Symbol" w:hAnsi="Symbol" w:hint="default"/>
      </w:rPr>
    </w:lvl>
    <w:lvl w:ilvl="1" w:tplc="687A664E">
      <w:start w:val="1"/>
      <w:numFmt w:val="lowerLetter"/>
      <w:lvlText w:val="%2."/>
      <w:lvlJc w:val="left"/>
      <w:pPr>
        <w:ind w:left="1134" w:hanging="340"/>
      </w:pPr>
    </w:lvl>
    <w:lvl w:ilvl="2" w:tplc="1C32148E">
      <w:start w:val="1"/>
      <w:numFmt w:val="lowerRoman"/>
      <w:lvlText w:val="%3."/>
      <w:lvlJc w:val="right"/>
      <w:pPr>
        <w:ind w:left="1531" w:hanging="284"/>
      </w:pPr>
    </w:lvl>
    <w:lvl w:ilvl="3" w:tplc="D2AA77FE">
      <w:start w:val="1"/>
      <w:numFmt w:val="decimal"/>
      <w:lvlText w:val="%4."/>
      <w:lvlJc w:val="left"/>
      <w:pPr>
        <w:ind w:left="3960" w:hanging="360"/>
      </w:pPr>
    </w:lvl>
    <w:lvl w:ilvl="4" w:tplc="E6109592">
      <w:start w:val="1"/>
      <w:numFmt w:val="lowerLetter"/>
      <w:lvlText w:val="%5."/>
      <w:lvlJc w:val="left"/>
      <w:pPr>
        <w:ind w:left="4680" w:hanging="360"/>
      </w:pPr>
    </w:lvl>
    <w:lvl w:ilvl="5" w:tplc="A67C5F60">
      <w:start w:val="1"/>
      <w:numFmt w:val="lowerRoman"/>
      <w:lvlText w:val="%6."/>
      <w:lvlJc w:val="right"/>
      <w:pPr>
        <w:ind w:left="5400" w:hanging="180"/>
      </w:pPr>
    </w:lvl>
    <w:lvl w:ilvl="6" w:tplc="481A7EDE">
      <w:start w:val="1"/>
      <w:numFmt w:val="decimal"/>
      <w:lvlText w:val="%7."/>
      <w:lvlJc w:val="left"/>
      <w:pPr>
        <w:ind w:left="6120" w:hanging="360"/>
      </w:pPr>
    </w:lvl>
    <w:lvl w:ilvl="7" w:tplc="95A8D828">
      <w:start w:val="1"/>
      <w:numFmt w:val="lowerLetter"/>
      <w:lvlText w:val="%8."/>
      <w:lvlJc w:val="left"/>
      <w:pPr>
        <w:ind w:left="6840" w:hanging="360"/>
      </w:pPr>
    </w:lvl>
    <w:lvl w:ilvl="8" w:tplc="27CE5DA8">
      <w:start w:val="1"/>
      <w:numFmt w:val="lowerRoman"/>
      <w:lvlText w:val="%9."/>
      <w:lvlJc w:val="right"/>
      <w:pPr>
        <w:ind w:left="7560" w:hanging="180"/>
      </w:pPr>
    </w:lvl>
  </w:abstractNum>
  <w:abstractNum w:abstractNumId="7" w15:restartNumberingAfterBreak="0">
    <w:nsid w:val="241611A2"/>
    <w:multiLevelType w:val="hybridMultilevel"/>
    <w:tmpl w:val="62BC5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C268FB"/>
    <w:multiLevelType w:val="hybridMultilevel"/>
    <w:tmpl w:val="43F810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A6587"/>
    <w:multiLevelType w:val="hybridMultilevel"/>
    <w:tmpl w:val="7CB46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6C0357"/>
    <w:multiLevelType w:val="multilevel"/>
    <w:tmpl w:val="A516B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9F15F6"/>
    <w:multiLevelType w:val="multilevel"/>
    <w:tmpl w:val="D57A409E"/>
    <w:styleLink w:val="CurrentList13"/>
    <w:lvl w:ilvl="0">
      <w:start w:val="1"/>
      <w:numFmt w:val="decimal"/>
      <w:lvlText w:val="%1."/>
      <w:lvlJc w:val="left"/>
      <w:pPr>
        <w:ind w:left="284" w:hanging="284"/>
      </w:pPr>
      <w:rPr>
        <w:rFonts w:hint="default"/>
      </w:rPr>
    </w:lvl>
    <w:lvl w:ilvl="1">
      <w:start w:val="1"/>
      <w:numFmt w:val="lowerLetter"/>
      <w:lvlText w:val="%2."/>
      <w:lvlJc w:val="left"/>
      <w:pPr>
        <w:ind w:left="1134" w:hanging="283"/>
      </w:pPr>
      <w:rPr>
        <w:rFonts w:hint="default"/>
      </w:rPr>
    </w:lvl>
    <w:lvl w:ilvl="2">
      <w:start w:val="1"/>
      <w:numFmt w:val="lowerRoman"/>
      <w:lvlText w:val="%3."/>
      <w:lvlJc w:val="right"/>
      <w:pPr>
        <w:ind w:left="1134" w:hanging="22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2" w15:restartNumberingAfterBreak="0">
    <w:nsid w:val="3504139B"/>
    <w:multiLevelType w:val="multilevel"/>
    <w:tmpl w:val="6AA4762E"/>
    <w:styleLink w:val="CurrentList12"/>
    <w:lvl w:ilvl="0">
      <w:start w:val="1"/>
      <w:numFmt w:val="decimal"/>
      <w:lvlText w:val="%1."/>
      <w:lvlJc w:val="left"/>
      <w:pPr>
        <w:ind w:left="567" w:hanging="567"/>
      </w:pPr>
      <w:rPr>
        <w:rFonts w:hint="default"/>
      </w:rPr>
    </w:lvl>
    <w:lvl w:ilvl="1">
      <w:start w:val="1"/>
      <w:numFmt w:val="lowerLetter"/>
      <w:lvlText w:val="%2."/>
      <w:lvlJc w:val="left"/>
      <w:pPr>
        <w:ind w:left="1134" w:hanging="283"/>
      </w:pPr>
      <w:rPr>
        <w:rFonts w:hint="default"/>
      </w:rPr>
    </w:lvl>
    <w:lvl w:ilvl="2">
      <w:start w:val="1"/>
      <w:numFmt w:val="lowerRoman"/>
      <w:lvlText w:val="%3."/>
      <w:lvlJc w:val="right"/>
      <w:pPr>
        <w:ind w:left="1134" w:hanging="283"/>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3" w15:restartNumberingAfterBreak="0">
    <w:nsid w:val="3B8F22DD"/>
    <w:multiLevelType w:val="multilevel"/>
    <w:tmpl w:val="49F489E2"/>
    <w:styleLink w:val="CurrentList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985" w:hanging="567"/>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D67D49"/>
    <w:multiLevelType w:val="hybridMultilevel"/>
    <w:tmpl w:val="721C1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123CDA"/>
    <w:multiLevelType w:val="multilevel"/>
    <w:tmpl w:val="B78033CC"/>
    <w:styleLink w:val="CurrentList4"/>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2500" w:hanging="34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6" w15:restartNumberingAfterBreak="0">
    <w:nsid w:val="566B0754"/>
    <w:multiLevelType w:val="multilevel"/>
    <w:tmpl w:val="0CF449C2"/>
    <w:styleLink w:val="CurrentList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452" w:hanging="346"/>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9B3CD8"/>
    <w:multiLevelType w:val="multilevel"/>
    <w:tmpl w:val="E5103D92"/>
    <w:styleLink w:val="CurrentList16"/>
    <w:lvl w:ilvl="0">
      <w:start w:val="1"/>
      <w:numFmt w:val="decimal"/>
      <w:lvlText w:val="%1."/>
      <w:lvlJc w:val="left"/>
      <w:pPr>
        <w:ind w:left="284" w:hanging="284"/>
      </w:pPr>
      <w:rPr>
        <w:rFonts w:hint="default"/>
      </w:rPr>
    </w:lvl>
    <w:lvl w:ilvl="1">
      <w:start w:val="1"/>
      <w:numFmt w:val="lowerLetter"/>
      <w:lvlText w:val="%2."/>
      <w:lvlJc w:val="left"/>
      <w:pPr>
        <w:ind w:left="1134" w:hanging="340"/>
      </w:pPr>
      <w:rPr>
        <w:rFonts w:hint="default"/>
      </w:rPr>
    </w:lvl>
    <w:lvl w:ilvl="2">
      <w:start w:val="1"/>
      <w:numFmt w:val="lowerRoman"/>
      <w:lvlText w:val="%3."/>
      <w:lvlJc w:val="right"/>
      <w:pPr>
        <w:ind w:left="1531" w:hanging="284"/>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8" w15:restartNumberingAfterBreak="0">
    <w:nsid w:val="63D24766"/>
    <w:multiLevelType w:val="multilevel"/>
    <w:tmpl w:val="49F489E2"/>
    <w:styleLink w:val="CurrentLi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985" w:hanging="567"/>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EC23F0"/>
    <w:multiLevelType w:val="multilevel"/>
    <w:tmpl w:val="2C72A126"/>
    <w:styleLink w:val="CurrentList9"/>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2500" w:hanging="34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0" w15:restartNumberingAfterBreak="0">
    <w:nsid w:val="686D7D12"/>
    <w:multiLevelType w:val="multilevel"/>
    <w:tmpl w:val="A5FC3862"/>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BD22B35"/>
    <w:multiLevelType w:val="multilevel"/>
    <w:tmpl w:val="2A58C344"/>
    <w:styleLink w:val="CurrentList1"/>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E66FF8"/>
    <w:multiLevelType w:val="hybridMultilevel"/>
    <w:tmpl w:val="812AC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EA5902"/>
    <w:multiLevelType w:val="multilevel"/>
    <w:tmpl w:val="025A736C"/>
    <w:styleLink w:val="CurrentList14"/>
    <w:lvl w:ilvl="0">
      <w:start w:val="1"/>
      <w:numFmt w:val="decimal"/>
      <w:lvlText w:val="%1."/>
      <w:lvlJc w:val="left"/>
      <w:pPr>
        <w:ind w:left="284" w:hanging="284"/>
      </w:pPr>
      <w:rPr>
        <w:rFonts w:hint="default"/>
      </w:rPr>
    </w:lvl>
    <w:lvl w:ilvl="1">
      <w:start w:val="1"/>
      <w:numFmt w:val="lowerLetter"/>
      <w:lvlText w:val="%2."/>
      <w:lvlJc w:val="left"/>
      <w:pPr>
        <w:ind w:left="1134" w:hanging="340"/>
      </w:pPr>
      <w:rPr>
        <w:rFonts w:hint="default"/>
      </w:rPr>
    </w:lvl>
    <w:lvl w:ilvl="2">
      <w:start w:val="1"/>
      <w:numFmt w:val="lowerRoman"/>
      <w:lvlText w:val="%3."/>
      <w:lvlJc w:val="right"/>
      <w:pPr>
        <w:ind w:left="1134" w:hanging="22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4" w15:restartNumberingAfterBreak="0">
    <w:nsid w:val="78326722"/>
    <w:multiLevelType w:val="multilevel"/>
    <w:tmpl w:val="1DB03678"/>
    <w:styleLink w:val="CurrentList7"/>
    <w:lvl w:ilvl="0">
      <w:start w:val="1"/>
      <w:numFmt w:val="decimal"/>
      <w:lvlText w:val="%1."/>
      <w:lvlJc w:val="left"/>
      <w:pPr>
        <w:ind w:left="720" w:hanging="360"/>
      </w:pPr>
    </w:lvl>
    <w:lvl w:ilvl="1">
      <w:start w:val="1"/>
      <w:numFmt w:val="lowerRoman"/>
      <w:lvlText w:val="%2."/>
      <w:lvlJc w:val="right"/>
      <w:pPr>
        <w:ind w:left="1440" w:hanging="360"/>
      </w:pPr>
      <w:rPr>
        <w:rFonts w:hint="default"/>
      </w:rPr>
    </w:lvl>
    <w:lvl w:ilvl="2">
      <w:start w:val="1"/>
      <w:numFmt w:val="decimal"/>
      <w:lvlText w:val="%3."/>
      <w:lvlJc w:val="left"/>
      <w:pPr>
        <w:ind w:left="1466" w:hanging="360"/>
      </w:p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DBC7871"/>
    <w:multiLevelType w:val="multilevel"/>
    <w:tmpl w:val="F0544A7C"/>
    <w:styleLink w:val="CurrentList15"/>
    <w:lvl w:ilvl="0">
      <w:start w:val="1"/>
      <w:numFmt w:val="decimal"/>
      <w:lvlText w:val="%1."/>
      <w:lvlJc w:val="left"/>
      <w:pPr>
        <w:ind w:left="284" w:hanging="284"/>
      </w:pPr>
      <w:rPr>
        <w:rFonts w:hint="default"/>
      </w:rPr>
    </w:lvl>
    <w:lvl w:ilvl="1">
      <w:start w:val="1"/>
      <w:numFmt w:val="lowerLetter"/>
      <w:lvlText w:val="%2."/>
      <w:lvlJc w:val="left"/>
      <w:pPr>
        <w:ind w:left="1134" w:hanging="340"/>
      </w:pPr>
      <w:rPr>
        <w:rFonts w:hint="default"/>
      </w:rPr>
    </w:lvl>
    <w:lvl w:ilvl="2">
      <w:start w:val="1"/>
      <w:numFmt w:val="lowerRoman"/>
      <w:lvlText w:val="%3."/>
      <w:lvlJc w:val="right"/>
      <w:pPr>
        <w:ind w:left="1418" w:hanging="284"/>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6" w15:restartNumberingAfterBreak="0">
    <w:nsid w:val="7ECD4BB3"/>
    <w:multiLevelType w:val="multilevel"/>
    <w:tmpl w:val="7C2AC736"/>
    <w:styleLink w:val="Threelevelliststyle"/>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right"/>
      <w:pPr>
        <w:ind w:left="3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85880836">
    <w:abstractNumId w:val="21"/>
  </w:num>
  <w:num w:numId="2" w16cid:durableId="1918249524">
    <w:abstractNumId w:val="26"/>
  </w:num>
  <w:num w:numId="3" w16cid:durableId="1906330264">
    <w:abstractNumId w:val="2"/>
  </w:num>
  <w:num w:numId="4" w16cid:durableId="2131430670">
    <w:abstractNumId w:val="20"/>
  </w:num>
  <w:num w:numId="5" w16cid:durableId="1541436080">
    <w:abstractNumId w:val="18"/>
  </w:num>
  <w:num w:numId="6" w16cid:durableId="1047951593">
    <w:abstractNumId w:val="15"/>
  </w:num>
  <w:num w:numId="7" w16cid:durableId="724763516">
    <w:abstractNumId w:val="1"/>
  </w:num>
  <w:num w:numId="8" w16cid:durableId="1084257235">
    <w:abstractNumId w:val="16"/>
  </w:num>
  <w:num w:numId="9" w16cid:durableId="1672173292">
    <w:abstractNumId w:val="24"/>
  </w:num>
  <w:num w:numId="10" w16cid:durableId="855583324">
    <w:abstractNumId w:val="13"/>
  </w:num>
  <w:num w:numId="11" w16cid:durableId="1785539372">
    <w:abstractNumId w:val="19"/>
  </w:num>
  <w:num w:numId="12" w16cid:durableId="321352287">
    <w:abstractNumId w:val="3"/>
  </w:num>
  <w:num w:numId="13" w16cid:durableId="1493519226">
    <w:abstractNumId w:val="0"/>
  </w:num>
  <w:num w:numId="14" w16cid:durableId="1248345212">
    <w:abstractNumId w:val="12"/>
  </w:num>
  <w:num w:numId="15" w16cid:durableId="1115908173">
    <w:abstractNumId w:val="11"/>
  </w:num>
  <w:num w:numId="16" w16cid:durableId="1971931800">
    <w:abstractNumId w:val="23"/>
  </w:num>
  <w:num w:numId="17" w16cid:durableId="1788163221">
    <w:abstractNumId w:val="25"/>
  </w:num>
  <w:num w:numId="18" w16cid:durableId="462890987">
    <w:abstractNumId w:val="6"/>
  </w:num>
  <w:num w:numId="19" w16cid:durableId="1904639624">
    <w:abstractNumId w:val="17"/>
  </w:num>
  <w:num w:numId="20" w16cid:durableId="1299382505">
    <w:abstractNumId w:val="4"/>
  </w:num>
  <w:num w:numId="21" w16cid:durableId="162551314">
    <w:abstractNumId w:val="14"/>
  </w:num>
  <w:num w:numId="22" w16cid:durableId="1440444474">
    <w:abstractNumId w:val="9"/>
  </w:num>
  <w:num w:numId="23" w16cid:durableId="1625506040">
    <w:abstractNumId w:val="5"/>
  </w:num>
  <w:num w:numId="24" w16cid:durableId="2020346444">
    <w:abstractNumId w:val="7"/>
  </w:num>
  <w:num w:numId="25" w16cid:durableId="2126272026">
    <w:abstractNumId w:val="22"/>
  </w:num>
  <w:num w:numId="26" w16cid:durableId="1468621697">
    <w:abstractNumId w:val="8"/>
  </w:num>
  <w:num w:numId="27" w16cid:durableId="96628264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efaultTableStyle w:val="Style3"/>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B27"/>
    <w:rsid w:val="00000077"/>
    <w:rsid w:val="00003945"/>
    <w:rsid w:val="00011C8F"/>
    <w:rsid w:val="00012085"/>
    <w:rsid w:val="00014C5C"/>
    <w:rsid w:val="0002787B"/>
    <w:rsid w:val="00036559"/>
    <w:rsid w:val="00054743"/>
    <w:rsid w:val="00056EC6"/>
    <w:rsid w:val="00064835"/>
    <w:rsid w:val="000747F2"/>
    <w:rsid w:val="00075553"/>
    <w:rsid w:val="00075605"/>
    <w:rsid w:val="00076F4A"/>
    <w:rsid w:val="000823AA"/>
    <w:rsid w:val="00082B05"/>
    <w:rsid w:val="000A07F0"/>
    <w:rsid w:val="000C0DD0"/>
    <w:rsid w:val="000C3B1B"/>
    <w:rsid w:val="000D64E6"/>
    <w:rsid w:val="000F46E2"/>
    <w:rsid w:val="000F766F"/>
    <w:rsid w:val="00100CFC"/>
    <w:rsid w:val="00102243"/>
    <w:rsid w:val="001129DC"/>
    <w:rsid w:val="001140FF"/>
    <w:rsid w:val="0012277C"/>
    <w:rsid w:val="001302A2"/>
    <w:rsid w:val="00135617"/>
    <w:rsid w:val="00137376"/>
    <w:rsid w:val="00147C8A"/>
    <w:rsid w:val="0015174E"/>
    <w:rsid w:val="001536A5"/>
    <w:rsid w:val="00162428"/>
    <w:rsid w:val="00162B5E"/>
    <w:rsid w:val="001701A8"/>
    <w:rsid w:val="001715F6"/>
    <w:rsid w:val="00177399"/>
    <w:rsid w:val="00180008"/>
    <w:rsid w:val="00180D2F"/>
    <w:rsid w:val="00190D3B"/>
    <w:rsid w:val="001910BD"/>
    <w:rsid w:val="001917F3"/>
    <w:rsid w:val="0019429B"/>
    <w:rsid w:val="001956A5"/>
    <w:rsid w:val="001A0467"/>
    <w:rsid w:val="001B1A44"/>
    <w:rsid w:val="001B3C34"/>
    <w:rsid w:val="001D2C78"/>
    <w:rsid w:val="001F753F"/>
    <w:rsid w:val="0020539A"/>
    <w:rsid w:val="00210579"/>
    <w:rsid w:val="00227CB9"/>
    <w:rsid w:val="00244E13"/>
    <w:rsid w:val="0024604A"/>
    <w:rsid w:val="00250108"/>
    <w:rsid w:val="002508D1"/>
    <w:rsid w:val="0025362A"/>
    <w:rsid w:val="002537B6"/>
    <w:rsid w:val="00254668"/>
    <w:rsid w:val="00266771"/>
    <w:rsid w:val="002713FB"/>
    <w:rsid w:val="002761D8"/>
    <w:rsid w:val="00286A9C"/>
    <w:rsid w:val="002920B7"/>
    <w:rsid w:val="002929BF"/>
    <w:rsid w:val="002A6FEF"/>
    <w:rsid w:val="002B6BA9"/>
    <w:rsid w:val="002D67AB"/>
    <w:rsid w:val="002E3794"/>
    <w:rsid w:val="002E6766"/>
    <w:rsid w:val="002F0482"/>
    <w:rsid w:val="002F5590"/>
    <w:rsid w:val="00304414"/>
    <w:rsid w:val="0031128A"/>
    <w:rsid w:val="0031766D"/>
    <w:rsid w:val="00323876"/>
    <w:rsid w:val="0033031D"/>
    <w:rsid w:val="00331239"/>
    <w:rsid w:val="00331A31"/>
    <w:rsid w:val="00343CA5"/>
    <w:rsid w:val="00350177"/>
    <w:rsid w:val="00354F7A"/>
    <w:rsid w:val="0036151D"/>
    <w:rsid w:val="0037075D"/>
    <w:rsid w:val="0037573F"/>
    <w:rsid w:val="003926A7"/>
    <w:rsid w:val="003A1554"/>
    <w:rsid w:val="003B26A2"/>
    <w:rsid w:val="003B49BB"/>
    <w:rsid w:val="003B578D"/>
    <w:rsid w:val="003B6324"/>
    <w:rsid w:val="003C15DB"/>
    <w:rsid w:val="003C49B9"/>
    <w:rsid w:val="003C579D"/>
    <w:rsid w:val="003C7B86"/>
    <w:rsid w:val="003E23ED"/>
    <w:rsid w:val="003F4E43"/>
    <w:rsid w:val="0040566C"/>
    <w:rsid w:val="00405FD0"/>
    <w:rsid w:val="00424319"/>
    <w:rsid w:val="00426078"/>
    <w:rsid w:val="0045365F"/>
    <w:rsid w:val="00455C52"/>
    <w:rsid w:val="00464E5C"/>
    <w:rsid w:val="00480933"/>
    <w:rsid w:val="004850EA"/>
    <w:rsid w:val="0048693B"/>
    <w:rsid w:val="004D2DAF"/>
    <w:rsid w:val="004E1DFF"/>
    <w:rsid w:val="004E5202"/>
    <w:rsid w:val="0050565F"/>
    <w:rsid w:val="005321D0"/>
    <w:rsid w:val="005464B1"/>
    <w:rsid w:val="005531F6"/>
    <w:rsid w:val="0056453C"/>
    <w:rsid w:val="005711A8"/>
    <w:rsid w:val="00577DE0"/>
    <w:rsid w:val="0059038E"/>
    <w:rsid w:val="005922E9"/>
    <w:rsid w:val="0059600D"/>
    <w:rsid w:val="005A3952"/>
    <w:rsid w:val="005C22C7"/>
    <w:rsid w:val="005C30CB"/>
    <w:rsid w:val="005D0F18"/>
    <w:rsid w:val="005E655B"/>
    <w:rsid w:val="005F037D"/>
    <w:rsid w:val="00612825"/>
    <w:rsid w:val="006153EA"/>
    <w:rsid w:val="00617793"/>
    <w:rsid w:val="00630E33"/>
    <w:rsid w:val="006345D5"/>
    <w:rsid w:val="00641656"/>
    <w:rsid w:val="00647E27"/>
    <w:rsid w:val="00656465"/>
    <w:rsid w:val="0065D1AE"/>
    <w:rsid w:val="00664B38"/>
    <w:rsid w:val="0067278D"/>
    <w:rsid w:val="00674773"/>
    <w:rsid w:val="006823FA"/>
    <w:rsid w:val="00683CC6"/>
    <w:rsid w:val="006A604E"/>
    <w:rsid w:val="006C4AEF"/>
    <w:rsid w:val="006D745A"/>
    <w:rsid w:val="006F2687"/>
    <w:rsid w:val="006F5E89"/>
    <w:rsid w:val="00703C87"/>
    <w:rsid w:val="007068BE"/>
    <w:rsid w:val="00710044"/>
    <w:rsid w:val="00713124"/>
    <w:rsid w:val="00717793"/>
    <w:rsid w:val="00735431"/>
    <w:rsid w:val="00737645"/>
    <w:rsid w:val="00761427"/>
    <w:rsid w:val="00767C01"/>
    <w:rsid w:val="007709A3"/>
    <w:rsid w:val="0077541E"/>
    <w:rsid w:val="00775668"/>
    <w:rsid w:val="0077755A"/>
    <w:rsid w:val="00781DDD"/>
    <w:rsid w:val="007998C4"/>
    <w:rsid w:val="007B7C97"/>
    <w:rsid w:val="007C15A3"/>
    <w:rsid w:val="007E0A04"/>
    <w:rsid w:val="00814D84"/>
    <w:rsid w:val="0081753B"/>
    <w:rsid w:val="008216F3"/>
    <w:rsid w:val="0084306F"/>
    <w:rsid w:val="0084751C"/>
    <w:rsid w:val="00861E28"/>
    <w:rsid w:val="00867A27"/>
    <w:rsid w:val="00871E36"/>
    <w:rsid w:val="00872D56"/>
    <w:rsid w:val="00884594"/>
    <w:rsid w:val="008878CC"/>
    <w:rsid w:val="00895B49"/>
    <w:rsid w:val="00895DCC"/>
    <w:rsid w:val="00896BE9"/>
    <w:rsid w:val="008A1437"/>
    <w:rsid w:val="008A5255"/>
    <w:rsid w:val="008B7E36"/>
    <w:rsid w:val="008C3D27"/>
    <w:rsid w:val="008D5661"/>
    <w:rsid w:val="008D5ADF"/>
    <w:rsid w:val="008D68EB"/>
    <w:rsid w:val="00904B27"/>
    <w:rsid w:val="0092538A"/>
    <w:rsid w:val="009268B8"/>
    <w:rsid w:val="00931E8C"/>
    <w:rsid w:val="00936005"/>
    <w:rsid w:val="00942DE2"/>
    <w:rsid w:val="00963591"/>
    <w:rsid w:val="00963840"/>
    <w:rsid w:val="009659BF"/>
    <w:rsid w:val="00970F96"/>
    <w:rsid w:val="00971604"/>
    <w:rsid w:val="0097271B"/>
    <w:rsid w:val="00973325"/>
    <w:rsid w:val="00982E2A"/>
    <w:rsid w:val="00984BC9"/>
    <w:rsid w:val="009931E6"/>
    <w:rsid w:val="0099494B"/>
    <w:rsid w:val="009B15BE"/>
    <w:rsid w:val="009B2168"/>
    <w:rsid w:val="009C2840"/>
    <w:rsid w:val="009D215D"/>
    <w:rsid w:val="009E5A46"/>
    <w:rsid w:val="009E7395"/>
    <w:rsid w:val="00A123AD"/>
    <w:rsid w:val="00A231EB"/>
    <w:rsid w:val="00A27066"/>
    <w:rsid w:val="00A3413D"/>
    <w:rsid w:val="00A3674E"/>
    <w:rsid w:val="00A51CDA"/>
    <w:rsid w:val="00A57AF8"/>
    <w:rsid w:val="00A80941"/>
    <w:rsid w:val="00A8549A"/>
    <w:rsid w:val="00A85EE7"/>
    <w:rsid w:val="00A94B7A"/>
    <w:rsid w:val="00AB16DA"/>
    <w:rsid w:val="00AC0D9C"/>
    <w:rsid w:val="00AD31A4"/>
    <w:rsid w:val="00AF4659"/>
    <w:rsid w:val="00B105C5"/>
    <w:rsid w:val="00B12575"/>
    <w:rsid w:val="00B205E5"/>
    <w:rsid w:val="00B212B4"/>
    <w:rsid w:val="00B42F71"/>
    <w:rsid w:val="00B44C17"/>
    <w:rsid w:val="00B54CB5"/>
    <w:rsid w:val="00B6446C"/>
    <w:rsid w:val="00B738F0"/>
    <w:rsid w:val="00B80952"/>
    <w:rsid w:val="00B97054"/>
    <w:rsid w:val="00BB6088"/>
    <w:rsid w:val="00BC6968"/>
    <w:rsid w:val="00BD0FDB"/>
    <w:rsid w:val="00BD5B09"/>
    <w:rsid w:val="00BD634E"/>
    <w:rsid w:val="00BE0ACC"/>
    <w:rsid w:val="00C11593"/>
    <w:rsid w:val="00C24B76"/>
    <w:rsid w:val="00C31467"/>
    <w:rsid w:val="00C3259D"/>
    <w:rsid w:val="00C441AC"/>
    <w:rsid w:val="00C45FD8"/>
    <w:rsid w:val="00C539A0"/>
    <w:rsid w:val="00C546C6"/>
    <w:rsid w:val="00C60633"/>
    <w:rsid w:val="00C70416"/>
    <w:rsid w:val="00C7710E"/>
    <w:rsid w:val="00C92B71"/>
    <w:rsid w:val="00C95644"/>
    <w:rsid w:val="00CA0697"/>
    <w:rsid w:val="00CC09D8"/>
    <w:rsid w:val="00CC4261"/>
    <w:rsid w:val="00CC57A1"/>
    <w:rsid w:val="00CC7D6F"/>
    <w:rsid w:val="00CD5D1E"/>
    <w:rsid w:val="00CE1A3D"/>
    <w:rsid w:val="00CE4366"/>
    <w:rsid w:val="00CF12CA"/>
    <w:rsid w:val="00CF2984"/>
    <w:rsid w:val="00CF579E"/>
    <w:rsid w:val="00CF73B6"/>
    <w:rsid w:val="00D016B3"/>
    <w:rsid w:val="00D038DC"/>
    <w:rsid w:val="00D03C40"/>
    <w:rsid w:val="00D03D4F"/>
    <w:rsid w:val="00D11E24"/>
    <w:rsid w:val="00D132B2"/>
    <w:rsid w:val="00D27B17"/>
    <w:rsid w:val="00D47A1A"/>
    <w:rsid w:val="00D535AE"/>
    <w:rsid w:val="00D54BE8"/>
    <w:rsid w:val="00D607CC"/>
    <w:rsid w:val="00D631D5"/>
    <w:rsid w:val="00D6489D"/>
    <w:rsid w:val="00D71DF5"/>
    <w:rsid w:val="00DB6405"/>
    <w:rsid w:val="00DC28FE"/>
    <w:rsid w:val="00DC52E4"/>
    <w:rsid w:val="00DC7E59"/>
    <w:rsid w:val="00DD0436"/>
    <w:rsid w:val="00DD7AB2"/>
    <w:rsid w:val="00DE780C"/>
    <w:rsid w:val="00DF2C11"/>
    <w:rsid w:val="00DF70B3"/>
    <w:rsid w:val="00E041B7"/>
    <w:rsid w:val="00E2569F"/>
    <w:rsid w:val="00E25A90"/>
    <w:rsid w:val="00E41FDA"/>
    <w:rsid w:val="00E42DED"/>
    <w:rsid w:val="00E4512A"/>
    <w:rsid w:val="00E53B90"/>
    <w:rsid w:val="00E54D7F"/>
    <w:rsid w:val="00E709C7"/>
    <w:rsid w:val="00E7102F"/>
    <w:rsid w:val="00E726A1"/>
    <w:rsid w:val="00E80941"/>
    <w:rsid w:val="00E81BB3"/>
    <w:rsid w:val="00EA2E39"/>
    <w:rsid w:val="00EB33DA"/>
    <w:rsid w:val="00EC1565"/>
    <w:rsid w:val="00EC3876"/>
    <w:rsid w:val="00EC450A"/>
    <w:rsid w:val="00EC6EB1"/>
    <w:rsid w:val="00ED3381"/>
    <w:rsid w:val="00ED480B"/>
    <w:rsid w:val="00ED716F"/>
    <w:rsid w:val="00EE04BC"/>
    <w:rsid w:val="00EE464B"/>
    <w:rsid w:val="00EE4F31"/>
    <w:rsid w:val="00EF1DCC"/>
    <w:rsid w:val="00EF639D"/>
    <w:rsid w:val="00EF64DC"/>
    <w:rsid w:val="00EF7A32"/>
    <w:rsid w:val="00F1563B"/>
    <w:rsid w:val="00F158E5"/>
    <w:rsid w:val="00F16218"/>
    <w:rsid w:val="00F17890"/>
    <w:rsid w:val="00F23AA9"/>
    <w:rsid w:val="00F30280"/>
    <w:rsid w:val="00F416A1"/>
    <w:rsid w:val="00F771A4"/>
    <w:rsid w:val="00F82C05"/>
    <w:rsid w:val="00F87372"/>
    <w:rsid w:val="00F91CDD"/>
    <w:rsid w:val="00F96A80"/>
    <w:rsid w:val="00FA3D8E"/>
    <w:rsid w:val="00FB4C21"/>
    <w:rsid w:val="00FB7B5B"/>
    <w:rsid w:val="00FC6A9E"/>
    <w:rsid w:val="00FC783C"/>
    <w:rsid w:val="00FD2F58"/>
    <w:rsid w:val="00FD4209"/>
    <w:rsid w:val="00FE28A8"/>
    <w:rsid w:val="00FE5AEE"/>
    <w:rsid w:val="00FE74A8"/>
    <w:rsid w:val="00FF6DD3"/>
    <w:rsid w:val="06991516"/>
    <w:rsid w:val="079F7871"/>
    <w:rsid w:val="09EEB361"/>
    <w:rsid w:val="09F9CB9E"/>
    <w:rsid w:val="0FC011DD"/>
    <w:rsid w:val="12D9A09A"/>
    <w:rsid w:val="133E37A9"/>
    <w:rsid w:val="1340DD38"/>
    <w:rsid w:val="13CC364C"/>
    <w:rsid w:val="14446DD2"/>
    <w:rsid w:val="1556C97F"/>
    <w:rsid w:val="172482E2"/>
    <w:rsid w:val="19EABEFC"/>
    <w:rsid w:val="1BD78B2E"/>
    <w:rsid w:val="21075C61"/>
    <w:rsid w:val="210B8115"/>
    <w:rsid w:val="21CB82D0"/>
    <w:rsid w:val="222156D5"/>
    <w:rsid w:val="225CFB2B"/>
    <w:rsid w:val="251F1C84"/>
    <w:rsid w:val="25F2E815"/>
    <w:rsid w:val="264F1B63"/>
    <w:rsid w:val="2845B1BD"/>
    <w:rsid w:val="28AE7902"/>
    <w:rsid w:val="28C5E292"/>
    <w:rsid w:val="2A240FE0"/>
    <w:rsid w:val="2BA350E6"/>
    <w:rsid w:val="2C8F0BB0"/>
    <w:rsid w:val="2D66BE4B"/>
    <w:rsid w:val="2E0117F0"/>
    <w:rsid w:val="2EBB0CF0"/>
    <w:rsid w:val="316BFBD9"/>
    <w:rsid w:val="31B66788"/>
    <w:rsid w:val="329CCF46"/>
    <w:rsid w:val="32A01480"/>
    <w:rsid w:val="361033FF"/>
    <w:rsid w:val="3745E0A4"/>
    <w:rsid w:val="3AB261EB"/>
    <w:rsid w:val="3CF8E317"/>
    <w:rsid w:val="3D2D4DC6"/>
    <w:rsid w:val="3DACD7B5"/>
    <w:rsid w:val="3EE33090"/>
    <w:rsid w:val="3F513A32"/>
    <w:rsid w:val="3FAA8CB2"/>
    <w:rsid w:val="4021F470"/>
    <w:rsid w:val="427D538D"/>
    <w:rsid w:val="43438BCF"/>
    <w:rsid w:val="4428D989"/>
    <w:rsid w:val="4461AC60"/>
    <w:rsid w:val="4911FCDE"/>
    <w:rsid w:val="4EFEA5C4"/>
    <w:rsid w:val="5116AFD9"/>
    <w:rsid w:val="53C3B3C6"/>
    <w:rsid w:val="54C993DB"/>
    <w:rsid w:val="54DB4A43"/>
    <w:rsid w:val="55209726"/>
    <w:rsid w:val="56F011A3"/>
    <w:rsid w:val="573C4F98"/>
    <w:rsid w:val="5773EA3F"/>
    <w:rsid w:val="5A14CEAB"/>
    <w:rsid w:val="5B10726B"/>
    <w:rsid w:val="5B8C7357"/>
    <w:rsid w:val="5B994126"/>
    <w:rsid w:val="5E21B66F"/>
    <w:rsid w:val="5E800558"/>
    <w:rsid w:val="622E7C10"/>
    <w:rsid w:val="63912F55"/>
    <w:rsid w:val="64447109"/>
    <w:rsid w:val="658EA737"/>
    <w:rsid w:val="67C11873"/>
    <w:rsid w:val="689E6594"/>
    <w:rsid w:val="68A87195"/>
    <w:rsid w:val="693491C2"/>
    <w:rsid w:val="69B78E39"/>
    <w:rsid w:val="6FF8F4AB"/>
    <w:rsid w:val="708AF210"/>
    <w:rsid w:val="70F1B367"/>
    <w:rsid w:val="7154D5D2"/>
    <w:rsid w:val="73B3FA86"/>
    <w:rsid w:val="73EC26F8"/>
    <w:rsid w:val="74FF6E6C"/>
    <w:rsid w:val="7665A579"/>
    <w:rsid w:val="77B69E45"/>
    <w:rsid w:val="78142CE4"/>
    <w:rsid w:val="79737216"/>
    <w:rsid w:val="7BF4366D"/>
    <w:rsid w:val="7F0C7B5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84AFDB"/>
  <w15:chartTrackingRefBased/>
  <w15:docId w15:val="{38D4919B-6989-C14E-9D92-57BFB230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50108"/>
    <w:pPr>
      <w:autoSpaceDE w:val="0"/>
      <w:autoSpaceDN w:val="0"/>
      <w:adjustRightInd w:val="0"/>
      <w:spacing w:after="120" w:line="40" w:lineRule="atLeast"/>
    </w:pPr>
    <w:rPr>
      <w:rFonts w:ascii="Rational Display Book" w:hAnsi="Rational Display Book" w:cs="Rational Display Book"/>
      <w:color w:val="172254"/>
      <w:kern w:val="0"/>
      <w:sz w:val="18"/>
      <w:szCs w:val="18"/>
      <w:lang w:val="en-GB"/>
    </w:rPr>
  </w:style>
  <w:style w:type="paragraph" w:styleId="1">
    <w:name w:val="heading 1"/>
    <w:basedOn w:val="a0"/>
    <w:next w:val="a0"/>
    <w:link w:val="10"/>
    <w:autoRedefine/>
    <w:uiPriority w:val="9"/>
    <w:qFormat/>
    <w:rsid w:val="00250108"/>
    <w:pPr>
      <w:spacing w:before="320"/>
      <w:outlineLvl w:val="0"/>
    </w:pPr>
    <w:rPr>
      <w:sz w:val="52"/>
      <w:szCs w:val="52"/>
    </w:rPr>
  </w:style>
  <w:style w:type="paragraph" w:styleId="20">
    <w:name w:val="heading 2"/>
    <w:basedOn w:val="a0"/>
    <w:next w:val="a0"/>
    <w:link w:val="21"/>
    <w:autoRedefine/>
    <w:uiPriority w:val="9"/>
    <w:unhideWhenUsed/>
    <w:qFormat/>
    <w:rsid w:val="00E2569F"/>
    <w:pPr>
      <w:outlineLvl w:val="1"/>
    </w:pPr>
    <w:rPr>
      <w:rFonts w:ascii="Rational Display SemiBold" w:hAnsi="Rational Display SemiBold" w:cs="Rational Display SemiBold"/>
      <w:color w:val="162254"/>
      <w:sz w:val="28"/>
      <w:szCs w:val="28"/>
    </w:rPr>
  </w:style>
  <w:style w:type="paragraph" w:styleId="3">
    <w:name w:val="heading 3"/>
    <w:basedOn w:val="a0"/>
    <w:next w:val="a0"/>
    <w:link w:val="30"/>
    <w:autoRedefine/>
    <w:uiPriority w:val="9"/>
    <w:unhideWhenUsed/>
    <w:qFormat/>
    <w:rsid w:val="00630E33"/>
    <w:pPr>
      <w:spacing w:before="340"/>
      <w:outlineLvl w:val="2"/>
    </w:pPr>
    <w:rPr>
      <w:rFonts w:cs="Rational Display Medium"/>
      <w:color w:val="00AE67"/>
      <w:sz w:val="28"/>
      <w:szCs w:val="28"/>
    </w:rPr>
  </w:style>
  <w:style w:type="paragraph" w:styleId="4">
    <w:name w:val="heading 4"/>
    <w:basedOn w:val="a0"/>
    <w:next w:val="a0"/>
    <w:link w:val="40"/>
    <w:uiPriority w:val="9"/>
    <w:unhideWhenUsed/>
    <w:qFormat/>
    <w:rsid w:val="00E2569F"/>
    <w:pPr>
      <w:adjustRightInd/>
      <w:spacing w:before="160" w:after="60" w:line="240" w:lineRule="auto"/>
      <w:ind w:left="357" w:hanging="357"/>
      <w:contextualSpacing/>
      <w:outlineLvl w:val="3"/>
    </w:pPr>
    <w:rPr>
      <w:b/>
      <w:bCs/>
      <w:sz w:val="22"/>
      <w:szCs w:val="22"/>
    </w:rPr>
  </w:style>
  <w:style w:type="paragraph" w:styleId="5">
    <w:name w:val="heading 5"/>
    <w:basedOn w:val="a0"/>
    <w:next w:val="a0"/>
    <w:link w:val="50"/>
    <w:uiPriority w:val="9"/>
    <w:unhideWhenUsed/>
    <w:qFormat/>
    <w:rsid w:val="00250108"/>
    <w:pPr>
      <w:spacing w:after="0"/>
      <w:outlineLvl w:val="4"/>
    </w:pPr>
    <w:rPr>
      <w:b/>
      <w:bCs/>
    </w:rPr>
  </w:style>
  <w:style w:type="paragraph" w:styleId="6">
    <w:name w:val="heading 6"/>
    <w:basedOn w:val="a0"/>
    <w:next w:val="a0"/>
    <w:link w:val="60"/>
    <w:uiPriority w:val="9"/>
    <w:semiHidden/>
    <w:unhideWhenUsed/>
    <w:qFormat/>
    <w:rsid w:val="00904B27"/>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904B27"/>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904B27"/>
    <w:pPr>
      <w:keepNext/>
      <w:keepLines/>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904B27"/>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verPageTitle">
    <w:name w:val="Cover Page Title"/>
    <w:basedOn w:val="1"/>
    <w:autoRedefine/>
    <w:rsid w:val="00CE4366"/>
    <w:rPr>
      <w:rFonts w:ascii="Montserrat SemiBold" w:hAnsi="Montserrat SemiBold"/>
      <w:b/>
      <w:color w:val="FFFFFF" w:themeColor="background1"/>
      <w:sz w:val="30"/>
    </w:rPr>
  </w:style>
  <w:style w:type="character" w:customStyle="1" w:styleId="10">
    <w:name w:val="見出し 1 (文字)"/>
    <w:basedOn w:val="a1"/>
    <w:link w:val="1"/>
    <w:uiPriority w:val="9"/>
    <w:rsid w:val="00250108"/>
    <w:rPr>
      <w:rFonts w:ascii="Rational Display Book" w:hAnsi="Rational Display Book" w:cs="Rational Display Book"/>
      <w:color w:val="172254"/>
      <w:kern w:val="0"/>
      <w:sz w:val="52"/>
      <w:szCs w:val="52"/>
      <w:lang w:val="en-GB"/>
    </w:rPr>
  </w:style>
  <w:style w:type="paragraph" w:customStyle="1" w:styleId="CoverPage-LargeTitle">
    <w:name w:val="Cover Page - Large Title"/>
    <w:basedOn w:val="a0"/>
    <w:autoRedefine/>
    <w:rsid w:val="00CE4366"/>
    <w:rPr>
      <w:rFonts w:ascii="Montserrat SemiBold" w:hAnsi="Montserrat SemiBold"/>
      <w:b/>
    </w:rPr>
  </w:style>
  <w:style w:type="paragraph" w:customStyle="1" w:styleId="CoverPageLargeTitleRegular">
    <w:name w:val="Cover Page – Large Title Regular"/>
    <w:basedOn w:val="a0"/>
    <w:autoRedefine/>
    <w:rsid w:val="00CE4366"/>
    <w:rPr>
      <w:rFonts w:ascii="Montserrat" w:hAnsi="Montserrat"/>
      <w:color w:val="FFFFFF" w:themeColor="background1"/>
      <w:sz w:val="58"/>
    </w:rPr>
  </w:style>
  <w:style w:type="paragraph" w:customStyle="1" w:styleId="HeaderFooterTextRegular1">
    <w:name w:val="Header &amp; Footer Text Regular 1"/>
    <w:basedOn w:val="a0"/>
    <w:autoRedefine/>
    <w:rsid w:val="00CE4366"/>
    <w:rPr>
      <w:rFonts w:ascii="Montserrat" w:hAnsi="Montserrat"/>
      <w:bCs/>
      <w:noProof/>
      <w:color w:val="FFFFFF" w:themeColor="background1"/>
      <w:sz w:val="16"/>
    </w:rPr>
  </w:style>
  <w:style w:type="paragraph" w:customStyle="1" w:styleId="IntroParagraph">
    <w:name w:val="Intro Paragraph"/>
    <w:autoRedefine/>
    <w:rsid w:val="00CE4366"/>
    <w:pPr>
      <w:spacing w:before="105"/>
      <w:ind w:left="100"/>
    </w:pPr>
    <w:rPr>
      <w:rFonts w:ascii="Source Sans Pro SemiBold" w:hAnsi="Source Sans Pro SemiBold"/>
      <w:b/>
      <w:spacing w:val="-4"/>
      <w:sz w:val="28"/>
    </w:rPr>
  </w:style>
  <w:style w:type="character" w:customStyle="1" w:styleId="30">
    <w:name w:val="見出し 3 (文字)"/>
    <w:basedOn w:val="a1"/>
    <w:link w:val="3"/>
    <w:uiPriority w:val="9"/>
    <w:rsid w:val="00630E33"/>
    <w:rPr>
      <w:rFonts w:ascii="Rational Display Book" w:hAnsi="Rational Display Book" w:cs="Rational Display Medium"/>
      <w:color w:val="00AE67"/>
      <w:kern w:val="0"/>
      <w:sz w:val="28"/>
      <w:szCs w:val="28"/>
      <w:lang w:val="en-GB"/>
    </w:rPr>
  </w:style>
  <w:style w:type="character" w:customStyle="1" w:styleId="21">
    <w:name w:val="見出し 2 (文字)"/>
    <w:basedOn w:val="a1"/>
    <w:link w:val="20"/>
    <w:uiPriority w:val="9"/>
    <w:rsid w:val="00E2569F"/>
    <w:rPr>
      <w:rFonts w:ascii="Rational Display SemiBold" w:hAnsi="Rational Display SemiBold" w:cs="Rational Display SemiBold"/>
      <w:color w:val="162254"/>
      <w:kern w:val="0"/>
      <w:sz w:val="28"/>
      <w:szCs w:val="28"/>
      <w:lang w:val="en-GB"/>
    </w:rPr>
  </w:style>
  <w:style w:type="paragraph" w:styleId="a">
    <w:name w:val="List Paragraph"/>
    <w:basedOn w:val="a0"/>
    <w:autoRedefine/>
    <w:uiPriority w:val="1"/>
    <w:qFormat/>
    <w:rsid w:val="00E2569F"/>
    <w:pPr>
      <w:numPr>
        <w:numId w:val="18"/>
      </w:numPr>
      <w:spacing w:after="100"/>
    </w:pPr>
  </w:style>
  <w:style w:type="paragraph" w:styleId="a4">
    <w:name w:val="Body Text"/>
    <w:basedOn w:val="a0"/>
    <w:link w:val="a5"/>
    <w:autoRedefine/>
    <w:uiPriority w:val="1"/>
    <w:rsid w:val="0081753B"/>
    <w:pPr>
      <w:widowControl w:val="0"/>
    </w:pPr>
    <w:rPr>
      <w:rFonts w:ascii="Source Sans Pro Light" w:eastAsia="Arial" w:hAnsi="Source Sans Pro Light" w:cs="Arial"/>
      <w:lang w:val="en-US"/>
      <w14:ligatures w14:val="none"/>
    </w:rPr>
  </w:style>
  <w:style w:type="character" w:customStyle="1" w:styleId="a5">
    <w:name w:val="本文 (文字)"/>
    <w:basedOn w:val="a1"/>
    <w:link w:val="a4"/>
    <w:uiPriority w:val="1"/>
    <w:rsid w:val="0081753B"/>
    <w:rPr>
      <w:rFonts w:ascii="Source Sans Pro Light" w:eastAsia="Arial" w:hAnsi="Source Sans Pro Light" w:cs="Arial"/>
      <w:kern w:val="0"/>
      <w:lang w:val="en-US"/>
      <w14:ligatures w14:val="none"/>
    </w:rPr>
  </w:style>
  <w:style w:type="paragraph" w:customStyle="1" w:styleId="Title2">
    <w:name w:val="Title 2"/>
    <w:basedOn w:val="Default"/>
    <w:autoRedefine/>
    <w:qFormat/>
    <w:rsid w:val="00904B27"/>
    <w:rPr>
      <w:color w:val="00AD67"/>
      <w:sz w:val="70"/>
      <w:szCs w:val="70"/>
    </w:rPr>
  </w:style>
  <w:style w:type="paragraph" w:customStyle="1" w:styleId="SubHeading1">
    <w:name w:val="Sub Heading 1"/>
    <w:autoRedefine/>
    <w:rsid w:val="003E23ED"/>
    <w:rPr>
      <w:rFonts w:ascii="Source Sans Pro SemiBold" w:eastAsiaTheme="majorEastAsia" w:hAnsi="Source Sans Pro SemiBold" w:cstheme="majorBidi"/>
      <w:b/>
      <w:color w:val="000000" w:themeColor="text1"/>
      <w:szCs w:val="28"/>
    </w:rPr>
  </w:style>
  <w:style w:type="character" w:styleId="a6">
    <w:name w:val="Strong"/>
    <w:basedOn w:val="a1"/>
    <w:uiPriority w:val="22"/>
    <w:rsid w:val="00DB6405"/>
    <w:rPr>
      <w:rFonts w:ascii="Arial" w:hAnsi="Arial"/>
      <w:b/>
      <w:bCs/>
      <w:sz w:val="18"/>
    </w:rPr>
  </w:style>
  <w:style w:type="character" w:customStyle="1" w:styleId="40">
    <w:name w:val="見出し 4 (文字)"/>
    <w:basedOn w:val="a1"/>
    <w:link w:val="4"/>
    <w:uiPriority w:val="9"/>
    <w:rsid w:val="00E2569F"/>
    <w:rPr>
      <w:rFonts w:ascii="Rational Display Book" w:hAnsi="Rational Display Book" w:cs="Rational Display Book"/>
      <w:b/>
      <w:bCs/>
      <w:color w:val="172254"/>
      <w:kern w:val="0"/>
      <w:sz w:val="22"/>
      <w:szCs w:val="22"/>
      <w:lang w:val="en-GB"/>
    </w:rPr>
  </w:style>
  <w:style w:type="character" w:customStyle="1" w:styleId="50">
    <w:name w:val="見出し 5 (文字)"/>
    <w:basedOn w:val="a1"/>
    <w:link w:val="5"/>
    <w:uiPriority w:val="9"/>
    <w:rsid w:val="00250108"/>
    <w:rPr>
      <w:rFonts w:ascii="Rational Display Book" w:hAnsi="Rational Display Book" w:cs="Rational Display Book"/>
      <w:b/>
      <w:bCs/>
      <w:color w:val="172254"/>
      <w:kern w:val="0"/>
      <w:sz w:val="18"/>
      <w:szCs w:val="18"/>
      <w:lang w:val="en-GB"/>
    </w:rPr>
  </w:style>
  <w:style w:type="character" w:customStyle="1" w:styleId="60">
    <w:name w:val="見出し 6 (文字)"/>
    <w:basedOn w:val="a1"/>
    <w:link w:val="6"/>
    <w:uiPriority w:val="9"/>
    <w:semiHidden/>
    <w:rsid w:val="00904B27"/>
    <w:rPr>
      <w:rFonts w:eastAsiaTheme="majorEastAsia" w:cstheme="majorBidi"/>
      <w:i/>
      <w:iCs/>
      <w:color w:val="595959" w:themeColor="text1" w:themeTint="A6"/>
    </w:rPr>
  </w:style>
  <w:style w:type="character" w:customStyle="1" w:styleId="70">
    <w:name w:val="見出し 7 (文字)"/>
    <w:basedOn w:val="a1"/>
    <w:link w:val="7"/>
    <w:uiPriority w:val="9"/>
    <w:semiHidden/>
    <w:rsid w:val="00904B27"/>
    <w:rPr>
      <w:rFonts w:eastAsiaTheme="majorEastAsia" w:cstheme="majorBidi"/>
      <w:color w:val="595959" w:themeColor="text1" w:themeTint="A6"/>
    </w:rPr>
  </w:style>
  <w:style w:type="character" w:customStyle="1" w:styleId="80">
    <w:name w:val="見出し 8 (文字)"/>
    <w:basedOn w:val="a1"/>
    <w:link w:val="8"/>
    <w:uiPriority w:val="9"/>
    <w:semiHidden/>
    <w:rsid w:val="00904B27"/>
    <w:rPr>
      <w:rFonts w:eastAsiaTheme="majorEastAsia" w:cstheme="majorBidi"/>
      <w:i/>
      <w:iCs/>
      <w:color w:val="272727" w:themeColor="text1" w:themeTint="D8"/>
    </w:rPr>
  </w:style>
  <w:style w:type="character" w:customStyle="1" w:styleId="90">
    <w:name w:val="見出し 9 (文字)"/>
    <w:basedOn w:val="a1"/>
    <w:link w:val="9"/>
    <w:uiPriority w:val="9"/>
    <w:semiHidden/>
    <w:rsid w:val="00904B27"/>
    <w:rPr>
      <w:rFonts w:eastAsiaTheme="majorEastAsia" w:cstheme="majorBidi"/>
      <w:color w:val="272727" w:themeColor="text1" w:themeTint="D8"/>
    </w:rPr>
  </w:style>
  <w:style w:type="paragraph" w:styleId="a7">
    <w:name w:val="Title"/>
    <w:basedOn w:val="a0"/>
    <w:next w:val="a0"/>
    <w:link w:val="a8"/>
    <w:uiPriority w:val="10"/>
    <w:rsid w:val="00904B27"/>
    <w:pPr>
      <w:spacing w:after="80"/>
    </w:pPr>
    <w:rPr>
      <w:rFonts w:asciiTheme="majorHAnsi" w:eastAsiaTheme="majorEastAsia" w:hAnsiTheme="majorHAnsi" w:cstheme="majorBidi"/>
      <w:spacing w:val="-10"/>
      <w:kern w:val="28"/>
      <w:sz w:val="56"/>
      <w:szCs w:val="56"/>
    </w:rPr>
  </w:style>
  <w:style w:type="character" w:customStyle="1" w:styleId="a8">
    <w:name w:val="表題 (文字)"/>
    <w:basedOn w:val="a1"/>
    <w:link w:val="a7"/>
    <w:uiPriority w:val="10"/>
    <w:rsid w:val="00904B27"/>
    <w:rPr>
      <w:rFonts w:asciiTheme="majorHAnsi" w:eastAsiaTheme="majorEastAsia" w:hAnsiTheme="majorHAnsi" w:cstheme="majorBidi"/>
      <w:spacing w:val="-10"/>
      <w:kern w:val="28"/>
      <w:sz w:val="56"/>
      <w:szCs w:val="56"/>
    </w:rPr>
  </w:style>
  <w:style w:type="paragraph" w:styleId="a9">
    <w:name w:val="Subtitle"/>
    <w:basedOn w:val="a0"/>
    <w:next w:val="a0"/>
    <w:link w:val="aa"/>
    <w:uiPriority w:val="11"/>
    <w:qFormat/>
    <w:rsid w:val="00904B27"/>
    <w:pPr>
      <w:spacing w:after="340"/>
    </w:pPr>
    <w:rPr>
      <w:color w:val="00AD67"/>
      <w:sz w:val="30"/>
      <w:szCs w:val="30"/>
    </w:rPr>
  </w:style>
  <w:style w:type="character" w:customStyle="1" w:styleId="aa">
    <w:name w:val="副題 (文字)"/>
    <w:basedOn w:val="a1"/>
    <w:link w:val="a9"/>
    <w:uiPriority w:val="11"/>
    <w:rsid w:val="00904B27"/>
    <w:rPr>
      <w:rFonts w:ascii="Rational Display Book" w:hAnsi="Rational Display Book" w:cs="Rational Display Book"/>
      <w:color w:val="00AD67"/>
      <w:kern w:val="0"/>
      <w:sz w:val="30"/>
      <w:szCs w:val="30"/>
      <w:lang w:val="en-GB"/>
    </w:rPr>
  </w:style>
  <w:style w:type="paragraph" w:styleId="ab">
    <w:name w:val="Quote"/>
    <w:basedOn w:val="a0"/>
    <w:next w:val="a0"/>
    <w:link w:val="ac"/>
    <w:uiPriority w:val="29"/>
    <w:qFormat/>
    <w:rsid w:val="00F82C05"/>
    <w:pPr>
      <w:spacing w:after="100" w:line="321" w:lineRule="atLeast"/>
      <w:ind w:left="560"/>
    </w:pPr>
    <w:rPr>
      <w:rFonts w:ascii="Rational Display ExtraLight" w:hAnsi="Rational Display ExtraLight" w:cs="Rational Display ExtraLight"/>
      <w:color w:val="2D6BEF"/>
      <w:sz w:val="32"/>
      <w:szCs w:val="32"/>
    </w:rPr>
  </w:style>
  <w:style w:type="character" w:customStyle="1" w:styleId="ac">
    <w:name w:val="引用文 (文字)"/>
    <w:basedOn w:val="a1"/>
    <w:link w:val="ab"/>
    <w:uiPriority w:val="29"/>
    <w:rsid w:val="00F82C05"/>
    <w:rPr>
      <w:rFonts w:ascii="Rational Display ExtraLight" w:hAnsi="Rational Display ExtraLight" w:cs="Rational Display ExtraLight"/>
      <w:color w:val="2D6BEF"/>
      <w:kern w:val="0"/>
      <w:sz w:val="32"/>
      <w:szCs w:val="32"/>
      <w:lang w:val="en-GB"/>
    </w:rPr>
  </w:style>
  <w:style w:type="character" w:styleId="22">
    <w:name w:val="Intense Emphasis"/>
    <w:basedOn w:val="a1"/>
    <w:uiPriority w:val="21"/>
    <w:rsid w:val="00904B27"/>
    <w:rPr>
      <w:i/>
      <w:iCs/>
      <w:color w:val="0F4761" w:themeColor="accent1" w:themeShade="BF"/>
    </w:rPr>
  </w:style>
  <w:style w:type="paragraph" w:styleId="23">
    <w:name w:val="Intense Quote"/>
    <w:basedOn w:val="a0"/>
    <w:next w:val="a0"/>
    <w:link w:val="24"/>
    <w:uiPriority w:val="30"/>
    <w:rsid w:val="00904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1"/>
    <w:link w:val="23"/>
    <w:uiPriority w:val="30"/>
    <w:rsid w:val="00904B27"/>
    <w:rPr>
      <w:i/>
      <w:iCs/>
      <w:color w:val="0F4761" w:themeColor="accent1" w:themeShade="BF"/>
    </w:rPr>
  </w:style>
  <w:style w:type="character" w:styleId="25">
    <w:name w:val="Intense Reference"/>
    <w:basedOn w:val="a1"/>
    <w:uiPriority w:val="32"/>
    <w:rsid w:val="00904B27"/>
    <w:rPr>
      <w:b/>
      <w:bCs/>
      <w:smallCaps/>
      <w:color w:val="0F4761" w:themeColor="accent1" w:themeShade="BF"/>
      <w:spacing w:val="5"/>
    </w:rPr>
  </w:style>
  <w:style w:type="paragraph" w:styleId="ad">
    <w:name w:val="header"/>
    <w:basedOn w:val="a0"/>
    <w:link w:val="ae"/>
    <w:uiPriority w:val="99"/>
    <w:unhideWhenUsed/>
    <w:rsid w:val="00904B27"/>
    <w:pPr>
      <w:tabs>
        <w:tab w:val="center" w:pos="4513"/>
        <w:tab w:val="right" w:pos="9026"/>
      </w:tabs>
    </w:pPr>
  </w:style>
  <w:style w:type="character" w:customStyle="1" w:styleId="ae">
    <w:name w:val="ヘッダー (文字)"/>
    <w:basedOn w:val="a1"/>
    <w:link w:val="ad"/>
    <w:uiPriority w:val="99"/>
    <w:rsid w:val="00904B27"/>
  </w:style>
  <w:style w:type="paragraph" w:styleId="af">
    <w:name w:val="footer"/>
    <w:basedOn w:val="a0"/>
    <w:link w:val="af0"/>
    <w:uiPriority w:val="99"/>
    <w:unhideWhenUsed/>
    <w:rsid w:val="00904B27"/>
    <w:pPr>
      <w:tabs>
        <w:tab w:val="center" w:pos="4513"/>
        <w:tab w:val="right" w:pos="9026"/>
      </w:tabs>
    </w:pPr>
  </w:style>
  <w:style w:type="character" w:customStyle="1" w:styleId="af0">
    <w:name w:val="フッター (文字)"/>
    <w:basedOn w:val="a1"/>
    <w:link w:val="af"/>
    <w:uiPriority w:val="99"/>
    <w:rsid w:val="00904B27"/>
  </w:style>
  <w:style w:type="paragraph" w:customStyle="1" w:styleId="Default">
    <w:name w:val="Default"/>
    <w:rsid w:val="00904B27"/>
    <w:pPr>
      <w:autoSpaceDE w:val="0"/>
      <w:autoSpaceDN w:val="0"/>
      <w:adjustRightInd w:val="0"/>
    </w:pPr>
    <w:rPr>
      <w:rFonts w:ascii="Rational Display Medium" w:hAnsi="Rational Display Medium" w:cs="Rational Display Medium"/>
      <w:color w:val="000000"/>
      <w:kern w:val="0"/>
      <w:lang w:val="en-GB"/>
    </w:rPr>
  </w:style>
  <w:style w:type="character" w:customStyle="1" w:styleId="A20">
    <w:name w:val="A2"/>
    <w:uiPriority w:val="99"/>
    <w:rsid w:val="00904B27"/>
    <w:rPr>
      <w:rFonts w:ascii="Rational Display Medium" w:hAnsi="Rational Display Medium" w:cs="Rational Display Medium"/>
      <w:color w:val="00AE67"/>
      <w:sz w:val="18"/>
      <w:szCs w:val="18"/>
    </w:rPr>
  </w:style>
  <w:style w:type="character" w:styleId="af1">
    <w:name w:val="Subtle Reference"/>
    <w:uiPriority w:val="31"/>
    <w:qFormat/>
    <w:rsid w:val="00904B27"/>
    <w:rPr>
      <w:color w:val="00AE67"/>
      <w:sz w:val="18"/>
      <w:szCs w:val="18"/>
    </w:rPr>
  </w:style>
  <w:style w:type="paragraph" w:customStyle="1" w:styleId="Pa7">
    <w:name w:val="Pa7"/>
    <w:basedOn w:val="Default"/>
    <w:next w:val="Default"/>
    <w:uiPriority w:val="99"/>
    <w:rsid w:val="00244E13"/>
    <w:pPr>
      <w:spacing w:line="181" w:lineRule="atLeast"/>
    </w:pPr>
    <w:rPr>
      <w:rFonts w:ascii="Rational Display Book" w:hAnsi="Rational Display Book" w:cstheme="minorBidi"/>
      <w:color w:val="auto"/>
    </w:rPr>
  </w:style>
  <w:style w:type="character" w:customStyle="1" w:styleId="A50">
    <w:name w:val="A5"/>
    <w:uiPriority w:val="99"/>
    <w:rsid w:val="00244E13"/>
    <w:rPr>
      <w:rFonts w:cs="Rational Display Book"/>
      <w:color w:val="172254"/>
      <w:sz w:val="18"/>
      <w:szCs w:val="18"/>
    </w:rPr>
  </w:style>
  <w:style w:type="numbering" w:customStyle="1" w:styleId="CurrentList1">
    <w:name w:val="Current List1"/>
    <w:uiPriority w:val="99"/>
    <w:rsid w:val="00244E13"/>
    <w:pPr>
      <w:numPr>
        <w:numId w:val="1"/>
      </w:numPr>
    </w:pPr>
  </w:style>
  <w:style w:type="numbering" w:customStyle="1" w:styleId="Threelevelliststyle">
    <w:name w:val="Three level list style"/>
    <w:uiPriority w:val="99"/>
    <w:rsid w:val="001701A8"/>
    <w:pPr>
      <w:numPr>
        <w:numId w:val="2"/>
      </w:numPr>
    </w:pPr>
  </w:style>
  <w:style w:type="paragraph" w:customStyle="1" w:styleId="Pa6">
    <w:name w:val="Pa6"/>
    <w:basedOn w:val="Default"/>
    <w:next w:val="Default"/>
    <w:uiPriority w:val="99"/>
    <w:rsid w:val="00D27B17"/>
    <w:pPr>
      <w:spacing w:line="281" w:lineRule="atLeast"/>
    </w:pPr>
    <w:rPr>
      <w:rFonts w:cstheme="minorBidi"/>
      <w:color w:val="auto"/>
    </w:rPr>
  </w:style>
  <w:style w:type="paragraph" w:customStyle="1" w:styleId="Pa11">
    <w:name w:val="Pa11"/>
    <w:basedOn w:val="Default"/>
    <w:next w:val="Default"/>
    <w:uiPriority w:val="99"/>
    <w:rsid w:val="00D27B17"/>
    <w:pPr>
      <w:spacing w:line="221" w:lineRule="atLeast"/>
    </w:pPr>
    <w:rPr>
      <w:rFonts w:cstheme="minorBidi"/>
      <w:color w:val="auto"/>
    </w:rPr>
  </w:style>
  <w:style w:type="paragraph" w:styleId="af2">
    <w:name w:val="List Bullet"/>
    <w:basedOn w:val="a"/>
    <w:uiPriority w:val="99"/>
    <w:unhideWhenUsed/>
    <w:rsid w:val="00D27B17"/>
  </w:style>
  <w:style w:type="character" w:styleId="af3">
    <w:name w:val="Mention"/>
    <w:basedOn w:val="a1"/>
    <w:uiPriority w:val="99"/>
    <w:unhideWhenUsed/>
    <w:rsid w:val="00D27B17"/>
    <w:rPr>
      <w:color w:val="2B579A"/>
      <w:shd w:val="clear" w:color="auto" w:fill="E1DFDD"/>
    </w:rPr>
  </w:style>
  <w:style w:type="paragraph" w:styleId="2">
    <w:name w:val="List Number 2"/>
    <w:aliases w:val="Bullet Style"/>
    <w:basedOn w:val="af2"/>
    <w:uiPriority w:val="99"/>
    <w:unhideWhenUsed/>
    <w:qFormat/>
    <w:rsid w:val="00D27B17"/>
    <w:pPr>
      <w:numPr>
        <w:numId w:val="3"/>
      </w:numPr>
    </w:pPr>
  </w:style>
  <w:style w:type="paragraph" w:customStyle="1" w:styleId="Pa15">
    <w:name w:val="Pa15"/>
    <w:basedOn w:val="Default"/>
    <w:next w:val="Default"/>
    <w:uiPriority w:val="99"/>
    <w:rsid w:val="00F82C05"/>
    <w:pPr>
      <w:spacing w:line="321" w:lineRule="atLeast"/>
    </w:pPr>
    <w:rPr>
      <w:rFonts w:ascii="Rational Display Book" w:hAnsi="Rational Display Book" w:cstheme="minorBidi"/>
      <w:color w:val="auto"/>
    </w:rPr>
  </w:style>
  <w:style w:type="table" w:styleId="af4">
    <w:name w:val="Table Grid"/>
    <w:basedOn w:val="a2"/>
    <w:uiPriority w:val="39"/>
    <w:rsid w:val="000D64E6"/>
    <w:rPr>
      <w:rFonts w:ascii="Rational Display Medium" w:hAnsi="Rational Display Medium"/>
      <w:sz w:val="20"/>
    </w:rPr>
    <w:tblPr/>
    <w:tblStylePr w:type="firstRow">
      <w:rPr>
        <w:rFonts w:ascii="Times New Roman (Body CS)" w:hAnsi="Times New Roman (Body CS)"/>
        <w:b w:val="0"/>
        <w:i w:val="0"/>
        <w:color w:val="FFFFFF" w:themeColor="background1"/>
        <w:sz w:val="20"/>
      </w:rPr>
      <w:tblPr/>
      <w:tcPr>
        <w:shd w:val="clear" w:color="auto" w:fill="00AF68"/>
      </w:tcPr>
    </w:tblStylePr>
  </w:style>
  <w:style w:type="table" w:styleId="41">
    <w:name w:val="Grid Table 4"/>
    <w:basedOn w:val="a2"/>
    <w:uiPriority w:val="49"/>
    <w:rsid w:val="00190D3B"/>
    <w:rPr>
      <w:rFonts w:cs="Times New Roman (Body CS)"/>
      <w:color w:val="FFFFFF" w:themeColor="background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DEC"/>
    </w:tcPr>
    <w:tblStylePr w:type="firstRow">
      <w:rPr>
        <w:rFonts w:ascii="Times New Roman (Body CS)" w:hAnsi="Times New Roman (Body CS)"/>
        <w:b/>
        <w:bCs/>
        <w:i w:val="0"/>
        <w:color w:val="FFFFFF" w:themeColor="background1"/>
        <w:sz w:val="20"/>
      </w:rPr>
      <w:tblPr/>
      <w:tcPr>
        <w:shd w:val="clear" w:color="auto" w:fill="00AF68"/>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CDCD8"/>
      </w:tcPr>
    </w:tblStylePr>
    <w:tblStylePr w:type="band2Horz">
      <w:tblPr/>
      <w:tcPr>
        <w:shd w:val="clear" w:color="auto" w:fill="E5E5E5"/>
      </w:tcPr>
    </w:tblStylePr>
  </w:style>
  <w:style w:type="table" w:styleId="3-5">
    <w:name w:val="Grid Table 3 Accent 5"/>
    <w:basedOn w:val="a2"/>
    <w:uiPriority w:val="48"/>
    <w:rsid w:val="000D64E6"/>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3-6">
    <w:name w:val="Grid Table 3 Accent 6"/>
    <w:basedOn w:val="a2"/>
    <w:uiPriority w:val="48"/>
    <w:rsid w:val="00190D3B"/>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4-1">
    <w:name w:val="Grid Table 4 Accent 1"/>
    <w:basedOn w:val="a2"/>
    <w:uiPriority w:val="49"/>
    <w:rsid w:val="00190D3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3-3">
    <w:name w:val="Grid Table 3 Accent 3"/>
    <w:basedOn w:val="a2"/>
    <w:uiPriority w:val="48"/>
    <w:rsid w:val="00190D3B"/>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3-2">
    <w:name w:val="Grid Table 3 Accent 2"/>
    <w:basedOn w:val="a2"/>
    <w:uiPriority w:val="48"/>
    <w:rsid w:val="00190D3B"/>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3-1">
    <w:name w:val="Grid Table 3 Accent 1"/>
    <w:basedOn w:val="a2"/>
    <w:uiPriority w:val="48"/>
    <w:rsid w:val="00190D3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31">
    <w:name w:val="Grid Table 3"/>
    <w:basedOn w:val="a2"/>
    <w:uiPriority w:val="48"/>
    <w:rsid w:val="00190D3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5-4">
    <w:name w:val="Grid Table 5 Dark Accent 4"/>
    <w:basedOn w:val="a2"/>
    <w:uiPriority w:val="50"/>
    <w:rsid w:val="00190D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5-3">
    <w:name w:val="Grid Table 5 Dark Accent 3"/>
    <w:basedOn w:val="a2"/>
    <w:uiPriority w:val="50"/>
    <w:rsid w:val="00190D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5-2">
    <w:name w:val="Grid Table 5 Dark Accent 2"/>
    <w:basedOn w:val="a2"/>
    <w:uiPriority w:val="50"/>
    <w:rsid w:val="00190D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5-1">
    <w:name w:val="Grid Table 5 Dark Accent 1"/>
    <w:basedOn w:val="a2"/>
    <w:uiPriority w:val="50"/>
    <w:rsid w:val="00190D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51">
    <w:name w:val="Grid Table 5 Dark"/>
    <w:basedOn w:val="a2"/>
    <w:uiPriority w:val="50"/>
    <w:rsid w:val="00190D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1">
    <w:name w:val="Style1"/>
    <w:basedOn w:val="a2"/>
    <w:uiPriority w:val="99"/>
    <w:rsid w:val="00190D3B"/>
    <w:tblPr/>
  </w:style>
  <w:style w:type="table" w:customStyle="1" w:styleId="Style2">
    <w:name w:val="Style2"/>
    <w:basedOn w:val="41"/>
    <w:uiPriority w:val="99"/>
    <w:rsid w:val="00190D3B"/>
    <w:tblPr/>
    <w:tblStylePr w:type="firstRow">
      <w:rPr>
        <w:rFonts w:ascii="Bahnschrift SemiCondensed" w:hAnsi="Bahnschrift SemiCondensed"/>
        <w:b/>
        <w:bCs/>
        <w:i w:val="0"/>
        <w:color w:val="FFFFFF" w:themeColor="background1"/>
        <w:sz w:val="20"/>
      </w:rPr>
      <w:tblPr/>
      <w:tcPr>
        <w:shd w:val="clear" w:color="auto" w:fill="2F6DF0"/>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CDCD8"/>
      </w:tcPr>
    </w:tblStylePr>
    <w:tblStylePr w:type="band2Horz">
      <w:tblPr/>
      <w:tcPr>
        <w:shd w:val="clear" w:color="auto" w:fill="E5E5E5"/>
      </w:tcPr>
    </w:tblStylePr>
  </w:style>
  <w:style w:type="table" w:customStyle="1" w:styleId="Style3">
    <w:name w:val="Style3"/>
    <w:basedOn w:val="41"/>
    <w:uiPriority w:val="99"/>
    <w:rsid w:val="00BC6968"/>
    <w:tblPr/>
    <w:tblStylePr w:type="firstRow">
      <w:rPr>
        <w:rFonts w:ascii="Bahnschrift SemiCondensed" w:hAnsi="Bahnschrift SemiCondensed"/>
        <w:b/>
        <w:bCs/>
        <w:i w:val="0"/>
        <w:color w:val="FFFFFF" w:themeColor="background1"/>
        <w:sz w:val="20"/>
      </w:rPr>
      <w:tblPr/>
      <w:tcPr>
        <w:shd w:val="clear" w:color="auto" w:fill="00AF68"/>
      </w:tcPr>
    </w:tblStylePr>
    <w:tblStylePr w:type="lastRow">
      <w:rPr>
        <w:b/>
        <w:bCs/>
      </w:rPr>
      <w:tblPr/>
      <w:tcPr>
        <w:tcBorders>
          <w:top w:val="double" w:sz="4" w:space="0" w:color="000000" w:themeColor="text1"/>
        </w:tcBorders>
      </w:tcPr>
    </w:tblStylePr>
    <w:tblStylePr w:type="firstCol">
      <w:rPr>
        <w:rFonts w:asciiTheme="majorHAnsi" w:hAnsiTheme="majorHAnsi"/>
        <w:b w:val="0"/>
        <w:bCs/>
        <w:color w:val="FFFFFF" w:themeColor="background1"/>
        <w:sz w:val="20"/>
      </w:rPr>
    </w:tblStylePr>
    <w:tblStylePr w:type="lastCol">
      <w:rPr>
        <w:b/>
        <w:bCs/>
      </w:rPr>
    </w:tblStylePr>
    <w:tblStylePr w:type="band1Vert">
      <w:tblPr/>
      <w:tcPr>
        <w:shd w:val="clear" w:color="auto" w:fill="CCCCCC" w:themeFill="text1" w:themeFillTint="33"/>
      </w:tcPr>
    </w:tblStylePr>
    <w:tblStylePr w:type="band1Horz">
      <w:tblPr/>
      <w:tcPr>
        <w:shd w:val="clear" w:color="auto" w:fill="DCDCD8"/>
      </w:tcPr>
    </w:tblStylePr>
    <w:tblStylePr w:type="band2Horz">
      <w:tblPr/>
      <w:tcPr>
        <w:shd w:val="clear" w:color="auto" w:fill="E5E5E5"/>
      </w:tcPr>
    </w:tblStylePr>
  </w:style>
  <w:style w:type="table" w:styleId="1-6">
    <w:name w:val="Grid Table 1 Light Accent 6"/>
    <w:basedOn w:val="a2"/>
    <w:uiPriority w:val="46"/>
    <w:rsid w:val="00190D3B"/>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paragraph" w:customStyle="1" w:styleId="Pa18">
    <w:name w:val="Pa18"/>
    <w:basedOn w:val="Default"/>
    <w:next w:val="Default"/>
    <w:uiPriority w:val="99"/>
    <w:rsid w:val="002E3794"/>
    <w:pPr>
      <w:spacing w:line="141" w:lineRule="atLeast"/>
    </w:pPr>
    <w:rPr>
      <w:rFonts w:ascii="Rational Display Book" w:hAnsi="Rational Display Book" w:cstheme="minorBidi"/>
      <w:color w:val="auto"/>
    </w:rPr>
  </w:style>
  <w:style w:type="paragraph" w:customStyle="1" w:styleId="Pa19">
    <w:name w:val="Pa19"/>
    <w:basedOn w:val="Default"/>
    <w:next w:val="Default"/>
    <w:uiPriority w:val="99"/>
    <w:rsid w:val="002E3794"/>
    <w:pPr>
      <w:spacing w:line="141" w:lineRule="atLeast"/>
    </w:pPr>
    <w:rPr>
      <w:rFonts w:ascii="Rational Display Book" w:hAnsi="Rational Display Book" w:cstheme="minorBidi"/>
      <w:color w:val="auto"/>
    </w:rPr>
  </w:style>
  <w:style w:type="paragraph" w:styleId="af5">
    <w:name w:val="No Spacing"/>
    <w:uiPriority w:val="1"/>
    <w:rsid w:val="00011C8F"/>
    <w:pPr>
      <w:autoSpaceDE w:val="0"/>
      <w:autoSpaceDN w:val="0"/>
      <w:adjustRightInd w:val="0"/>
      <w:contextualSpacing/>
    </w:pPr>
    <w:rPr>
      <w:rFonts w:ascii="Rational Display Book" w:hAnsi="Rational Display Book" w:cs="Rational Display Book"/>
      <w:color w:val="172254"/>
      <w:kern w:val="0"/>
      <w:sz w:val="18"/>
      <w:szCs w:val="18"/>
      <w:lang w:val="en-GB"/>
    </w:rPr>
  </w:style>
  <w:style w:type="numbering" w:customStyle="1" w:styleId="CurrentList2">
    <w:name w:val="Current List2"/>
    <w:uiPriority w:val="99"/>
    <w:rsid w:val="002920B7"/>
    <w:pPr>
      <w:numPr>
        <w:numId w:val="4"/>
      </w:numPr>
    </w:pPr>
  </w:style>
  <w:style w:type="numbering" w:customStyle="1" w:styleId="CurrentList3">
    <w:name w:val="Current List3"/>
    <w:uiPriority w:val="99"/>
    <w:rsid w:val="002920B7"/>
    <w:pPr>
      <w:numPr>
        <w:numId w:val="5"/>
      </w:numPr>
    </w:pPr>
  </w:style>
  <w:style w:type="numbering" w:customStyle="1" w:styleId="CurrentList4">
    <w:name w:val="Current List4"/>
    <w:uiPriority w:val="99"/>
    <w:rsid w:val="002920B7"/>
    <w:pPr>
      <w:numPr>
        <w:numId w:val="6"/>
      </w:numPr>
    </w:pPr>
  </w:style>
  <w:style w:type="numbering" w:customStyle="1" w:styleId="CurrentList5">
    <w:name w:val="Current List5"/>
    <w:uiPriority w:val="99"/>
    <w:rsid w:val="002920B7"/>
    <w:pPr>
      <w:numPr>
        <w:numId w:val="7"/>
      </w:numPr>
    </w:pPr>
  </w:style>
  <w:style w:type="numbering" w:customStyle="1" w:styleId="CurrentList6">
    <w:name w:val="Current List6"/>
    <w:uiPriority w:val="99"/>
    <w:rsid w:val="002920B7"/>
    <w:pPr>
      <w:numPr>
        <w:numId w:val="8"/>
      </w:numPr>
    </w:pPr>
  </w:style>
  <w:style w:type="numbering" w:customStyle="1" w:styleId="CurrentList7">
    <w:name w:val="Current List7"/>
    <w:uiPriority w:val="99"/>
    <w:rsid w:val="002920B7"/>
    <w:pPr>
      <w:numPr>
        <w:numId w:val="9"/>
      </w:numPr>
    </w:pPr>
  </w:style>
  <w:style w:type="numbering" w:customStyle="1" w:styleId="CurrentList8">
    <w:name w:val="Current List8"/>
    <w:uiPriority w:val="99"/>
    <w:rsid w:val="002920B7"/>
    <w:pPr>
      <w:numPr>
        <w:numId w:val="10"/>
      </w:numPr>
    </w:pPr>
  </w:style>
  <w:style w:type="numbering" w:customStyle="1" w:styleId="CurrentList9">
    <w:name w:val="Current List9"/>
    <w:uiPriority w:val="99"/>
    <w:rsid w:val="002920B7"/>
    <w:pPr>
      <w:numPr>
        <w:numId w:val="11"/>
      </w:numPr>
    </w:pPr>
  </w:style>
  <w:style w:type="numbering" w:customStyle="1" w:styleId="CurrentList10">
    <w:name w:val="Current List10"/>
    <w:uiPriority w:val="99"/>
    <w:rsid w:val="002920B7"/>
    <w:pPr>
      <w:numPr>
        <w:numId w:val="12"/>
      </w:numPr>
    </w:pPr>
  </w:style>
  <w:style w:type="numbering" w:customStyle="1" w:styleId="CurrentList11">
    <w:name w:val="Current List11"/>
    <w:uiPriority w:val="99"/>
    <w:rsid w:val="002920B7"/>
    <w:pPr>
      <w:numPr>
        <w:numId w:val="13"/>
      </w:numPr>
    </w:pPr>
  </w:style>
  <w:style w:type="numbering" w:customStyle="1" w:styleId="CurrentList12">
    <w:name w:val="Current List12"/>
    <w:uiPriority w:val="99"/>
    <w:rsid w:val="002920B7"/>
    <w:pPr>
      <w:numPr>
        <w:numId w:val="14"/>
      </w:numPr>
    </w:pPr>
  </w:style>
  <w:style w:type="numbering" w:customStyle="1" w:styleId="CurrentList13">
    <w:name w:val="Current List13"/>
    <w:uiPriority w:val="99"/>
    <w:rsid w:val="002920B7"/>
    <w:pPr>
      <w:numPr>
        <w:numId w:val="15"/>
      </w:numPr>
    </w:pPr>
  </w:style>
  <w:style w:type="paragraph" w:customStyle="1" w:styleId="Footer1">
    <w:name w:val="Footer 1"/>
    <w:basedOn w:val="a0"/>
    <w:qFormat/>
    <w:rsid w:val="00250108"/>
    <w:pPr>
      <w:spacing w:after="0"/>
    </w:pPr>
    <w:rPr>
      <w:color w:val="000000" w:themeColor="text1"/>
    </w:rPr>
  </w:style>
  <w:style w:type="character" w:styleId="af6">
    <w:name w:val="page number"/>
    <w:basedOn w:val="a1"/>
    <w:uiPriority w:val="99"/>
    <w:semiHidden/>
    <w:unhideWhenUsed/>
    <w:rsid w:val="00331239"/>
  </w:style>
  <w:style w:type="numbering" w:customStyle="1" w:styleId="CurrentList14">
    <w:name w:val="Current List14"/>
    <w:uiPriority w:val="99"/>
    <w:rsid w:val="00E2569F"/>
    <w:pPr>
      <w:numPr>
        <w:numId w:val="16"/>
      </w:numPr>
    </w:pPr>
  </w:style>
  <w:style w:type="numbering" w:customStyle="1" w:styleId="CurrentList15">
    <w:name w:val="Current List15"/>
    <w:uiPriority w:val="99"/>
    <w:rsid w:val="00E2569F"/>
    <w:pPr>
      <w:numPr>
        <w:numId w:val="17"/>
      </w:numPr>
    </w:pPr>
  </w:style>
  <w:style w:type="numbering" w:customStyle="1" w:styleId="CurrentList16">
    <w:name w:val="Current List16"/>
    <w:uiPriority w:val="99"/>
    <w:rsid w:val="00E2569F"/>
    <w:pPr>
      <w:numPr>
        <w:numId w:val="19"/>
      </w:numPr>
    </w:pPr>
  </w:style>
  <w:style w:type="paragraph" w:styleId="af7">
    <w:name w:val="endnote text"/>
    <w:basedOn w:val="a0"/>
    <w:uiPriority w:val="99"/>
    <w:semiHidden/>
    <w:unhideWhenUsed/>
    <w:rsid w:val="68A87195"/>
    <w:pPr>
      <w:spacing w:after="0" w:line="240" w:lineRule="auto"/>
    </w:pPr>
    <w:rPr>
      <w:sz w:val="20"/>
      <w:szCs w:val="20"/>
    </w:rPr>
  </w:style>
  <w:style w:type="character" w:styleId="af8">
    <w:name w:val="Hyperlink"/>
    <w:basedOn w:val="a1"/>
    <w:uiPriority w:val="99"/>
    <w:unhideWhenUsed/>
    <w:rsid w:val="68A87195"/>
    <w:rPr>
      <w:color w:val="467886"/>
      <w:u w:val="single"/>
    </w:rPr>
  </w:style>
  <w:style w:type="character" w:styleId="af9">
    <w:name w:val="endnote reference"/>
    <w:basedOn w:val="a1"/>
    <w:uiPriority w:val="99"/>
    <w:semiHidden/>
    <w:unhideWhenUsed/>
    <w:rPr>
      <w:vertAlign w:val="superscript"/>
    </w:rPr>
  </w:style>
  <w:style w:type="character" w:styleId="afa">
    <w:name w:val="FollowedHyperlink"/>
    <w:basedOn w:val="a1"/>
    <w:uiPriority w:val="99"/>
    <w:semiHidden/>
    <w:unhideWhenUsed/>
    <w:rsid w:val="002B6BA9"/>
    <w:rPr>
      <w:color w:val="96607D" w:themeColor="followedHyperlink"/>
      <w:u w:val="single"/>
    </w:rPr>
  </w:style>
  <w:style w:type="character" w:styleId="afb">
    <w:name w:val="Unresolved Mention"/>
    <w:basedOn w:val="a1"/>
    <w:uiPriority w:val="99"/>
    <w:semiHidden/>
    <w:unhideWhenUsed/>
    <w:rsid w:val="00137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manrights.gov.au/about-us/media-centre/media-releases/older-peoples-rights/joint-statement-on-the-human-rights-of-older-persons-in-australi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2e65b2-cf21-49c1-b27d-d23f90380c0e">
      <Terms xmlns="http://schemas.microsoft.com/office/infopath/2007/PartnerControls"/>
    </lcf76f155ced4ddcb4097134ff3c332f>
    <TaxCatchAll xmlns="985ec44e-1bab-4c0b-9df0-6ba128686fc9" xsi:nil="true"/>
    <AIcounter xmlns="d42e65b2-cf21-49c1-b27d-d23f90380c0e">1</AIcounter>
    <Category xmlns="d42e65b2-cf21-49c1-b27d-d23f90380c0e">CSOs</Category>
    <Filename xmlns="d42e65b2-cf21-49c1-b27d-d23f90380c0e" xsi:nil="true"/>
    <Doctype xmlns="d42e65b2-cf21-49c1-b27d-d23f90380c0e">input</Doctype>
    <Contributor xmlns="d42e65b2-cf21-49c1-b27d-d23f90380c0e">Australian Multicultural Health Collaborative</Contributor>
    <Status xmlns="d42e65b2-cf21-49c1-b27d-d23f90380c0e">Ready to publish</Status>
    <AItagger xmlns="d42e65b2-cf21-49c1-b27d-d23f90380c0e">false</AItagg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84833A-18C9-411C-A6A5-A1454CC7EF9C}">
  <ds:schemaRefs>
    <ds:schemaRef ds:uri="http://schemas.microsoft.com/sharepoint/v3/contenttype/forms"/>
  </ds:schemaRefs>
</ds:datastoreItem>
</file>

<file path=customXml/itemProps2.xml><?xml version="1.0" encoding="utf-8"?>
<ds:datastoreItem xmlns:ds="http://schemas.openxmlformats.org/officeDocument/2006/customXml" ds:itemID="{D8AA06DF-8347-4246-88CF-01DBC4ACA83F}">
  <ds:schemaRefs>
    <ds:schemaRef ds:uri="http://schemas.openxmlformats.org/officeDocument/2006/bibliography"/>
  </ds:schemaRefs>
</ds:datastoreItem>
</file>

<file path=customXml/itemProps3.xml><?xml version="1.0" encoding="utf-8"?>
<ds:datastoreItem xmlns:ds="http://schemas.openxmlformats.org/officeDocument/2006/customXml" ds:itemID="{F3F3D377-1A2E-40B8-8E3B-F790659E7398}">
  <ds:schemaRefs>
    <ds:schemaRef ds:uri="http://schemas.microsoft.com/office/2006/metadata/properties"/>
    <ds:schemaRef ds:uri="http://schemas.microsoft.com/office/infopath/2007/PartnerControls"/>
    <ds:schemaRef ds:uri="a1c85a48-0f52-4425-9c99-5eb54794f66e"/>
    <ds:schemaRef ds:uri="c576b6ca-61b1-4190-abf9-582cb043d9c4"/>
    <ds:schemaRef ds:uri="d42e65b2-cf21-49c1-b27d-d23f90380c0e"/>
    <ds:schemaRef ds:uri="985ec44e-1bab-4c0b-9df0-6ba128686fc9"/>
  </ds:schemaRefs>
</ds:datastoreItem>
</file>

<file path=customXml/itemProps4.xml><?xml version="1.0" encoding="utf-8"?>
<ds:datastoreItem xmlns:ds="http://schemas.openxmlformats.org/officeDocument/2006/customXml" ds:itemID="{BDF35764-1005-437C-BA9C-DDFA7315E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8095</Words>
  <Characters>584</Characters>
  <Application>Microsoft Office Word</Application>
  <DocSecurity>0</DocSecurity>
  <Lines>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CharactersWithSpaces>
  <SharedDoc>false</SharedDoc>
  <HLinks>
    <vt:vector size="54" baseType="variant">
      <vt:variant>
        <vt:i4>5242902</vt:i4>
      </vt:variant>
      <vt:variant>
        <vt:i4>24</vt:i4>
      </vt:variant>
      <vt:variant>
        <vt:i4>0</vt:i4>
      </vt:variant>
      <vt:variant>
        <vt:i4>5</vt:i4>
      </vt:variant>
      <vt:variant>
        <vt:lpwstr>https://consult.abs.gov.au/statistical-standards-and-infrastructure/2025-minor-review-of-ascceg-consultation-round-2/</vt:lpwstr>
      </vt:variant>
      <vt:variant>
        <vt:lpwstr/>
      </vt:variant>
      <vt:variant>
        <vt:i4>2621563</vt:i4>
      </vt:variant>
      <vt:variant>
        <vt:i4>21</vt:i4>
      </vt:variant>
      <vt:variant>
        <vt:i4>0</vt:i4>
      </vt:variant>
      <vt:variant>
        <vt:i4>5</vt:i4>
      </vt:variant>
      <vt:variant>
        <vt:lpwstr>https://consult.abs.gov.au/statistical-standards-and-infrastructure/2025-minor-review-of-ascceg-consultation-round-2/</vt:lpwstr>
      </vt:variant>
      <vt:variant>
        <vt:lpwstr>:~:text=In%20April%202025%2C%20the%20ABS,data%20analysis%20and%20decision%20making</vt:lpwstr>
      </vt:variant>
      <vt:variant>
        <vt:i4>5767191</vt:i4>
      </vt:variant>
      <vt:variant>
        <vt:i4>18</vt:i4>
      </vt:variant>
      <vt:variant>
        <vt:i4>0</vt:i4>
      </vt:variant>
      <vt:variant>
        <vt:i4>5</vt:i4>
      </vt:variant>
      <vt:variant>
        <vt:lpwstr>https://fecca.org.au/updates/submission-regarding-measuring-what-matters/</vt:lpwstr>
      </vt:variant>
      <vt:variant>
        <vt:lpwstr/>
      </vt:variant>
      <vt:variant>
        <vt:i4>2359330</vt:i4>
      </vt:variant>
      <vt:variant>
        <vt:i4>15</vt:i4>
      </vt:variant>
      <vt:variant>
        <vt:i4>0</vt:i4>
      </vt:variant>
      <vt:variant>
        <vt:i4>5</vt:i4>
      </vt:variant>
      <vt:variant>
        <vt:lpwstr>https://fecca.org.au/updates/if-we-dont-count-it-it-doesnt-count-2/</vt:lpwstr>
      </vt:variant>
      <vt:variant>
        <vt:lpwstr/>
      </vt:variant>
      <vt:variant>
        <vt:i4>5767245</vt:i4>
      </vt:variant>
      <vt:variant>
        <vt:i4>12</vt:i4>
      </vt:variant>
      <vt:variant>
        <vt:i4>0</vt:i4>
      </vt:variant>
      <vt:variant>
        <vt:i4>5</vt:i4>
      </vt:variant>
      <vt:variant>
        <vt:lpwstr>https://fecca.org.au/updates/if-we-dont-count-it-it-doesnt-count-2/</vt:lpwstr>
      </vt:variant>
      <vt:variant>
        <vt:lpwstr>:~:text=FECCA%20highlights%20the%20need%20for,collection%20reflects%20Australia%E2%80%99s%20growing%20diversity</vt:lpwstr>
      </vt:variant>
      <vt:variant>
        <vt:i4>2621563</vt:i4>
      </vt:variant>
      <vt:variant>
        <vt:i4>9</vt:i4>
      </vt:variant>
      <vt:variant>
        <vt:i4>0</vt:i4>
      </vt:variant>
      <vt:variant>
        <vt:i4>5</vt:i4>
      </vt:variant>
      <vt:variant>
        <vt:lpwstr>https://consult.abs.gov.au/statistical-standards-and-infrastructure/2025-minor-review-of-ascceg-consultation-round-2/</vt:lpwstr>
      </vt:variant>
      <vt:variant>
        <vt:lpwstr>:~:text=In%20April%202025%2C%20the%20ABS,data%20analysis%20and%20decision%20making</vt:lpwstr>
      </vt:variant>
      <vt:variant>
        <vt:i4>6160469</vt:i4>
      </vt:variant>
      <vt:variant>
        <vt:i4>6</vt:i4>
      </vt:variant>
      <vt:variant>
        <vt:i4>0</vt:i4>
      </vt:variant>
      <vt:variant>
        <vt:i4>5</vt:i4>
      </vt:variant>
      <vt:variant>
        <vt:lpwstr>https://fecca.org.au/updates/if-we-dont-count-it-it-doesnt-count-2/</vt:lpwstr>
      </vt:variant>
      <vt:variant>
        <vt:lpwstr>:~:text=updating%20outdated%20frameworks%20like%20the,collection%20reflects%20Australia%E2%80%99s%20growing%20diversity</vt:lpwstr>
      </vt:variant>
      <vt:variant>
        <vt:i4>524302</vt:i4>
      </vt:variant>
      <vt:variant>
        <vt:i4>3</vt:i4>
      </vt:variant>
      <vt:variant>
        <vt:i4>0</vt:i4>
      </vt:variant>
      <vt:variant>
        <vt:i4>5</vt:i4>
      </vt:variant>
      <vt:variant>
        <vt:lpwstr>https://fecca.org.au/updates/if-we-dont-count-it-it-doesnt-count-2/</vt:lpwstr>
      </vt:variant>
      <vt:variant>
        <vt:lpwstr>:~:text=FECCA%20highlights%20the%20need%20for,recommendations%20include%20revising%20survey%20methodologies</vt:lpwstr>
      </vt:variant>
      <vt:variant>
        <vt:i4>5767245</vt:i4>
      </vt:variant>
      <vt:variant>
        <vt:i4>0</vt:i4>
      </vt:variant>
      <vt:variant>
        <vt:i4>0</vt:i4>
      </vt:variant>
      <vt:variant>
        <vt:i4>5</vt:i4>
      </vt:variant>
      <vt:variant>
        <vt:lpwstr>https://fecca.org.au/updates/if-we-dont-count-it-it-doesnt-count-2/</vt:lpwstr>
      </vt:variant>
      <vt:variant>
        <vt:lpwstr>:~:text=FECCA%20highlights%20the%20need%20for,collection%20reflects%20Australia%E2%80%99s%20growing%20diversity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Rowe</dc:creator>
  <cp:keywords>, docId:AD092B7A473E068A55FF49ABABFD53BF</cp:keywords>
  <dc:description/>
  <cp:lastModifiedBy>久夫 佐藤</cp:lastModifiedBy>
  <cp:revision>2</cp:revision>
  <cp:lastPrinted>2025-01-29T13:10:00Z</cp:lastPrinted>
  <dcterms:created xsi:type="dcterms:W3CDTF">2026-07-10T10:36:00Z</dcterms:created>
  <dcterms:modified xsi:type="dcterms:W3CDTF">2026-07-10T10:36:00Z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9a950fc17630486371400b77eb1d54f1f9d19119fa7348d2e78e597c5b6e99ad</vt:lpwstr>
  </property>
  <property fmtid="{D5CDD505-2E9C-101B-9397-08002B2CF9AE}" pid="3" name="ContentTypeId">
    <vt:lpwstr>0x0101009D953D6983EF5F4EB0B6A5354F975E96</vt:lpwstr>
  </property>
  <property fmtid="{D5CDD505-2E9C-101B-9397-08002B2CF9AE}" pid="4" name="MediaServiceImageTags">
    <vt:lpwstr/>
  </property>
</Properties>
</file>