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9E6E1" w14:textId="414E486C" w:rsidR="00DD35D8" w:rsidRPr="009B6167" w:rsidRDefault="00DD35D8" w:rsidP="00FA6C77">
      <w:pPr>
        <w:widowControl/>
        <w:jc w:val="left"/>
        <w:rPr>
          <w:rFonts w:ascii="BIZ UDPゴシック" w:eastAsia="BIZ UDPゴシック" w:hAnsi="BIZ UDPゴシック" w:cs="ＭＳ Ｐゴシック"/>
          <w:b/>
          <w:bCs/>
          <w:kern w:val="0"/>
          <w:sz w:val="24"/>
          <w:szCs w:val="24"/>
          <w:lang w:val="en-US" w:eastAsia="ja-JP"/>
          <w14:ligatures w14:val="none"/>
        </w:rPr>
      </w:pPr>
      <w:r w:rsidRPr="009B6167">
        <w:rPr>
          <w:rFonts w:ascii="BIZ UDPゴシック" w:eastAsia="BIZ UDPゴシック" w:hAnsi="BIZ UDPゴシック" w:cs="ＭＳ Ｐゴシック" w:hint="eastAsia"/>
          <w:b/>
          <w:bCs/>
          <w:kern w:val="0"/>
          <w:sz w:val="24"/>
          <w:szCs w:val="24"/>
          <w:lang w:val="en-US" w:eastAsia="ja-JP"/>
          <w14:ligatures w14:val="none"/>
        </w:rPr>
        <w:t xml:space="preserve">110　</w:t>
      </w:r>
      <w:r w:rsidRPr="009B6167">
        <w:rPr>
          <w:rFonts w:ascii="BIZ UDPゴシック" w:eastAsia="BIZ UDPゴシック" w:hAnsi="BIZ UDPゴシック" w:cs="ＭＳ Ｐゴシック"/>
          <w:b/>
          <w:bCs/>
          <w:kern w:val="0"/>
          <w:sz w:val="24"/>
          <w:szCs w:val="24"/>
          <w:lang w:val="en-US" w:eastAsia="ja-JP"/>
          <w14:ligatures w14:val="none"/>
        </w:rPr>
        <w:t>ヒューマン・ライツ・ウォッチによる</w:t>
      </w:r>
    </w:p>
    <w:p w14:paraId="62205F0B" w14:textId="5F9E168A" w:rsidR="00DD35D8" w:rsidRPr="009B6167" w:rsidRDefault="00DD35D8" w:rsidP="00FA6C77">
      <w:pPr>
        <w:widowControl/>
        <w:jc w:val="left"/>
        <w:rPr>
          <w:rFonts w:ascii="BIZ UDPゴシック" w:eastAsia="BIZ UDPゴシック" w:hAnsi="BIZ UDPゴシック" w:cs="ＭＳ Ｐゴシック"/>
          <w:kern w:val="0"/>
          <w:sz w:val="24"/>
          <w:szCs w:val="24"/>
          <w:lang w:val="en-US" w:eastAsia="ja-JP"/>
          <w14:ligatures w14:val="none"/>
        </w:rPr>
      </w:pPr>
      <w:r w:rsidRPr="009B6167">
        <w:rPr>
          <w:rFonts w:ascii="BIZ UDPゴシック" w:eastAsia="BIZ UDPゴシック" w:hAnsi="BIZ UDPゴシック" w:cs="ＭＳ Ｐゴシック"/>
          <w:b/>
          <w:bCs/>
          <w:kern w:val="0"/>
          <w:sz w:val="24"/>
          <w:szCs w:val="24"/>
          <w:lang w:val="en-US" w:eastAsia="ja-JP"/>
          <w14:ligatures w14:val="none"/>
        </w:rPr>
        <w:t>「高齢者に関する政府間作業部会」</w:t>
      </w:r>
      <w:r w:rsidR="003E40BE">
        <w:rPr>
          <w:rFonts w:ascii="BIZ UDPゴシック" w:eastAsia="BIZ UDPゴシック" w:hAnsi="BIZ UDPゴシック" w:cs="ＭＳ Ｐゴシック" w:hint="eastAsia"/>
          <w:b/>
          <w:bCs/>
          <w:kern w:val="0"/>
          <w:sz w:val="24"/>
          <w:szCs w:val="24"/>
          <w:lang w:val="en-US" w:eastAsia="ja-JP"/>
          <w14:ligatures w14:val="none"/>
        </w:rPr>
        <w:t>(IGWG)</w:t>
      </w:r>
      <w:r w:rsidRPr="009B6167">
        <w:rPr>
          <w:rFonts w:ascii="BIZ UDPゴシック" w:eastAsia="BIZ UDPゴシック" w:hAnsi="BIZ UDPゴシック" w:cs="ＭＳ Ｐゴシック"/>
          <w:b/>
          <w:bCs/>
          <w:kern w:val="0"/>
          <w:sz w:val="24"/>
          <w:szCs w:val="24"/>
          <w:lang w:val="en-US" w:eastAsia="ja-JP"/>
          <w14:ligatures w14:val="none"/>
        </w:rPr>
        <w:t>への提出文書</w:t>
      </w:r>
    </w:p>
    <w:p w14:paraId="6B0EE3EF" w14:textId="77777777" w:rsidR="00DD35D8" w:rsidRDefault="00DD35D8" w:rsidP="00FA6C77">
      <w:pPr>
        <w:widowControl/>
        <w:jc w:val="left"/>
        <w:rPr>
          <w:rFonts w:ascii="BIZ UDPゴシック" w:eastAsia="BIZ UDPゴシック" w:hAnsi="BIZ UDPゴシック" w:cs="ＭＳ Ｐゴシック"/>
          <w:kern w:val="0"/>
          <w:szCs w:val="21"/>
          <w:lang w:val="en-US" w:eastAsia="ja-JP"/>
          <w14:ligatures w14:val="none"/>
        </w:rPr>
      </w:pPr>
      <w:r w:rsidRPr="00EB3102">
        <w:rPr>
          <w:rFonts w:ascii="BIZ UDPゴシック" w:eastAsia="BIZ UDPゴシック" w:hAnsi="BIZ UDPゴシック" w:cs="ＭＳ Ｐゴシック"/>
          <w:kern w:val="0"/>
          <w:szCs w:val="21"/>
          <w:lang w:val="en-US" w:eastAsia="ja-JP"/>
          <w14:ligatures w14:val="none"/>
        </w:rPr>
        <w:t>2026年4月22日</w:t>
      </w:r>
    </w:p>
    <w:p w14:paraId="2B651331" w14:textId="77777777" w:rsidR="00F261BE" w:rsidRPr="00EB3102" w:rsidRDefault="00F261BE" w:rsidP="00FA6C77">
      <w:pPr>
        <w:widowControl/>
        <w:jc w:val="left"/>
        <w:rPr>
          <w:rFonts w:ascii="BIZ UDPゴシック" w:eastAsia="BIZ UDPゴシック" w:hAnsi="BIZ UDPゴシック" w:cs="ＭＳ Ｐゴシック"/>
          <w:kern w:val="0"/>
          <w:szCs w:val="21"/>
          <w:lang w:val="en-US" w:eastAsia="ja-JP"/>
          <w14:ligatures w14:val="none"/>
        </w:rPr>
      </w:pPr>
    </w:p>
    <w:p w14:paraId="1C442CD5" w14:textId="77777777" w:rsidR="006D54FE" w:rsidRDefault="00DD35D8" w:rsidP="00FA6C77">
      <w:pPr>
        <w:widowControl/>
        <w:jc w:val="center"/>
        <w:rPr>
          <w:rFonts w:ascii="BIZ UDPゴシック" w:eastAsia="BIZ UDPゴシック" w:hAnsi="BIZ UDPゴシック" w:cs="ＭＳ Ｐゴシック"/>
          <w:b/>
          <w:bCs/>
          <w:kern w:val="0"/>
          <w:sz w:val="24"/>
          <w:szCs w:val="24"/>
          <w:lang w:val="en-US" w:eastAsia="ja-JP"/>
          <w14:ligatures w14:val="none"/>
        </w:rPr>
      </w:pPr>
      <w:r w:rsidRPr="009B6167">
        <w:rPr>
          <w:rFonts w:ascii="BIZ UDPゴシック" w:eastAsia="BIZ UDPゴシック" w:hAnsi="BIZ UDPゴシック" w:cs="ＭＳ Ｐゴシック"/>
          <w:b/>
          <w:bCs/>
          <w:kern w:val="0"/>
          <w:sz w:val="24"/>
          <w:szCs w:val="24"/>
          <w:lang w:val="en-US" w:eastAsia="ja-JP"/>
          <w14:ligatures w14:val="none"/>
        </w:rPr>
        <w:t>高齢者の人権に関する法的拘束力のある文書の</w:t>
      </w:r>
    </w:p>
    <w:p w14:paraId="19B50D7A" w14:textId="5A02109D" w:rsidR="00DD35D8" w:rsidRPr="009B6167" w:rsidRDefault="00DD35D8" w:rsidP="00FA6C77">
      <w:pPr>
        <w:widowControl/>
        <w:jc w:val="center"/>
        <w:rPr>
          <w:rFonts w:ascii="BIZ UDPゴシック" w:eastAsia="BIZ UDPゴシック" w:hAnsi="BIZ UDPゴシック" w:cs="ＭＳ Ｐゴシック"/>
          <w:kern w:val="0"/>
          <w:sz w:val="24"/>
          <w:szCs w:val="24"/>
          <w:lang w:val="en-US" w:eastAsia="ja-JP"/>
          <w14:ligatures w14:val="none"/>
        </w:rPr>
      </w:pPr>
      <w:r w:rsidRPr="009B6167">
        <w:rPr>
          <w:rFonts w:ascii="BIZ UDPゴシック" w:eastAsia="BIZ UDPゴシック" w:hAnsi="BIZ UDPゴシック" w:cs="ＭＳ Ｐゴシック"/>
          <w:b/>
          <w:bCs/>
          <w:kern w:val="0"/>
          <w:sz w:val="24"/>
          <w:szCs w:val="24"/>
          <w:lang w:val="en-US" w:eastAsia="ja-JP"/>
          <w14:ligatures w14:val="none"/>
        </w:rPr>
        <w:t>一般的な枠組み、構成、および指針となる原則</w:t>
      </w:r>
    </w:p>
    <w:p w14:paraId="50EB78FF" w14:textId="77777777" w:rsidR="00DD35D8" w:rsidRPr="00BA55AA" w:rsidRDefault="00DD35D8" w:rsidP="00DD35D8">
      <w:pPr>
        <w:widowControl/>
        <w:spacing w:before="100" w:beforeAutospacing="1" w:after="100" w:afterAutospacing="1"/>
        <w:jc w:val="left"/>
        <w:rPr>
          <w:rFonts w:ascii="BIZ UDPゴシック" w:eastAsia="BIZ UDPゴシック" w:hAnsi="BIZ UDPゴシック" w:cs="ＭＳ Ｐゴシック"/>
          <w:kern w:val="0"/>
          <w:sz w:val="24"/>
          <w:szCs w:val="24"/>
          <w:lang w:val="en-US" w:eastAsia="ja-JP"/>
          <w14:ligatures w14:val="none"/>
        </w:rPr>
      </w:pPr>
      <w:r w:rsidRPr="00BA55AA">
        <w:rPr>
          <w:rFonts w:ascii="BIZ UDPゴシック" w:eastAsia="BIZ UDPゴシック" w:hAnsi="BIZ UDPゴシック" w:cs="ＭＳ Ｐゴシック"/>
          <w:kern w:val="0"/>
          <w:sz w:val="24"/>
          <w:szCs w:val="24"/>
          <w:lang w:val="en-US" w:eastAsia="ja-JP"/>
          <w14:ligatures w14:val="none"/>
        </w:rPr>
        <w:t>はじめに</w:t>
      </w:r>
    </w:p>
    <w:p w14:paraId="786B6EAA" w14:textId="66946ABC"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4F0FBE">
        <w:rPr>
          <w:rFonts w:ascii="ＭＳ 明朝" w:eastAsia="ＭＳ 明朝" w:hAnsi="ＭＳ 明朝" w:cs="ＭＳ Ｐゴシック"/>
          <w:color w:val="000000" w:themeColor="text1"/>
          <w:kern w:val="0"/>
          <w:szCs w:val="21"/>
          <w:lang w:val="en-US" w:eastAsia="ja-JP"/>
          <w14:ligatures w14:val="none"/>
        </w:rPr>
        <w:t>高齢者の人権に関する国際条</w:t>
      </w:r>
      <w:r w:rsidRPr="003E40BE">
        <w:rPr>
          <w:rFonts w:ascii="ＭＳ 明朝" w:eastAsia="ＭＳ 明朝" w:hAnsi="ＭＳ 明朝" w:cs="ＭＳ Ｐゴシック"/>
          <w:kern w:val="0"/>
          <w:szCs w:val="21"/>
          <w:lang w:val="en-US" w:eastAsia="ja-JP"/>
          <w14:ligatures w14:val="none"/>
        </w:rPr>
        <w:t>約の策定を目指すという国連人権理事会の決定は、高齢者</w:t>
      </w:r>
      <w:r w:rsidRPr="009B6167">
        <w:rPr>
          <w:rFonts w:ascii="ＭＳ 明朝" w:eastAsia="ＭＳ 明朝" w:hAnsi="ＭＳ 明朝" w:cs="ＭＳ Ｐゴシック"/>
          <w:kern w:val="0"/>
          <w:szCs w:val="21"/>
          <w:lang w:val="en-US" w:eastAsia="ja-JP"/>
          <w14:ligatures w14:val="none"/>
        </w:rPr>
        <w:t>がすべての人権を十分に享受するための国際基準を成文化し、その欠落を補う機会を生み出し、</w:t>
      </w:r>
      <w:r w:rsidR="00D62751">
        <w:rPr>
          <w:rFonts w:ascii="ＭＳ 明朝" w:eastAsia="ＭＳ 明朝" w:hAnsi="ＭＳ 明朝" w:cs="ＭＳ Ｐゴシック" w:hint="eastAsia"/>
          <w:kern w:val="0"/>
          <w:szCs w:val="21"/>
          <w:lang w:val="en-US" w:eastAsia="ja-JP"/>
          <w14:ligatures w14:val="none"/>
        </w:rPr>
        <w:t>エイジズムと</w:t>
      </w:r>
      <w:r w:rsidRPr="009B6167">
        <w:rPr>
          <w:rFonts w:ascii="ＭＳ 明朝" w:eastAsia="ＭＳ 明朝" w:hAnsi="ＭＳ 明朝" w:cs="ＭＳ Ｐゴシック"/>
          <w:kern w:val="0"/>
          <w:szCs w:val="21"/>
          <w:lang w:val="en-US" w:eastAsia="ja-JP"/>
          <w14:ligatures w14:val="none"/>
        </w:rPr>
        <w:t>年齢</w:t>
      </w:r>
      <w:r w:rsidR="00D62751">
        <w:rPr>
          <w:rFonts w:ascii="ＭＳ 明朝" w:eastAsia="ＭＳ 明朝" w:hAnsi="ＭＳ 明朝" w:cs="ＭＳ Ｐゴシック" w:hint="eastAsia"/>
          <w:kern w:val="0"/>
          <w:szCs w:val="21"/>
          <w:lang w:val="en-US" w:eastAsia="ja-JP"/>
          <w14:ligatures w14:val="none"/>
        </w:rPr>
        <w:t>による</w:t>
      </w:r>
      <w:r w:rsidRPr="009B6167">
        <w:rPr>
          <w:rFonts w:ascii="ＭＳ 明朝" w:eastAsia="ＭＳ 明朝" w:hAnsi="ＭＳ 明朝" w:cs="ＭＳ Ｐゴシック"/>
          <w:kern w:val="0"/>
          <w:szCs w:val="21"/>
          <w:lang w:val="en-US" w:eastAsia="ja-JP"/>
          <w14:ligatures w14:val="none"/>
        </w:rPr>
        <w:t>差別のない世界のための枠組みを提供するものである</w:t>
      </w:r>
      <w:r w:rsidR="00B71852">
        <w:rPr>
          <w:rStyle w:val="af2"/>
          <w:rFonts w:ascii="ＭＳ 明朝" w:eastAsia="ＭＳ 明朝" w:hAnsi="ＭＳ 明朝" w:cs="ＭＳ Ｐゴシック"/>
          <w:kern w:val="0"/>
          <w:szCs w:val="21"/>
          <w:lang w:val="en-US" w:eastAsia="ja-JP"/>
          <w14:ligatures w14:val="none"/>
        </w:rPr>
        <w:footnoteReference w:id="1"/>
      </w:r>
      <w:r w:rsidRPr="009B6167">
        <w:rPr>
          <w:rFonts w:ascii="ＭＳ 明朝" w:eastAsia="ＭＳ 明朝" w:hAnsi="ＭＳ 明朝" w:cs="ＭＳ Ｐゴシック"/>
          <w:kern w:val="0"/>
          <w:szCs w:val="21"/>
          <w:lang w:val="en-US" w:eastAsia="ja-JP"/>
          <w14:ligatures w14:val="none"/>
        </w:rPr>
        <w:t xml:space="preserve">。 </w:t>
      </w:r>
    </w:p>
    <w:p w14:paraId="4C815D61" w14:textId="5307C8AE"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ヒューマン・ライツ・ウォッチ</w:t>
      </w:r>
      <w:r w:rsidR="00A35916">
        <w:rPr>
          <w:rFonts w:ascii="ＭＳ 明朝" w:eastAsia="ＭＳ 明朝" w:hAnsi="ＭＳ 明朝" w:cs="ＭＳ Ｐゴシック" w:hint="eastAsia"/>
          <w:kern w:val="0"/>
          <w:szCs w:val="21"/>
          <w:lang w:val="en-US" w:eastAsia="ja-JP"/>
          <w14:ligatures w14:val="none"/>
        </w:rPr>
        <w:t>（HRW</w:t>
      </w:r>
      <w:r w:rsidR="00A35916">
        <w:rPr>
          <w:rFonts w:ascii="ＭＳ 明朝" w:eastAsia="ＭＳ 明朝" w:hAnsi="ＭＳ 明朝" w:cs="ＭＳ Ｐゴシック"/>
          <w:kern w:val="0"/>
          <w:szCs w:val="21"/>
          <w:lang w:val="en-US" w:eastAsia="ja-JP"/>
          <w14:ligatures w14:val="none"/>
        </w:rPr>
        <w:t>）</w:t>
      </w:r>
      <w:r w:rsidRPr="009B6167">
        <w:rPr>
          <w:rFonts w:ascii="ＭＳ 明朝" w:eastAsia="ＭＳ 明朝" w:hAnsi="ＭＳ 明朝" w:cs="ＭＳ Ｐゴシック"/>
          <w:kern w:val="0"/>
          <w:szCs w:val="21"/>
          <w:lang w:val="en-US" w:eastAsia="ja-JP"/>
          <w14:ligatures w14:val="none"/>
        </w:rPr>
        <w:t>は、高齢者に対する広範な人権侵害の実態を記録してきた</w:t>
      </w:r>
      <w:r w:rsidR="0027352B">
        <w:rPr>
          <w:rStyle w:val="af2"/>
          <w:rFonts w:ascii="ＭＳ 明朝" w:eastAsia="ＭＳ 明朝" w:hAnsi="ＭＳ 明朝" w:cs="ＭＳ Ｐゴシック"/>
          <w:kern w:val="0"/>
          <w:szCs w:val="21"/>
          <w:lang w:val="en-US" w:eastAsia="ja-JP"/>
          <w14:ligatures w14:val="none"/>
        </w:rPr>
        <w:footnoteReference w:id="2"/>
      </w:r>
      <w:r w:rsidRPr="009B6167">
        <w:rPr>
          <w:rFonts w:ascii="ＭＳ 明朝" w:eastAsia="ＭＳ 明朝" w:hAnsi="ＭＳ 明朝" w:cs="ＭＳ Ｐゴシック"/>
          <w:kern w:val="0"/>
          <w:szCs w:val="21"/>
          <w:lang w:val="en-US" w:eastAsia="ja-JP"/>
          <w14:ligatures w14:val="none"/>
        </w:rPr>
        <w:t>。こうした調査結果に基づき、</w:t>
      </w:r>
      <w:r w:rsidR="0093243E">
        <w:rPr>
          <w:rFonts w:ascii="ＭＳ 明朝" w:eastAsia="ＭＳ 明朝" w:hAnsi="ＭＳ 明朝" w:cs="ＭＳ Ｐゴシック" w:hint="eastAsia"/>
          <w:kern w:val="0"/>
          <w:szCs w:val="21"/>
          <w:lang w:val="en-US" w:eastAsia="ja-JP"/>
          <w14:ligatures w14:val="none"/>
        </w:rPr>
        <w:t>HRW</w:t>
      </w:r>
      <w:r w:rsidRPr="009B6167">
        <w:rPr>
          <w:rFonts w:ascii="ＭＳ 明朝" w:eastAsia="ＭＳ 明朝" w:hAnsi="ＭＳ 明朝" w:cs="ＭＳ Ｐゴシック"/>
          <w:kern w:val="0"/>
          <w:szCs w:val="21"/>
          <w:lang w:val="en-US" w:eastAsia="ja-JP"/>
          <w14:ligatures w14:val="none"/>
        </w:rPr>
        <w:t>は、本条約の包括的枠組み、中核的原則、および全体的な構造について、以下の提案を行う。</w:t>
      </w:r>
    </w:p>
    <w:p w14:paraId="1C9D28A5" w14:textId="77777777" w:rsidR="005D007C" w:rsidRDefault="00D75227" w:rsidP="005B4D4C">
      <w:pPr>
        <w:widowControl/>
        <w:spacing w:before="100" w:beforeAutospacing="1" w:after="100" w:afterAutospacing="1"/>
        <w:ind w:leftChars="405" w:left="850"/>
        <w:jc w:val="left"/>
        <w:rPr>
          <w:rFonts w:ascii="ＭＳ 明朝" w:eastAsia="ＭＳ 明朝" w:hAnsi="ＭＳ 明朝" w:cs="ＭＳ Ｐゴシック"/>
          <w:b/>
          <w:bCs/>
          <w:kern w:val="0"/>
          <w:szCs w:val="21"/>
          <w:lang w:val="en-US" w:eastAsia="ja-JP"/>
          <w14:ligatures w14:val="none"/>
        </w:rPr>
      </w:pPr>
      <w:r w:rsidRPr="00D75227">
        <w:rPr>
          <w:rFonts w:ascii="ＭＳ 明朝" w:eastAsia="ＭＳ 明朝" w:hAnsi="ＭＳ 明朝" w:cs="ＭＳ Ｐゴシック" w:hint="eastAsia"/>
          <w:b/>
          <w:bCs/>
          <w:kern w:val="0"/>
          <w:szCs w:val="21"/>
          <w:lang w:val="en-US" w:eastAsia="ja-JP"/>
          <w14:ligatures w14:val="none"/>
        </w:rPr>
        <w:t>質問</w:t>
      </w:r>
      <w:r w:rsidRPr="00D75227">
        <w:rPr>
          <w:rFonts w:ascii="ＭＳ 明朝" w:eastAsia="ＭＳ 明朝" w:hAnsi="ＭＳ 明朝" w:cs="ＭＳ Ｐゴシック"/>
          <w:b/>
          <w:bCs/>
          <w:kern w:val="0"/>
          <w:szCs w:val="21"/>
          <w:lang w:val="en-US" w:eastAsia="ja-JP"/>
          <w14:ligatures w14:val="none"/>
        </w:rPr>
        <w:t>1. 高齢者の人権に関する国際的な法的拘束力のある文書は、どのような包括的な枠組みに基づいて策定されるべきか？さらに、高齢者がすべての人権および基本的自由を完全かつ平等に享受する権利保有者であるという認識を、その文書が最も適切に反映し、強化するにはどうすべきか？</w:t>
      </w:r>
    </w:p>
    <w:p w14:paraId="00475303" w14:textId="035DCF12"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条約の包括的枠組みは、その目的、概念的根拠、および適用範囲に</w:t>
      </w:r>
      <w:r w:rsidR="000F086C">
        <w:rPr>
          <w:rFonts w:ascii="ＭＳ 明朝" w:eastAsia="ＭＳ 明朝" w:hAnsi="ＭＳ 明朝" w:cs="ＭＳ Ｐゴシック" w:hint="eastAsia"/>
          <w:kern w:val="0"/>
          <w:szCs w:val="21"/>
          <w:lang w:val="en-US" w:eastAsia="ja-JP"/>
          <w14:ligatures w14:val="none"/>
        </w:rPr>
        <w:t>かかって</w:t>
      </w:r>
      <w:r w:rsidRPr="009B6167">
        <w:rPr>
          <w:rFonts w:ascii="ＭＳ 明朝" w:eastAsia="ＭＳ 明朝" w:hAnsi="ＭＳ 明朝" w:cs="ＭＳ Ｐゴシック"/>
          <w:kern w:val="0"/>
          <w:szCs w:val="21"/>
          <w:lang w:val="en-US" w:eastAsia="ja-JP"/>
          <w14:ligatures w14:val="none"/>
        </w:rPr>
        <w:t>いる。</w:t>
      </w:r>
    </w:p>
    <w:p w14:paraId="4B485D4D" w14:textId="77777777" w:rsidR="00DD35D8" w:rsidRPr="00BA55AA" w:rsidRDefault="00DD35D8" w:rsidP="00DD35D8">
      <w:pPr>
        <w:widowControl/>
        <w:spacing w:before="100" w:beforeAutospacing="1" w:after="100" w:afterAutospacing="1"/>
        <w:jc w:val="left"/>
        <w:rPr>
          <w:rFonts w:ascii="BIZ UDPゴシック" w:eastAsia="BIZ UDPゴシック" w:hAnsi="BIZ UDPゴシック" w:cs="ＭＳ Ｐゴシック"/>
          <w:kern w:val="0"/>
          <w:szCs w:val="21"/>
          <w:lang w:val="en-US" w:eastAsia="ja-JP"/>
          <w14:ligatures w14:val="none"/>
        </w:rPr>
      </w:pPr>
      <w:r w:rsidRPr="00BA55AA">
        <w:rPr>
          <w:rFonts w:ascii="BIZ UDPゴシック" w:eastAsia="BIZ UDPゴシック" w:hAnsi="BIZ UDPゴシック" w:cs="ＭＳ Ｐゴシック"/>
          <w:kern w:val="0"/>
          <w:szCs w:val="21"/>
          <w:lang w:val="en-US" w:eastAsia="ja-JP"/>
          <w14:ligatures w14:val="none"/>
        </w:rPr>
        <w:t>目的</w:t>
      </w:r>
    </w:p>
    <w:p w14:paraId="7CCF6C25" w14:textId="31346201"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条約の目的は、高齢者が他者と対等な立場で、すべての人権を完全かつ平等に享受できるようにすることであるべきである。</w:t>
      </w:r>
    </w:p>
    <w:p w14:paraId="3C74B92F" w14:textId="77777777" w:rsidR="00DD35D8" w:rsidRPr="00BA55AA" w:rsidRDefault="00DD35D8" w:rsidP="00DD35D8">
      <w:pPr>
        <w:widowControl/>
        <w:spacing w:before="100" w:beforeAutospacing="1" w:after="100" w:afterAutospacing="1"/>
        <w:jc w:val="left"/>
        <w:rPr>
          <w:rFonts w:ascii="BIZ UDPゴシック" w:eastAsia="BIZ UDPゴシック" w:hAnsi="BIZ UDPゴシック" w:cs="ＭＳ Ｐゴシック"/>
          <w:kern w:val="0"/>
          <w:szCs w:val="21"/>
          <w:lang w:val="en-US" w:eastAsia="ja-JP"/>
          <w14:ligatures w14:val="none"/>
        </w:rPr>
      </w:pPr>
      <w:r w:rsidRPr="00BA55AA">
        <w:rPr>
          <w:rFonts w:ascii="BIZ UDPゴシック" w:eastAsia="BIZ UDPゴシック" w:hAnsi="BIZ UDPゴシック" w:cs="ＭＳ Ｐゴシック"/>
          <w:kern w:val="0"/>
          <w:szCs w:val="21"/>
          <w:lang w:val="en-US" w:eastAsia="ja-JP"/>
          <w14:ligatures w14:val="none"/>
        </w:rPr>
        <w:t>概念的根拠</w:t>
      </w:r>
    </w:p>
    <w:p w14:paraId="64F10FB9" w14:textId="1BC3884C" w:rsidR="00DD35D8" w:rsidRPr="009B6167" w:rsidRDefault="000C7D4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Pr>
          <w:rFonts w:ascii="ＭＳ 明朝" w:eastAsia="ＭＳ 明朝" w:hAnsi="ＭＳ 明朝" w:cs="ＭＳ Ｐゴシック" w:hint="eastAsia"/>
          <w:kern w:val="0"/>
          <w:szCs w:val="21"/>
          <w:lang w:val="en-US" w:eastAsia="ja-JP"/>
          <w14:ligatures w14:val="none"/>
        </w:rPr>
        <w:t>この</w:t>
      </w:r>
      <w:r w:rsidR="00DD35D8" w:rsidRPr="009B6167">
        <w:rPr>
          <w:rFonts w:ascii="ＭＳ 明朝" w:eastAsia="ＭＳ 明朝" w:hAnsi="ＭＳ 明朝" w:cs="ＭＳ Ｐゴシック"/>
          <w:kern w:val="0"/>
          <w:szCs w:val="21"/>
          <w:lang w:val="en-US" w:eastAsia="ja-JP"/>
          <w14:ligatures w14:val="none"/>
        </w:rPr>
        <w:t>条約は、高齢者が完全な法的人格、自律、および権利の享受における実質的平等を有するという原則に基づき、高齢者の多様性および彼らが経験する様々な形態の差別を認識した上で、高齢者に対する差別を禁止し排除する必要性を前提とすべきである。</w:t>
      </w:r>
    </w:p>
    <w:p w14:paraId="69716678" w14:textId="19C4C5E3"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本条約は、高齢者</w:t>
      </w:r>
      <w:r w:rsidR="00247640">
        <w:rPr>
          <w:rFonts w:ascii="ＭＳ 明朝" w:eastAsia="ＭＳ 明朝" w:hAnsi="ＭＳ 明朝" w:cs="ＭＳ Ｐゴシック" w:hint="eastAsia"/>
          <w:kern w:val="0"/>
          <w:szCs w:val="21"/>
          <w:lang w:val="en-US" w:eastAsia="ja-JP"/>
          <w14:ligatures w14:val="none"/>
        </w:rPr>
        <w:t>および</w:t>
      </w:r>
      <w:r w:rsidR="00834406">
        <w:rPr>
          <w:rFonts w:ascii="ＭＳ 明朝" w:eastAsia="ＭＳ 明朝" w:hAnsi="ＭＳ 明朝" w:cs="ＭＳ Ｐゴシック" w:hint="eastAsia"/>
          <w:kern w:val="0"/>
          <w:szCs w:val="21"/>
          <w:lang w:val="en-US" w:eastAsia="ja-JP"/>
          <w14:ligatures w14:val="none"/>
        </w:rPr>
        <w:t>高齢</w:t>
      </w:r>
      <w:r w:rsidRPr="009B6167">
        <w:rPr>
          <w:rFonts w:ascii="ＭＳ 明朝" w:eastAsia="ＭＳ 明朝" w:hAnsi="ＭＳ 明朝" w:cs="ＭＳ Ｐゴシック"/>
          <w:kern w:val="0"/>
          <w:szCs w:val="21"/>
          <w:lang w:val="en-US" w:eastAsia="ja-JP"/>
          <w14:ligatures w14:val="none"/>
        </w:rPr>
        <w:t>に対するエイジズムを高齢者に対する権利侵害の主因と認識することにより、高齢者がすべての人権および基本的自由を完全かつ平等に享受する権利を</w:t>
      </w:r>
      <w:r w:rsidR="00887F67">
        <w:rPr>
          <w:rFonts w:ascii="ＭＳ 明朝" w:eastAsia="ＭＳ 明朝" w:hAnsi="ＭＳ 明朝" w:cs="ＭＳ Ｐゴシック" w:hint="eastAsia"/>
          <w:kern w:val="0"/>
          <w:szCs w:val="21"/>
          <w:lang w:val="en-US" w:eastAsia="ja-JP"/>
          <w14:ligatures w14:val="none"/>
        </w:rPr>
        <w:t>もつ</w:t>
      </w:r>
      <w:r w:rsidRPr="009B6167">
        <w:rPr>
          <w:rFonts w:ascii="ＭＳ 明朝" w:eastAsia="ＭＳ 明朝" w:hAnsi="ＭＳ 明朝" w:cs="ＭＳ Ｐゴシック"/>
          <w:kern w:val="0"/>
          <w:szCs w:val="21"/>
          <w:lang w:val="en-US" w:eastAsia="ja-JP"/>
          <w14:ligatures w14:val="none"/>
        </w:rPr>
        <w:t>権利主体であるという認識を最もよく反映し、強化することができる。世界保健機関（WHO）は、エイジズムを、年齢に基づく人々に対する固定観念（</w:t>
      </w:r>
      <w:r w:rsidR="007337DA">
        <w:rPr>
          <w:rFonts w:ascii="ＭＳ 明朝" w:eastAsia="ＭＳ 明朝" w:hAnsi="ＭＳ 明朝" w:cs="ＭＳ Ｐゴシック" w:hint="eastAsia"/>
          <w:kern w:val="0"/>
          <w:szCs w:val="21"/>
          <w:lang w:val="en-US" w:eastAsia="ja-JP"/>
          <w14:ligatures w14:val="none"/>
        </w:rPr>
        <w:t>我々の</w:t>
      </w:r>
      <w:r w:rsidRPr="009B6167">
        <w:rPr>
          <w:rFonts w:ascii="ＭＳ 明朝" w:eastAsia="ＭＳ 明朝" w:hAnsi="ＭＳ 明朝" w:cs="ＭＳ Ｐゴシック"/>
          <w:kern w:val="0"/>
          <w:szCs w:val="21"/>
          <w:lang w:val="en-US" w:eastAsia="ja-JP"/>
          <w14:ligatures w14:val="none"/>
        </w:rPr>
        <w:t>考え方）、偏</w:t>
      </w:r>
      <w:r w:rsidRPr="009B6167">
        <w:rPr>
          <w:rFonts w:ascii="ＭＳ 明朝" w:eastAsia="ＭＳ 明朝" w:hAnsi="ＭＳ 明朝" w:cs="ＭＳ Ｐゴシック"/>
          <w:kern w:val="0"/>
          <w:szCs w:val="21"/>
          <w:lang w:val="en-US" w:eastAsia="ja-JP"/>
          <w14:ligatures w14:val="none"/>
        </w:rPr>
        <w:lastRenderedPageBreak/>
        <w:t>見（</w:t>
      </w:r>
      <w:r w:rsidR="007337DA">
        <w:rPr>
          <w:rFonts w:ascii="ＭＳ 明朝" w:eastAsia="ＭＳ 明朝" w:hAnsi="ＭＳ 明朝" w:cs="ＭＳ Ｐゴシック" w:hint="eastAsia"/>
          <w:kern w:val="0"/>
          <w:szCs w:val="21"/>
          <w:lang w:val="en-US" w:eastAsia="ja-JP"/>
          <w14:ligatures w14:val="none"/>
        </w:rPr>
        <w:t>我々の</w:t>
      </w:r>
      <w:r w:rsidRPr="009B6167">
        <w:rPr>
          <w:rFonts w:ascii="ＭＳ 明朝" w:eastAsia="ＭＳ 明朝" w:hAnsi="ＭＳ 明朝" w:cs="ＭＳ Ｐゴシック"/>
          <w:kern w:val="0"/>
          <w:szCs w:val="21"/>
          <w:lang w:val="en-US" w:eastAsia="ja-JP"/>
          <w14:ligatures w14:val="none"/>
        </w:rPr>
        <w:t>感じ方）、および差別（</w:t>
      </w:r>
      <w:r w:rsidR="007337DA">
        <w:rPr>
          <w:rFonts w:ascii="ＭＳ 明朝" w:eastAsia="ＭＳ 明朝" w:hAnsi="ＭＳ 明朝" w:cs="ＭＳ Ｐゴシック" w:hint="eastAsia"/>
          <w:kern w:val="0"/>
          <w:szCs w:val="21"/>
          <w:lang w:val="en-US" w:eastAsia="ja-JP"/>
          <w14:ligatures w14:val="none"/>
        </w:rPr>
        <w:t>我々の行動</w:t>
      </w:r>
      <w:r w:rsidRPr="009B6167">
        <w:rPr>
          <w:rFonts w:ascii="ＭＳ 明朝" w:eastAsia="ＭＳ 明朝" w:hAnsi="ＭＳ 明朝" w:cs="ＭＳ Ｐゴシック"/>
          <w:kern w:val="0"/>
          <w:szCs w:val="21"/>
          <w:lang w:val="en-US" w:eastAsia="ja-JP"/>
          <w14:ligatures w14:val="none"/>
        </w:rPr>
        <w:t>）と定義している</w:t>
      </w:r>
      <w:r w:rsidR="007337DA">
        <w:rPr>
          <w:rStyle w:val="af2"/>
          <w:rFonts w:ascii="ＭＳ 明朝" w:eastAsia="ＭＳ 明朝" w:hAnsi="ＭＳ 明朝" w:cs="ＭＳ Ｐゴシック"/>
          <w:kern w:val="0"/>
          <w:szCs w:val="21"/>
          <w:lang w:val="en-US" w:eastAsia="ja-JP"/>
          <w14:ligatures w14:val="none"/>
        </w:rPr>
        <w:footnoteReference w:id="3"/>
      </w:r>
      <w:r w:rsidRPr="009B6167">
        <w:rPr>
          <w:rFonts w:ascii="ＭＳ 明朝" w:eastAsia="ＭＳ 明朝" w:hAnsi="ＭＳ 明朝" w:cs="ＭＳ Ｐゴシック"/>
          <w:kern w:val="0"/>
          <w:szCs w:val="21"/>
          <w:lang w:val="en-US" w:eastAsia="ja-JP"/>
          <w14:ligatures w14:val="none"/>
        </w:rPr>
        <w:t>。高齢者は若者よりも能力が低く、生産性が低く、価値が低いというエイジズム</w:t>
      </w:r>
      <w:r w:rsidR="00EE080C">
        <w:rPr>
          <w:rFonts w:ascii="ＭＳ 明朝" w:eastAsia="ＭＳ 明朝" w:hAnsi="ＭＳ 明朝" w:cs="ＭＳ Ｐゴシック" w:hint="eastAsia"/>
          <w:kern w:val="0"/>
          <w:szCs w:val="21"/>
          <w:lang w:val="en-US" w:eastAsia="ja-JP"/>
          <w14:ligatures w14:val="none"/>
        </w:rPr>
        <w:t>の</w:t>
      </w:r>
      <w:r w:rsidRPr="009B6167">
        <w:rPr>
          <w:rFonts w:ascii="ＭＳ 明朝" w:eastAsia="ＭＳ 明朝" w:hAnsi="ＭＳ 明朝" w:cs="ＭＳ Ｐゴシック"/>
          <w:kern w:val="0"/>
          <w:szCs w:val="21"/>
          <w:lang w:val="en-US" w:eastAsia="ja-JP"/>
          <w14:ligatures w14:val="none"/>
        </w:rPr>
        <w:t>固定観念や偏見は、高齢者の尊厳を脅かし、しばしば、高齢者を差別し、その権利を否定する法律、政策、慣行の根底にある</w:t>
      </w:r>
      <w:r w:rsidR="009C28AA">
        <w:rPr>
          <w:rStyle w:val="af2"/>
          <w:rFonts w:ascii="ＭＳ 明朝" w:eastAsia="ＭＳ 明朝" w:hAnsi="ＭＳ 明朝" w:cs="ＭＳ Ｐゴシック"/>
          <w:kern w:val="0"/>
          <w:szCs w:val="21"/>
          <w:lang w:val="en-US" w:eastAsia="ja-JP"/>
          <w14:ligatures w14:val="none"/>
        </w:rPr>
        <w:footnoteReference w:id="4"/>
      </w:r>
      <w:r w:rsidRPr="009B6167">
        <w:rPr>
          <w:rFonts w:ascii="ＭＳ 明朝" w:eastAsia="ＭＳ 明朝" w:hAnsi="ＭＳ 明朝" w:cs="ＭＳ Ｐゴシック"/>
          <w:kern w:val="0"/>
          <w:szCs w:val="21"/>
          <w:lang w:val="en-US" w:eastAsia="ja-JP"/>
          <w14:ligatures w14:val="none"/>
        </w:rPr>
        <w:t>。</w:t>
      </w:r>
    </w:p>
    <w:p w14:paraId="2765328E" w14:textId="515F9F41"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エイジズムは、</w:t>
      </w:r>
      <w:r w:rsidR="009E70E1">
        <w:rPr>
          <w:rFonts w:ascii="ＭＳ 明朝" w:eastAsia="ＭＳ 明朝" w:hAnsi="ＭＳ 明朝" w:cs="ＭＳ Ｐゴシック" w:hint="eastAsia"/>
          <w:kern w:val="0"/>
          <w:szCs w:val="21"/>
          <w:lang w:val="en-US" w:eastAsia="ja-JP"/>
          <w14:ligatures w14:val="none"/>
        </w:rPr>
        <w:t>ジェンダー</w:t>
      </w:r>
      <w:r w:rsidRPr="009B6167">
        <w:rPr>
          <w:rFonts w:ascii="ＭＳ 明朝" w:eastAsia="ＭＳ 明朝" w:hAnsi="ＭＳ 明朝" w:cs="ＭＳ Ｐゴシック"/>
          <w:kern w:val="0"/>
          <w:szCs w:val="21"/>
          <w:lang w:val="en-US" w:eastAsia="ja-JP"/>
          <w14:ligatures w14:val="none"/>
        </w:rPr>
        <w:t>、人種、障害、社会経済的地位など、他の要因に基づく固定観念や偏見と交差することが多く、特定の形態の交差的差別を生み出す</w:t>
      </w:r>
      <w:r w:rsidR="009E70E1">
        <w:rPr>
          <w:rStyle w:val="af2"/>
          <w:rFonts w:ascii="ＭＳ 明朝" w:eastAsia="ＭＳ 明朝" w:hAnsi="ＭＳ 明朝" w:cs="ＭＳ Ｐゴシック"/>
          <w:kern w:val="0"/>
          <w:szCs w:val="21"/>
          <w:lang w:val="en-US" w:eastAsia="ja-JP"/>
          <w14:ligatures w14:val="none"/>
        </w:rPr>
        <w:footnoteReference w:id="5"/>
      </w:r>
      <w:r w:rsidRPr="009B6167">
        <w:rPr>
          <w:rFonts w:ascii="ＭＳ 明朝" w:eastAsia="ＭＳ 明朝" w:hAnsi="ＭＳ 明朝" w:cs="ＭＳ Ｐゴシック"/>
          <w:kern w:val="0"/>
          <w:szCs w:val="21"/>
          <w:lang w:val="en-US" w:eastAsia="ja-JP"/>
          <w14:ligatures w14:val="none"/>
        </w:rPr>
        <w:t>。差別は累積的であり、その悪影響は人の生涯を通じて積み重なり、高齢期にその影響を痛切に感じるようにな</w:t>
      </w:r>
      <w:r w:rsidR="0088154B">
        <w:rPr>
          <w:rFonts w:ascii="ＭＳ 明朝" w:eastAsia="ＭＳ 明朝" w:hAnsi="ＭＳ 明朝" w:cs="ＭＳ Ｐゴシック" w:hint="eastAsia"/>
          <w:kern w:val="0"/>
          <w:szCs w:val="21"/>
          <w:lang w:val="en-US" w:eastAsia="ja-JP"/>
          <w14:ligatures w14:val="none"/>
        </w:rPr>
        <w:t>る</w:t>
      </w:r>
      <w:r w:rsidRPr="009B6167">
        <w:rPr>
          <w:rFonts w:ascii="ＭＳ 明朝" w:eastAsia="ＭＳ 明朝" w:hAnsi="ＭＳ 明朝" w:cs="ＭＳ Ｐゴシック"/>
          <w:kern w:val="0"/>
          <w:szCs w:val="21"/>
          <w:lang w:val="en-US" w:eastAsia="ja-JP"/>
          <w14:ligatures w14:val="none"/>
        </w:rPr>
        <w:t>。特に高齢女性は、生涯を通じてジェンダー差別の累積的な影響を受けており、これに年齢</w:t>
      </w:r>
      <w:r w:rsidR="00136A73">
        <w:rPr>
          <w:rFonts w:ascii="ＭＳ 明朝" w:eastAsia="ＭＳ 明朝" w:hAnsi="ＭＳ 明朝" w:cs="ＭＳ Ｐゴシック" w:hint="eastAsia"/>
          <w:kern w:val="0"/>
          <w:szCs w:val="21"/>
          <w:lang w:val="en-US" w:eastAsia="ja-JP"/>
          <w14:ligatures w14:val="none"/>
        </w:rPr>
        <w:t>による</w:t>
      </w:r>
      <w:r w:rsidRPr="009B6167">
        <w:rPr>
          <w:rFonts w:ascii="ＭＳ 明朝" w:eastAsia="ＭＳ 明朝" w:hAnsi="ＭＳ 明朝" w:cs="ＭＳ Ｐゴシック"/>
          <w:kern w:val="0"/>
          <w:szCs w:val="21"/>
          <w:lang w:val="en-US" w:eastAsia="ja-JP"/>
          <w14:ligatures w14:val="none"/>
        </w:rPr>
        <w:t>差別や、高齢女性</w:t>
      </w:r>
      <w:r w:rsidR="000F5651">
        <w:rPr>
          <w:rFonts w:ascii="ＭＳ 明朝" w:eastAsia="ＭＳ 明朝" w:hAnsi="ＭＳ 明朝" w:cs="ＭＳ Ｐゴシック" w:hint="eastAsia"/>
          <w:kern w:val="0"/>
          <w:szCs w:val="21"/>
          <w:lang w:val="en-US" w:eastAsia="ja-JP"/>
          <w14:ligatures w14:val="none"/>
        </w:rPr>
        <w:t>への</w:t>
      </w:r>
      <w:r w:rsidRPr="009B6167">
        <w:rPr>
          <w:rFonts w:ascii="ＭＳ 明朝" w:eastAsia="ＭＳ 明朝" w:hAnsi="ＭＳ 明朝" w:cs="ＭＳ Ｐゴシック"/>
          <w:kern w:val="0"/>
          <w:szCs w:val="21"/>
          <w:lang w:val="en-US" w:eastAsia="ja-JP"/>
          <w14:ligatures w14:val="none"/>
        </w:rPr>
        <w:t>ジェンダーと</w:t>
      </w:r>
      <w:r w:rsidR="006958E0">
        <w:rPr>
          <w:rFonts w:ascii="ＭＳ 明朝" w:eastAsia="ＭＳ 明朝" w:hAnsi="ＭＳ 明朝" w:cs="ＭＳ Ｐゴシック" w:hint="eastAsia"/>
          <w:kern w:val="0"/>
          <w:szCs w:val="21"/>
          <w:lang w:val="en-US" w:eastAsia="ja-JP"/>
          <w14:ligatures w14:val="none"/>
        </w:rPr>
        <w:t>エイジズムの交差した</w:t>
      </w:r>
      <w:r w:rsidR="00A3592A">
        <w:rPr>
          <w:rFonts w:ascii="ＭＳ 明朝" w:eastAsia="ＭＳ 明朝" w:hAnsi="ＭＳ 明朝" w:cs="ＭＳ Ｐゴシック" w:hint="eastAsia"/>
          <w:kern w:val="0"/>
          <w:szCs w:val="21"/>
          <w:lang w:val="en-US" w:eastAsia="ja-JP"/>
          <w14:ligatures w14:val="none"/>
        </w:rPr>
        <w:t>固定観念</w:t>
      </w:r>
      <w:r w:rsidRPr="009B6167">
        <w:rPr>
          <w:rFonts w:ascii="ＭＳ 明朝" w:eastAsia="ＭＳ 明朝" w:hAnsi="ＭＳ 明朝" w:cs="ＭＳ Ｐゴシック"/>
          <w:kern w:val="0"/>
          <w:szCs w:val="21"/>
          <w:lang w:val="en-US" w:eastAsia="ja-JP"/>
          <w14:ligatures w14:val="none"/>
        </w:rPr>
        <w:t>が重なること</w:t>
      </w:r>
      <w:r w:rsidR="00A3592A">
        <w:rPr>
          <w:rFonts w:ascii="ＭＳ 明朝" w:eastAsia="ＭＳ 明朝" w:hAnsi="ＭＳ 明朝" w:cs="ＭＳ Ｐゴシック" w:hint="eastAsia"/>
          <w:kern w:val="0"/>
          <w:szCs w:val="21"/>
          <w:lang w:val="en-US" w:eastAsia="ja-JP"/>
          <w14:ligatures w14:val="none"/>
        </w:rPr>
        <w:t>によって</w:t>
      </w:r>
      <w:r w:rsidRPr="009B6167">
        <w:rPr>
          <w:rFonts w:ascii="ＭＳ 明朝" w:eastAsia="ＭＳ 明朝" w:hAnsi="ＭＳ 明朝" w:cs="ＭＳ Ｐゴシック"/>
          <w:kern w:val="0"/>
          <w:szCs w:val="21"/>
          <w:lang w:val="en-US" w:eastAsia="ja-JP"/>
          <w14:ligatures w14:val="none"/>
        </w:rPr>
        <w:t>、その影響はさらに増幅される可能性がある</w:t>
      </w:r>
      <w:r w:rsidR="00AB4E90">
        <w:rPr>
          <w:rStyle w:val="af2"/>
          <w:rFonts w:ascii="ＭＳ 明朝" w:eastAsia="ＭＳ 明朝" w:hAnsi="ＭＳ 明朝" w:cs="ＭＳ Ｐゴシック"/>
          <w:kern w:val="0"/>
          <w:szCs w:val="21"/>
          <w:lang w:val="en-US" w:eastAsia="ja-JP"/>
          <w14:ligatures w14:val="none"/>
        </w:rPr>
        <w:footnoteReference w:id="6"/>
      </w:r>
      <w:r w:rsidRPr="009B6167">
        <w:rPr>
          <w:rFonts w:ascii="ＭＳ 明朝" w:eastAsia="ＭＳ 明朝" w:hAnsi="ＭＳ 明朝" w:cs="ＭＳ Ｐゴシック"/>
          <w:kern w:val="0"/>
          <w:szCs w:val="21"/>
          <w:lang w:val="en-US" w:eastAsia="ja-JP"/>
          <w14:ligatures w14:val="none"/>
        </w:rPr>
        <w:t>。</w:t>
      </w:r>
      <w:r w:rsidR="0076729D">
        <w:rPr>
          <w:rFonts w:ascii="ＭＳ 明朝" w:eastAsia="ＭＳ 明朝" w:hAnsi="ＭＳ 明朝" w:cs="ＭＳ Ｐゴシック" w:hint="eastAsia"/>
          <w:kern w:val="0"/>
          <w:szCs w:val="21"/>
          <w:lang w:val="en-US" w:eastAsia="ja-JP"/>
          <w14:ligatures w14:val="none"/>
        </w:rPr>
        <w:t>この</w:t>
      </w:r>
      <w:r w:rsidRPr="009B6167">
        <w:rPr>
          <w:rFonts w:ascii="ＭＳ 明朝" w:eastAsia="ＭＳ 明朝" w:hAnsi="ＭＳ 明朝" w:cs="ＭＳ Ｐゴシック"/>
          <w:kern w:val="0"/>
          <w:szCs w:val="21"/>
          <w:lang w:val="en-US" w:eastAsia="ja-JP"/>
          <w14:ligatures w14:val="none"/>
        </w:rPr>
        <w:t>差別は、特定の個人に向けられたものではなく、法律、政策、慣行に組み込まれた制度的なものであり、高齢者に不平等な結果をもたらす</w:t>
      </w:r>
      <w:r w:rsidR="001C72BE">
        <w:rPr>
          <w:rStyle w:val="af2"/>
          <w:rFonts w:ascii="ＭＳ 明朝" w:eastAsia="ＭＳ 明朝" w:hAnsi="ＭＳ 明朝" w:cs="ＭＳ Ｐゴシック"/>
          <w:kern w:val="0"/>
          <w:szCs w:val="21"/>
          <w:lang w:val="en-US" w:eastAsia="ja-JP"/>
          <w14:ligatures w14:val="none"/>
        </w:rPr>
        <w:footnoteReference w:id="7"/>
      </w:r>
      <w:r w:rsidRPr="009B6167">
        <w:rPr>
          <w:rFonts w:ascii="ＭＳ 明朝" w:eastAsia="ＭＳ 明朝" w:hAnsi="ＭＳ 明朝" w:cs="ＭＳ Ｐゴシック"/>
          <w:kern w:val="0"/>
          <w:szCs w:val="21"/>
          <w:lang w:val="en-US" w:eastAsia="ja-JP"/>
          <w14:ligatures w14:val="none"/>
        </w:rPr>
        <w:t>。</w:t>
      </w:r>
    </w:p>
    <w:p w14:paraId="77F89B16" w14:textId="597E2825"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本条約は、</w:t>
      </w:r>
      <w:r w:rsidR="006E0A92">
        <w:rPr>
          <w:rFonts w:ascii="ＭＳ 明朝" w:eastAsia="ＭＳ 明朝" w:hAnsi="ＭＳ 明朝" w:cs="ＭＳ Ｐゴシック" w:hint="eastAsia"/>
          <w:kern w:val="0"/>
          <w:szCs w:val="21"/>
          <w:lang w:val="en-US" w:eastAsia="ja-JP"/>
          <w14:ligatures w14:val="none"/>
        </w:rPr>
        <w:t>「</w:t>
      </w:r>
      <w:r w:rsidRPr="009B6167">
        <w:rPr>
          <w:rFonts w:ascii="ＭＳ 明朝" w:eastAsia="ＭＳ 明朝" w:hAnsi="ＭＳ 明朝" w:cs="ＭＳ Ｐゴシック"/>
          <w:kern w:val="0"/>
          <w:szCs w:val="21"/>
          <w:lang w:val="en-US" w:eastAsia="ja-JP"/>
          <w14:ligatures w14:val="none"/>
        </w:rPr>
        <w:t>高齢</w:t>
      </w:r>
      <w:r w:rsidR="006E0A92">
        <w:rPr>
          <w:rFonts w:ascii="ＭＳ 明朝" w:eastAsia="ＭＳ 明朝" w:hAnsi="ＭＳ 明朝" w:cs="ＭＳ Ｐゴシック" w:hint="eastAsia"/>
          <w:kern w:val="0"/>
          <w:szCs w:val="21"/>
          <w:lang w:val="en-US" w:eastAsia="ja-JP"/>
          <w14:ligatures w14:val="none"/>
        </w:rPr>
        <w:t>」</w:t>
      </w:r>
      <w:r w:rsidRPr="009B6167">
        <w:rPr>
          <w:rFonts w:ascii="ＭＳ 明朝" w:eastAsia="ＭＳ 明朝" w:hAnsi="ＭＳ 明朝" w:cs="ＭＳ Ｐゴシック"/>
          <w:kern w:val="0"/>
          <w:szCs w:val="21"/>
          <w:lang w:val="en-US" w:eastAsia="ja-JP"/>
          <w14:ligatures w14:val="none"/>
        </w:rPr>
        <w:t>が社会的に構築されたものであることを認識すべきである。高齢がいつから始まるかという認識や、高齢を構成する指標</w:t>
      </w:r>
      <w:r w:rsidR="009C574C">
        <w:rPr>
          <w:rFonts w:ascii="ＭＳ 明朝" w:eastAsia="ＭＳ 明朝" w:hAnsi="ＭＳ 明朝" w:cs="ＭＳ Ｐゴシック" w:hint="eastAsia"/>
          <w:kern w:val="0"/>
          <w:szCs w:val="21"/>
          <w:lang w:val="en-US" w:eastAsia="ja-JP"/>
          <w14:ligatures w14:val="none"/>
        </w:rPr>
        <w:t>（marker）</w:t>
      </w:r>
      <w:r w:rsidRPr="009B6167">
        <w:rPr>
          <w:rFonts w:ascii="ＭＳ 明朝" w:eastAsia="ＭＳ 明朝" w:hAnsi="ＭＳ 明朝" w:cs="ＭＳ Ｐゴシック"/>
          <w:kern w:val="0"/>
          <w:szCs w:val="21"/>
          <w:lang w:val="en-US" w:eastAsia="ja-JP"/>
          <w14:ligatures w14:val="none"/>
        </w:rPr>
        <w:t>は、社会的・文化的規範や期待に影響を受けており、社会的、経済的、文化的文脈によって異なる</w:t>
      </w:r>
      <w:r w:rsidR="00533F36">
        <w:rPr>
          <w:rStyle w:val="af2"/>
          <w:rFonts w:ascii="ＭＳ 明朝" w:eastAsia="ＭＳ 明朝" w:hAnsi="ＭＳ 明朝" w:cs="ＭＳ Ｐゴシック"/>
          <w:kern w:val="0"/>
          <w:szCs w:val="21"/>
          <w:lang w:val="en-US" w:eastAsia="ja-JP"/>
          <w14:ligatures w14:val="none"/>
        </w:rPr>
        <w:footnoteReference w:id="8"/>
      </w:r>
      <w:r w:rsidRPr="009B6167">
        <w:rPr>
          <w:rFonts w:ascii="ＭＳ 明朝" w:eastAsia="ＭＳ 明朝" w:hAnsi="ＭＳ 明朝" w:cs="ＭＳ Ｐゴシック"/>
          <w:kern w:val="0"/>
          <w:szCs w:val="21"/>
          <w:lang w:val="en-US" w:eastAsia="ja-JP"/>
          <w14:ligatures w14:val="none"/>
        </w:rPr>
        <w:t>。人</w:t>
      </w:r>
      <w:r w:rsidR="004B4792">
        <w:rPr>
          <w:rFonts w:ascii="ＭＳ 明朝" w:eastAsia="ＭＳ 明朝" w:hAnsi="ＭＳ 明朝" w:cs="ＭＳ Ｐゴシック" w:hint="eastAsia"/>
          <w:kern w:val="0"/>
          <w:szCs w:val="21"/>
          <w:lang w:val="en-US" w:eastAsia="ja-JP"/>
          <w14:ligatures w14:val="none"/>
        </w:rPr>
        <w:t>は</w:t>
      </w:r>
      <w:r w:rsidRPr="009B6167">
        <w:rPr>
          <w:rFonts w:ascii="ＭＳ 明朝" w:eastAsia="ＭＳ 明朝" w:hAnsi="ＭＳ 明朝" w:cs="ＭＳ Ｐゴシック"/>
          <w:kern w:val="0"/>
          <w:szCs w:val="21"/>
          <w:lang w:val="en-US" w:eastAsia="ja-JP"/>
          <w14:ligatures w14:val="none"/>
        </w:rPr>
        <w:t>、既知または</w:t>
      </w:r>
      <w:r w:rsidR="004B4792">
        <w:rPr>
          <w:rFonts w:ascii="ＭＳ 明朝" w:eastAsia="ＭＳ 明朝" w:hAnsi="ＭＳ 明朝" w:cs="ＭＳ Ｐゴシック" w:hint="eastAsia"/>
          <w:kern w:val="0"/>
          <w:szCs w:val="21"/>
          <w:lang w:val="en-US" w:eastAsia="ja-JP"/>
          <w14:ligatures w14:val="none"/>
        </w:rPr>
        <w:t>推定</w:t>
      </w:r>
      <w:r w:rsidRPr="009B6167">
        <w:rPr>
          <w:rFonts w:ascii="ＭＳ 明朝" w:eastAsia="ＭＳ 明朝" w:hAnsi="ＭＳ 明朝" w:cs="ＭＳ Ｐゴシック"/>
          <w:kern w:val="0"/>
          <w:szCs w:val="21"/>
          <w:lang w:val="en-US" w:eastAsia="ja-JP"/>
          <w14:ligatures w14:val="none"/>
        </w:rPr>
        <w:t>された高齢を理由に、エイジズムにさらされたり、差別を受けたり、権利を否定されたりし始める</w:t>
      </w:r>
      <w:r w:rsidR="009B6E55">
        <w:rPr>
          <w:rFonts w:ascii="ＭＳ 明朝" w:eastAsia="ＭＳ 明朝" w:hAnsi="ＭＳ 明朝" w:cs="ＭＳ Ｐゴシック" w:hint="eastAsia"/>
          <w:kern w:val="0"/>
          <w:szCs w:val="21"/>
          <w:lang w:val="en-US" w:eastAsia="ja-JP"/>
          <w14:ligatures w14:val="none"/>
        </w:rPr>
        <w:t>のであって</w:t>
      </w:r>
      <w:r w:rsidRPr="009B6167">
        <w:rPr>
          <w:rFonts w:ascii="ＭＳ 明朝" w:eastAsia="ＭＳ 明朝" w:hAnsi="ＭＳ 明朝" w:cs="ＭＳ Ｐゴシック"/>
          <w:kern w:val="0"/>
          <w:szCs w:val="21"/>
          <w:lang w:val="en-US" w:eastAsia="ja-JP"/>
          <w14:ligatures w14:val="none"/>
        </w:rPr>
        <w:t>、</w:t>
      </w:r>
      <w:r w:rsidR="008243C5">
        <w:rPr>
          <w:rFonts w:ascii="ＭＳ 明朝" w:eastAsia="ＭＳ 明朝" w:hAnsi="ＭＳ 明朝" w:cs="ＭＳ Ｐゴシック" w:hint="eastAsia"/>
          <w:kern w:val="0"/>
          <w:szCs w:val="21"/>
          <w:lang w:val="en-US" w:eastAsia="ja-JP"/>
          <w14:ligatures w14:val="none"/>
        </w:rPr>
        <w:t>それが始まる</w:t>
      </w:r>
      <w:r w:rsidRPr="009B6167">
        <w:rPr>
          <w:rFonts w:ascii="ＭＳ 明朝" w:eastAsia="ＭＳ 明朝" w:hAnsi="ＭＳ 明朝" w:cs="ＭＳ Ｐゴシック"/>
          <w:kern w:val="0"/>
          <w:szCs w:val="21"/>
          <w:lang w:val="en-US" w:eastAsia="ja-JP"/>
          <w14:ligatures w14:val="none"/>
        </w:rPr>
        <w:t>単一の暦年齢は存在しない。</w:t>
      </w:r>
    </w:p>
    <w:p w14:paraId="41EE9E2D" w14:textId="522FA1A2"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また、本条約は、経済的不平等や気候変動など、権利侵害の</w:t>
      </w:r>
      <w:r w:rsidR="00C247FA">
        <w:rPr>
          <w:rFonts w:ascii="ＭＳ 明朝" w:eastAsia="ＭＳ 明朝" w:hAnsi="ＭＳ 明朝" w:cs="ＭＳ Ｐゴシック" w:hint="eastAsia"/>
          <w:kern w:val="0"/>
          <w:szCs w:val="21"/>
          <w:lang w:val="en-US" w:eastAsia="ja-JP"/>
          <w14:ligatures w14:val="none"/>
        </w:rPr>
        <w:t>上記以外の</w:t>
      </w:r>
      <w:r w:rsidRPr="009B6167">
        <w:rPr>
          <w:rFonts w:ascii="ＭＳ 明朝" w:eastAsia="ＭＳ 明朝" w:hAnsi="ＭＳ 明朝" w:cs="ＭＳ Ｐゴシック"/>
          <w:kern w:val="0"/>
          <w:szCs w:val="21"/>
          <w:lang w:val="en-US" w:eastAsia="ja-JP"/>
          <w14:ligatures w14:val="none"/>
        </w:rPr>
        <w:t>要因が高齢者に与える特有の影響についても認識すべきである。</w:t>
      </w:r>
    </w:p>
    <w:p w14:paraId="281627E4" w14:textId="77777777" w:rsidR="00DD35D8" w:rsidRPr="009B6167" w:rsidRDefault="00DD35D8" w:rsidP="00DD35D8">
      <w:pPr>
        <w:widowControl/>
        <w:spacing w:before="100" w:beforeAutospacing="1" w:after="100" w:afterAutospacing="1"/>
        <w:jc w:val="left"/>
        <w:rPr>
          <w:rFonts w:ascii="BIZ UDPゴシック" w:eastAsia="BIZ UDPゴシック" w:hAnsi="BIZ UDPゴシック" w:cs="ＭＳ Ｐゴシック"/>
          <w:kern w:val="0"/>
          <w:szCs w:val="21"/>
          <w:lang w:val="en-US" w:eastAsia="ja-JP"/>
          <w14:ligatures w14:val="none"/>
        </w:rPr>
      </w:pPr>
      <w:r w:rsidRPr="009B6167">
        <w:rPr>
          <w:rFonts w:ascii="BIZ UDPゴシック" w:eastAsia="BIZ UDPゴシック" w:hAnsi="BIZ UDPゴシック" w:cs="ＭＳ Ｐゴシック"/>
          <w:b/>
          <w:bCs/>
          <w:kern w:val="0"/>
          <w:szCs w:val="21"/>
          <w:lang w:val="en-US" w:eastAsia="ja-JP"/>
          <w14:ligatures w14:val="none"/>
        </w:rPr>
        <w:t>適用範囲</w:t>
      </w:r>
    </w:p>
    <w:p w14:paraId="75051E95" w14:textId="0AF78AFF"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BE088B">
        <w:rPr>
          <w:rFonts w:ascii="ＭＳ 明朝" w:eastAsia="ＭＳ 明朝" w:hAnsi="ＭＳ 明朝" w:cs="ＭＳ Ｐゴシック"/>
          <w:kern w:val="0"/>
          <w:szCs w:val="21"/>
          <w:lang w:val="en-US" w:eastAsia="ja-JP"/>
          <w14:ligatures w14:val="none"/>
        </w:rPr>
        <w:lastRenderedPageBreak/>
        <w:t>本条約は、</w:t>
      </w:r>
      <w:r w:rsidR="0075076B">
        <w:rPr>
          <w:rFonts w:ascii="ＭＳ 明朝" w:eastAsia="ＭＳ 明朝" w:hAnsi="ＭＳ 明朝" w:cs="ＭＳ Ｐゴシック" w:hint="eastAsia"/>
          <w:kern w:val="0"/>
          <w:szCs w:val="21"/>
          <w:lang w:val="en-US" w:eastAsia="ja-JP"/>
          <w14:ligatures w14:val="none"/>
        </w:rPr>
        <w:t>実際の</w:t>
      </w:r>
      <w:r w:rsidR="008752F0">
        <w:rPr>
          <w:rFonts w:ascii="ＭＳ 明朝" w:eastAsia="ＭＳ 明朝" w:hAnsi="ＭＳ 明朝" w:cs="ＭＳ Ｐゴシック" w:hint="eastAsia"/>
          <w:kern w:val="0"/>
          <w:szCs w:val="21"/>
          <w:lang w:val="en-US" w:eastAsia="ja-JP"/>
          <w14:ligatures w14:val="none"/>
        </w:rPr>
        <w:t>あるいは</w:t>
      </w:r>
      <w:r w:rsidR="00170C62">
        <w:rPr>
          <w:rFonts w:ascii="ＭＳ 明朝" w:eastAsia="ＭＳ 明朝" w:hAnsi="ＭＳ 明朝" w:cs="ＭＳ Ｐゴシック" w:hint="eastAsia"/>
          <w:kern w:val="0"/>
          <w:szCs w:val="21"/>
          <w:lang w:val="en-US" w:eastAsia="ja-JP"/>
          <w14:ligatures w14:val="none"/>
        </w:rPr>
        <w:t>推定</w:t>
      </w:r>
      <w:r w:rsidR="00293EED">
        <w:rPr>
          <w:rFonts w:ascii="ＭＳ 明朝" w:eastAsia="ＭＳ 明朝" w:hAnsi="ＭＳ 明朝" w:cs="ＭＳ Ｐゴシック" w:hint="eastAsia"/>
          <w:kern w:val="0"/>
          <w:szCs w:val="21"/>
          <w:lang w:val="en-US" w:eastAsia="ja-JP"/>
          <w14:ligatures w14:val="none"/>
        </w:rPr>
        <w:t>された</w:t>
      </w:r>
      <w:r w:rsidRPr="00BE088B">
        <w:rPr>
          <w:rFonts w:ascii="ＭＳ 明朝" w:eastAsia="ＭＳ 明朝" w:hAnsi="ＭＳ 明朝" w:cs="ＭＳ Ｐゴシック"/>
          <w:kern w:val="0"/>
          <w:szCs w:val="21"/>
          <w:lang w:val="en-US" w:eastAsia="ja-JP"/>
          <w14:ligatures w14:val="none"/>
        </w:rPr>
        <w:t>高齢という理由のみ</w:t>
      </w:r>
      <w:r w:rsidR="0090621F">
        <w:rPr>
          <w:rFonts w:ascii="ＭＳ 明朝" w:eastAsia="ＭＳ 明朝" w:hAnsi="ＭＳ 明朝" w:cs="ＭＳ Ｐゴシック" w:hint="eastAsia"/>
          <w:kern w:val="0"/>
          <w:szCs w:val="21"/>
          <w:lang w:val="en-US" w:eastAsia="ja-JP"/>
          <w14:ligatures w14:val="none"/>
        </w:rPr>
        <w:t>により</w:t>
      </w:r>
      <w:r w:rsidRPr="00BE088B">
        <w:rPr>
          <w:rFonts w:ascii="ＭＳ 明朝" w:eastAsia="ＭＳ 明朝" w:hAnsi="ＭＳ 明朝" w:cs="ＭＳ Ｐゴシック"/>
          <w:kern w:val="0"/>
          <w:szCs w:val="21"/>
          <w:lang w:val="en-US" w:eastAsia="ja-JP"/>
          <w14:ligatures w14:val="none"/>
        </w:rPr>
        <w:t>、あるいは他の理由と組み合</w:t>
      </w:r>
      <w:r w:rsidRPr="009B6167">
        <w:rPr>
          <w:rFonts w:ascii="ＭＳ 明朝" w:eastAsia="ＭＳ 明朝" w:hAnsi="ＭＳ 明朝" w:cs="ＭＳ Ｐゴシック"/>
          <w:kern w:val="0"/>
          <w:szCs w:val="21"/>
          <w:lang w:val="en-US" w:eastAsia="ja-JP"/>
          <w14:ligatures w14:val="none"/>
        </w:rPr>
        <w:t>わせて、権利を否定されている、または否定される危険にさらされているすべての人、およびエイジズムや年齢</w:t>
      </w:r>
      <w:r w:rsidR="00803429">
        <w:rPr>
          <w:rFonts w:ascii="ＭＳ 明朝" w:eastAsia="ＭＳ 明朝" w:hAnsi="ＭＳ 明朝" w:cs="ＭＳ Ｐゴシック" w:hint="eastAsia"/>
          <w:kern w:val="0"/>
          <w:szCs w:val="21"/>
          <w:lang w:val="en-US" w:eastAsia="ja-JP"/>
          <w14:ligatures w14:val="none"/>
        </w:rPr>
        <w:t>による</w:t>
      </w:r>
      <w:r w:rsidRPr="009B6167">
        <w:rPr>
          <w:rFonts w:ascii="ＭＳ 明朝" w:eastAsia="ＭＳ 明朝" w:hAnsi="ＭＳ 明朝" w:cs="ＭＳ Ｐゴシック"/>
          <w:kern w:val="0"/>
          <w:szCs w:val="21"/>
          <w:lang w:val="en-US" w:eastAsia="ja-JP"/>
          <w14:ligatures w14:val="none"/>
        </w:rPr>
        <w:t>差別の対象となっているすべての人に適用される。</w:t>
      </w:r>
    </w:p>
    <w:p w14:paraId="3BF6EA37" w14:textId="7F085169"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条約の適用対象を定義するために恣意的な年齢を設定することは、高齢という社会的構築物や、高齢者の権利の享受を脅かす交差する要因を無視することになる。また、その年齢未満であっても、</w:t>
      </w:r>
      <w:r w:rsidR="00293EED" w:rsidRPr="00293EED">
        <w:rPr>
          <w:rFonts w:ascii="ＭＳ 明朝" w:eastAsia="ＭＳ 明朝" w:hAnsi="ＭＳ 明朝" w:cs="ＭＳ Ｐゴシック" w:hint="eastAsia"/>
          <w:kern w:val="0"/>
          <w:szCs w:val="21"/>
          <w:lang w:val="en-US" w:eastAsia="ja-JP"/>
          <w14:ligatures w14:val="none"/>
        </w:rPr>
        <w:t>実際のあるいは推定された</w:t>
      </w:r>
      <w:r w:rsidRPr="009B6167">
        <w:rPr>
          <w:rFonts w:ascii="ＭＳ 明朝" w:eastAsia="ＭＳ 明朝" w:hAnsi="ＭＳ 明朝" w:cs="ＭＳ Ｐゴシック"/>
          <w:kern w:val="0"/>
          <w:szCs w:val="21"/>
          <w:lang w:val="en-US" w:eastAsia="ja-JP"/>
          <w14:ligatures w14:val="none"/>
        </w:rPr>
        <w:t>高齢を理由に権利を剥奪されている、あるいは剥奪される危険にさらされている人、あるいは差別を受けている人を排除するリスク</w:t>
      </w:r>
      <w:r w:rsidR="00B7728F">
        <w:rPr>
          <w:rFonts w:ascii="ＭＳ 明朝" w:eastAsia="ＭＳ 明朝" w:hAnsi="ＭＳ 明朝" w:cs="ＭＳ Ｐゴシック" w:hint="eastAsia"/>
          <w:kern w:val="0"/>
          <w:szCs w:val="21"/>
          <w:lang w:val="en-US" w:eastAsia="ja-JP"/>
          <w14:ligatures w14:val="none"/>
        </w:rPr>
        <w:t>が</w:t>
      </w:r>
      <w:r w:rsidRPr="009B6167">
        <w:rPr>
          <w:rFonts w:ascii="ＭＳ 明朝" w:eastAsia="ＭＳ 明朝" w:hAnsi="ＭＳ 明朝" w:cs="ＭＳ Ｐゴシック"/>
          <w:kern w:val="0"/>
          <w:szCs w:val="21"/>
          <w:lang w:val="en-US" w:eastAsia="ja-JP"/>
          <w14:ligatures w14:val="none"/>
        </w:rPr>
        <w:t>生じる。条約の目的を記述する際、その適用対象に関するいかなる記述においても、高齢という社会的構築物および交差する要因を認識すべきである。</w:t>
      </w:r>
    </w:p>
    <w:p w14:paraId="28C3EF20" w14:textId="77777777" w:rsidR="00397C1B" w:rsidRDefault="005D007C" w:rsidP="005B4D4C">
      <w:pPr>
        <w:widowControl/>
        <w:spacing w:before="100" w:beforeAutospacing="1" w:after="100" w:afterAutospacing="1"/>
        <w:ind w:leftChars="405" w:left="850"/>
        <w:jc w:val="left"/>
        <w:rPr>
          <w:rFonts w:ascii="ＭＳ 明朝" w:eastAsia="ＭＳ 明朝" w:hAnsi="ＭＳ 明朝" w:cs="ＭＳ Ｐゴシック"/>
          <w:b/>
          <w:bCs/>
          <w:kern w:val="0"/>
          <w:szCs w:val="21"/>
          <w:lang w:val="en-US" w:eastAsia="ja-JP"/>
          <w14:ligatures w14:val="none"/>
        </w:rPr>
      </w:pPr>
      <w:r w:rsidRPr="005D007C">
        <w:rPr>
          <w:rFonts w:ascii="ＭＳ 明朝" w:eastAsia="ＭＳ 明朝" w:hAnsi="ＭＳ 明朝" w:cs="ＭＳ Ｐゴシック" w:hint="eastAsia"/>
          <w:b/>
          <w:bCs/>
          <w:kern w:val="0"/>
          <w:szCs w:val="21"/>
          <w:lang w:val="en-US" w:eastAsia="ja-JP"/>
          <w14:ligatures w14:val="none"/>
        </w:rPr>
        <w:t>質問</w:t>
      </w:r>
      <w:r w:rsidRPr="005D007C">
        <w:rPr>
          <w:rFonts w:ascii="ＭＳ 明朝" w:eastAsia="ＭＳ 明朝" w:hAnsi="ＭＳ 明朝" w:cs="ＭＳ Ｐゴシック"/>
          <w:b/>
          <w:bCs/>
          <w:kern w:val="0"/>
          <w:szCs w:val="21"/>
          <w:lang w:val="en-US" w:eastAsia="ja-JP"/>
          <w14:ligatures w14:val="none"/>
        </w:rPr>
        <w:t>2. 高齢者の権利を効果的に保護するために、法的拘束力のある文書はどのような中核的な原則に基づくべきか？さらに、この法的拘束力のある文書は、高齢者の既存の人権を再確認すると同時に、あらたに規範的発展が必要な問題や課題（ギャップ）を明確に特定し、対処するにはどうすればよいか？</w:t>
      </w:r>
    </w:p>
    <w:p w14:paraId="07EB09F5" w14:textId="0B218CBD" w:rsidR="00DD35D8" w:rsidRPr="009B6167" w:rsidRDefault="00DD35D8" w:rsidP="00067FA4">
      <w:pPr>
        <w:widowControl/>
        <w:spacing w:before="100" w:beforeAutospacing="1"/>
        <w:ind w:firstLineChars="100" w:firstLine="210"/>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条約には、</w:t>
      </w:r>
      <w:r w:rsidR="00D40680" w:rsidRPr="009B6167">
        <w:rPr>
          <w:rFonts w:ascii="ＭＳ 明朝" w:eastAsia="ＭＳ 明朝" w:hAnsi="ＭＳ 明朝" w:cs="ＭＳ Ｐゴシック"/>
          <w:kern w:val="0"/>
          <w:szCs w:val="21"/>
          <w:lang w:val="en-US" w:eastAsia="ja-JP"/>
          <w14:ligatures w14:val="none"/>
        </w:rPr>
        <w:t>一連の原則を含めるべきである。</w:t>
      </w:r>
      <w:r w:rsidR="00CB2007">
        <w:rPr>
          <w:rFonts w:ascii="ＭＳ 明朝" w:eastAsia="ＭＳ 明朝" w:hAnsi="ＭＳ 明朝" w:cs="ＭＳ Ｐゴシック" w:hint="eastAsia"/>
          <w:kern w:val="0"/>
          <w:szCs w:val="21"/>
          <w:lang w:val="en-US" w:eastAsia="ja-JP"/>
          <w14:ligatures w14:val="none"/>
        </w:rPr>
        <w:t>それらは条約に</w:t>
      </w:r>
      <w:r w:rsidRPr="009B6167">
        <w:rPr>
          <w:rFonts w:ascii="ＭＳ 明朝" w:eastAsia="ＭＳ 明朝" w:hAnsi="ＭＳ 明朝" w:cs="ＭＳ Ｐゴシック"/>
          <w:kern w:val="0"/>
          <w:szCs w:val="21"/>
          <w:lang w:val="en-US" w:eastAsia="ja-JP"/>
          <w14:ligatures w14:val="none"/>
        </w:rPr>
        <w:t>含まれる権利に反映され、かつそれらの解釈と実施の基盤となる</w:t>
      </w:r>
      <w:r w:rsidR="00D40680">
        <w:rPr>
          <w:rFonts w:ascii="ＭＳ 明朝" w:eastAsia="ＭＳ 明朝" w:hAnsi="ＭＳ 明朝" w:cs="ＭＳ Ｐゴシック" w:hint="eastAsia"/>
          <w:kern w:val="0"/>
          <w:szCs w:val="21"/>
          <w:lang w:val="en-US" w:eastAsia="ja-JP"/>
          <w14:ligatures w14:val="none"/>
        </w:rPr>
        <w:t>。</w:t>
      </w:r>
      <w:r w:rsidR="00C3669A">
        <w:rPr>
          <w:rFonts w:ascii="ＭＳ 明朝" w:eastAsia="ＭＳ 明朝" w:hAnsi="ＭＳ 明朝" w:cs="ＭＳ Ｐゴシック" w:hint="eastAsia"/>
          <w:kern w:val="0"/>
          <w:szCs w:val="21"/>
          <w:lang w:val="en-US" w:eastAsia="ja-JP"/>
          <w14:ligatures w14:val="none"/>
        </w:rPr>
        <w:t>それら</w:t>
      </w:r>
      <w:r w:rsidRPr="009B6167">
        <w:rPr>
          <w:rFonts w:ascii="ＭＳ 明朝" w:eastAsia="ＭＳ 明朝" w:hAnsi="ＭＳ 明朝" w:cs="ＭＳ Ｐゴシック"/>
          <w:kern w:val="0"/>
          <w:szCs w:val="21"/>
          <w:lang w:val="en-US" w:eastAsia="ja-JP"/>
          <w14:ligatures w14:val="none"/>
        </w:rPr>
        <w:t>には以下が含まれるが、これらに限定されない：</w:t>
      </w:r>
    </w:p>
    <w:p w14:paraId="5EE9B40C" w14:textId="14483AFA" w:rsidR="00DD35D8" w:rsidRPr="009B6167" w:rsidRDefault="00DD35D8" w:rsidP="00B4791E">
      <w:pPr>
        <w:widowControl/>
        <w:spacing w:line="276" w:lineRule="auto"/>
        <w:ind w:leftChars="270" w:left="567"/>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xml:space="preserve">- </w:t>
      </w:r>
      <w:r w:rsidR="00A23F2D">
        <w:rPr>
          <w:rFonts w:ascii="ＭＳ 明朝" w:eastAsia="ＭＳ 明朝" w:hAnsi="ＭＳ 明朝" w:cs="ＭＳ Ｐゴシック" w:hint="eastAsia"/>
          <w:kern w:val="0"/>
          <w:szCs w:val="21"/>
          <w:lang w:val="en-US" w:eastAsia="ja-JP"/>
          <w14:ligatures w14:val="none"/>
        </w:rPr>
        <w:t>無</w:t>
      </w:r>
      <w:r w:rsidRPr="009B6167">
        <w:rPr>
          <w:rFonts w:ascii="ＭＳ 明朝" w:eastAsia="ＭＳ 明朝" w:hAnsi="ＭＳ 明朝" w:cs="ＭＳ Ｐゴシック"/>
          <w:kern w:val="0"/>
          <w:szCs w:val="21"/>
          <w:lang w:val="en-US" w:eastAsia="ja-JP"/>
          <w14:ligatures w14:val="none"/>
        </w:rPr>
        <w:t>差別</w:t>
      </w:r>
    </w:p>
    <w:p w14:paraId="46AD2B77" w14:textId="37700919" w:rsidR="00DD35D8" w:rsidRPr="009B6167" w:rsidRDefault="00DD35D8" w:rsidP="00B4791E">
      <w:pPr>
        <w:widowControl/>
        <w:spacing w:line="276" w:lineRule="auto"/>
        <w:ind w:leftChars="270" w:left="567"/>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実質的平等（すべての高齢者</w:t>
      </w:r>
      <w:r w:rsidR="00894628">
        <w:rPr>
          <w:rFonts w:ascii="ＭＳ 明朝" w:eastAsia="ＭＳ 明朝" w:hAnsi="ＭＳ 明朝" w:cs="ＭＳ Ｐゴシック" w:hint="eastAsia"/>
          <w:kern w:val="0"/>
          <w:szCs w:val="21"/>
          <w:lang w:val="en-US" w:eastAsia="ja-JP"/>
          <w14:ligatures w14:val="none"/>
        </w:rPr>
        <w:t>の</w:t>
      </w:r>
      <w:r w:rsidRPr="009B6167">
        <w:rPr>
          <w:rFonts w:ascii="ＭＳ 明朝" w:eastAsia="ＭＳ 明朝" w:hAnsi="ＭＳ 明朝" w:cs="ＭＳ Ｐゴシック"/>
          <w:kern w:val="0"/>
          <w:szCs w:val="21"/>
          <w:lang w:val="en-US" w:eastAsia="ja-JP"/>
          <w14:ligatures w14:val="none"/>
        </w:rPr>
        <w:t>間における平等を含む</w:t>
      </w:r>
      <w:r w:rsidR="008A11A9">
        <w:rPr>
          <w:rStyle w:val="af2"/>
          <w:rFonts w:ascii="ＭＳ 明朝" w:eastAsia="ＭＳ 明朝" w:hAnsi="ＭＳ 明朝" w:cs="ＭＳ Ｐゴシック"/>
          <w:kern w:val="0"/>
          <w:szCs w:val="21"/>
          <w:lang w:val="en-US" w:eastAsia="ja-JP"/>
          <w14:ligatures w14:val="none"/>
        </w:rPr>
        <w:footnoteReference w:id="9"/>
      </w:r>
      <w:r w:rsidRPr="009B6167">
        <w:rPr>
          <w:rFonts w:ascii="ＭＳ 明朝" w:eastAsia="ＭＳ 明朝" w:hAnsi="ＭＳ 明朝" w:cs="ＭＳ Ｐゴシック"/>
          <w:kern w:val="0"/>
          <w:szCs w:val="21"/>
          <w:lang w:val="en-US" w:eastAsia="ja-JP"/>
          <w14:ligatures w14:val="none"/>
        </w:rPr>
        <w:t>）</w:t>
      </w:r>
    </w:p>
    <w:p w14:paraId="7C695EC6" w14:textId="77777777" w:rsidR="00DD35D8" w:rsidRPr="009B6167" w:rsidRDefault="00DD35D8" w:rsidP="00B4791E">
      <w:pPr>
        <w:widowControl/>
        <w:spacing w:line="276" w:lineRule="auto"/>
        <w:ind w:leftChars="270" w:left="567"/>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ジェンダー平等およびライフコース全体にわたるジェンダーに基づく差別の撤廃</w:t>
      </w:r>
    </w:p>
    <w:p w14:paraId="7165DD5E" w14:textId="245853FE" w:rsidR="00DD35D8" w:rsidRPr="009B6167" w:rsidRDefault="00DD35D8" w:rsidP="00B4791E">
      <w:pPr>
        <w:widowControl/>
        <w:spacing w:line="276" w:lineRule="auto"/>
        <w:ind w:leftChars="270" w:left="567"/>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固有の尊厳および個人の意思決定の尊重</w:t>
      </w:r>
    </w:p>
    <w:p w14:paraId="6BEA60B2" w14:textId="3EE05152" w:rsidR="00DD35D8" w:rsidRPr="009B6167" w:rsidRDefault="00DD35D8" w:rsidP="00B4791E">
      <w:pPr>
        <w:widowControl/>
        <w:spacing w:line="276" w:lineRule="auto"/>
        <w:ind w:leftChars="270" w:left="567"/>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身体の自律と</w:t>
      </w:r>
      <w:r w:rsidR="00D859FA">
        <w:rPr>
          <w:rFonts w:ascii="ＭＳ 明朝" w:eastAsia="ＭＳ 明朝" w:hAnsi="ＭＳ 明朝" w:cs="ＭＳ Ｐゴシック" w:hint="eastAsia"/>
          <w:kern w:val="0"/>
          <w:szCs w:val="21"/>
          <w:lang w:val="en-US" w:eastAsia="ja-JP"/>
          <w14:ligatures w14:val="none"/>
        </w:rPr>
        <w:t>そのままの状態で保護されること</w:t>
      </w:r>
      <w:r w:rsidRPr="009B6167">
        <w:rPr>
          <w:rFonts w:ascii="ＭＳ 明朝" w:eastAsia="ＭＳ 明朝" w:hAnsi="ＭＳ 明朝" w:cs="ＭＳ Ｐゴシック"/>
          <w:kern w:val="0"/>
          <w:szCs w:val="21"/>
          <w:lang w:val="en-US" w:eastAsia="ja-JP"/>
          <w14:ligatures w14:val="none"/>
        </w:rPr>
        <w:t>（これには、暴力、虐待、ネグレクト、および有害な慣行からの自由が含まれる）</w:t>
      </w:r>
    </w:p>
    <w:p w14:paraId="198C8F1E" w14:textId="77777777" w:rsidR="00DD35D8" w:rsidRPr="009B6167" w:rsidRDefault="00DD35D8" w:rsidP="00B4791E">
      <w:pPr>
        <w:widowControl/>
        <w:spacing w:line="276" w:lineRule="auto"/>
        <w:ind w:leftChars="270" w:left="567"/>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社会への完全かつ平等な参加と包摂</w:t>
      </w:r>
    </w:p>
    <w:p w14:paraId="405B2E84" w14:textId="77777777" w:rsidR="00DD35D8" w:rsidRPr="009B6167" w:rsidRDefault="00DD35D8" w:rsidP="00B4791E">
      <w:pPr>
        <w:widowControl/>
        <w:spacing w:line="276" w:lineRule="auto"/>
        <w:ind w:leftChars="270" w:left="567"/>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アクセシビリティ</w:t>
      </w:r>
    </w:p>
    <w:p w14:paraId="051455C6" w14:textId="77777777" w:rsidR="00DD35D8" w:rsidRPr="009B6167" w:rsidRDefault="00DD35D8" w:rsidP="00B4791E">
      <w:pPr>
        <w:widowControl/>
        <w:spacing w:line="276" w:lineRule="auto"/>
        <w:ind w:leftChars="270" w:left="567"/>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すべての人権の相互依存性と不可分性</w:t>
      </w:r>
    </w:p>
    <w:p w14:paraId="782B3BE8" w14:textId="4C5A966B" w:rsidR="00DD35D8" w:rsidRPr="009B6167" w:rsidRDefault="00DD35D8" w:rsidP="00B4791E">
      <w:pPr>
        <w:widowControl/>
        <w:spacing w:after="100" w:afterAutospacing="1" w:line="276" w:lineRule="auto"/>
        <w:ind w:leftChars="270" w:left="567"/>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既存の人権基準の後退の禁止</w:t>
      </w:r>
    </w:p>
    <w:p w14:paraId="2931B135" w14:textId="1C3F9EBB" w:rsidR="00DD35D8" w:rsidRPr="009B6167" w:rsidRDefault="00DD35D8" w:rsidP="008326A4">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本条約は、既存の高齢者の人権を再確認するとともに、</w:t>
      </w:r>
      <w:r w:rsidR="00487CD8" w:rsidRPr="009B6167">
        <w:rPr>
          <w:rFonts w:ascii="ＭＳ 明朝" w:eastAsia="ＭＳ 明朝" w:hAnsi="ＭＳ 明朝" w:cs="ＭＳ Ｐゴシック"/>
          <w:kern w:val="0"/>
          <w:szCs w:val="21"/>
          <w:lang w:val="en-US" w:eastAsia="ja-JP"/>
          <w14:ligatures w14:val="none"/>
        </w:rPr>
        <w:t>さらなる規範的発展が必要な</w:t>
      </w:r>
      <w:r w:rsidR="00487CD8">
        <w:rPr>
          <w:rFonts w:ascii="ＭＳ 明朝" w:eastAsia="ＭＳ 明朝" w:hAnsi="ＭＳ 明朝" w:cs="ＭＳ Ｐゴシック" w:hint="eastAsia"/>
          <w:kern w:val="0"/>
          <w:szCs w:val="21"/>
          <w:lang w:val="en-US" w:eastAsia="ja-JP"/>
          <w14:ligatures w14:val="none"/>
        </w:rPr>
        <w:t>欠点</w:t>
      </w:r>
      <w:r w:rsidR="00487CD8" w:rsidRPr="009B6167">
        <w:rPr>
          <w:rFonts w:ascii="ＭＳ 明朝" w:eastAsia="ＭＳ 明朝" w:hAnsi="ＭＳ 明朝" w:cs="ＭＳ Ｐゴシック"/>
          <w:kern w:val="0"/>
          <w:szCs w:val="21"/>
          <w:lang w:val="en-US" w:eastAsia="ja-JP"/>
          <w14:ligatures w14:val="none"/>
        </w:rPr>
        <w:t>を特定し、</w:t>
      </w:r>
      <w:r w:rsidR="007B4148">
        <w:rPr>
          <w:rFonts w:ascii="ＭＳ 明朝" w:eastAsia="ＭＳ 明朝" w:hAnsi="ＭＳ 明朝" w:cs="ＭＳ Ｐゴシック" w:hint="eastAsia"/>
          <w:kern w:val="0"/>
          <w:szCs w:val="21"/>
          <w:lang w:val="en-US" w:eastAsia="ja-JP"/>
          <w14:ligatures w14:val="none"/>
        </w:rPr>
        <w:t>それに</w:t>
      </w:r>
      <w:r w:rsidR="00487CD8" w:rsidRPr="009B6167">
        <w:rPr>
          <w:rFonts w:ascii="ＭＳ 明朝" w:eastAsia="ＭＳ 明朝" w:hAnsi="ＭＳ 明朝" w:cs="ＭＳ Ｐゴシック"/>
          <w:kern w:val="0"/>
          <w:szCs w:val="21"/>
          <w:lang w:val="en-US" w:eastAsia="ja-JP"/>
          <w14:ligatures w14:val="none"/>
        </w:rPr>
        <w:t>対処すること</w:t>
      </w:r>
      <w:r w:rsidR="00487CD8">
        <w:rPr>
          <w:rFonts w:ascii="ＭＳ 明朝" w:eastAsia="ＭＳ 明朝" w:hAnsi="ＭＳ 明朝" w:cs="ＭＳ Ｐゴシック" w:hint="eastAsia"/>
          <w:kern w:val="0"/>
          <w:szCs w:val="21"/>
          <w:lang w:val="en-US" w:eastAsia="ja-JP"/>
          <w14:ligatures w14:val="none"/>
        </w:rPr>
        <w:t>によって</w:t>
      </w:r>
      <w:r w:rsidR="00487CD8" w:rsidRPr="009B6167">
        <w:rPr>
          <w:rFonts w:ascii="ＭＳ 明朝" w:eastAsia="ＭＳ 明朝" w:hAnsi="ＭＳ 明朝" w:cs="ＭＳ Ｐゴシック"/>
          <w:kern w:val="0"/>
          <w:szCs w:val="21"/>
          <w:lang w:val="en-US" w:eastAsia="ja-JP"/>
          <w14:ligatures w14:val="none"/>
        </w:rPr>
        <w:t>、</w:t>
      </w:r>
      <w:r w:rsidRPr="009B6167">
        <w:rPr>
          <w:rFonts w:ascii="ＭＳ 明朝" w:eastAsia="ＭＳ 明朝" w:hAnsi="ＭＳ 明朝" w:cs="ＭＳ Ｐゴシック"/>
          <w:kern w:val="0"/>
          <w:szCs w:val="21"/>
          <w:lang w:val="en-US" w:eastAsia="ja-JP"/>
          <w14:ligatures w14:val="none"/>
        </w:rPr>
        <w:t>既存の国際人権基準を補完・発展させることができる。また、これらの権利が高齢者に、そして高齢という文脈においてどのように適用されるかを明確に規定すべきである。各権利について、</w:t>
      </w:r>
      <w:r w:rsidR="009E623C" w:rsidRPr="009B6167">
        <w:rPr>
          <w:rFonts w:ascii="ＭＳ 明朝" w:eastAsia="ＭＳ 明朝" w:hAnsi="ＭＳ 明朝" w:cs="ＭＳ Ｐゴシック"/>
          <w:kern w:val="0"/>
          <w:szCs w:val="21"/>
          <w:lang w:val="en-US" w:eastAsia="ja-JP"/>
          <w14:ligatures w14:val="none"/>
        </w:rPr>
        <w:t>条文に規定すべき</w:t>
      </w:r>
      <w:r w:rsidR="009E623C">
        <w:rPr>
          <w:rFonts w:ascii="ＭＳ 明朝" w:eastAsia="ＭＳ 明朝" w:hAnsi="ＭＳ 明朝" w:cs="ＭＳ Ｐゴシック" w:hint="eastAsia"/>
          <w:kern w:val="0"/>
          <w:szCs w:val="21"/>
          <w:lang w:val="en-US" w:eastAsia="ja-JP"/>
          <w14:ligatures w14:val="none"/>
        </w:rPr>
        <w:t>ことは、</w:t>
      </w:r>
      <w:r w:rsidRPr="009B6167">
        <w:rPr>
          <w:rFonts w:ascii="ＭＳ 明朝" w:eastAsia="ＭＳ 明朝" w:hAnsi="ＭＳ 明朝" w:cs="ＭＳ Ｐゴシック"/>
          <w:kern w:val="0"/>
          <w:szCs w:val="21"/>
          <w:lang w:val="en-US" w:eastAsia="ja-JP"/>
          <w14:ligatures w14:val="none"/>
        </w:rPr>
        <w:t>高齢者がどのような権利を有するか</w:t>
      </w:r>
      <w:r w:rsidR="001C605A">
        <w:rPr>
          <w:rFonts w:ascii="ＭＳ 明朝" w:eastAsia="ＭＳ 明朝" w:hAnsi="ＭＳ 明朝" w:cs="ＭＳ Ｐゴシック" w:hint="eastAsia"/>
          <w:kern w:val="0"/>
          <w:szCs w:val="21"/>
          <w:lang w:val="en-US" w:eastAsia="ja-JP"/>
          <w14:ligatures w14:val="none"/>
        </w:rPr>
        <w:t>を</w:t>
      </w:r>
      <w:r w:rsidR="005B3155">
        <w:rPr>
          <w:rFonts w:ascii="ＭＳ 明朝" w:eastAsia="ＭＳ 明朝" w:hAnsi="ＭＳ 明朝" w:cs="ＭＳ Ｐゴシック" w:hint="eastAsia"/>
          <w:kern w:val="0"/>
          <w:szCs w:val="21"/>
          <w:lang w:val="en-US" w:eastAsia="ja-JP"/>
          <w14:ligatures w14:val="none"/>
        </w:rPr>
        <w:t>述べた</w:t>
      </w:r>
      <w:r w:rsidRPr="009B6167">
        <w:rPr>
          <w:rFonts w:ascii="ＭＳ 明朝" w:eastAsia="ＭＳ 明朝" w:hAnsi="ＭＳ 明朝" w:cs="ＭＳ Ｐゴシック"/>
          <w:kern w:val="0"/>
          <w:szCs w:val="21"/>
          <w:lang w:val="en-US" w:eastAsia="ja-JP"/>
          <w14:ligatures w14:val="none"/>
        </w:rPr>
        <w:t>確認</w:t>
      </w:r>
      <w:r w:rsidR="001C605A">
        <w:rPr>
          <w:rFonts w:ascii="ＭＳ 明朝" w:eastAsia="ＭＳ 明朝" w:hAnsi="ＭＳ 明朝" w:cs="ＭＳ Ｐゴシック" w:hint="eastAsia"/>
          <w:kern w:val="0"/>
          <w:szCs w:val="21"/>
          <w:lang w:val="en-US" w:eastAsia="ja-JP"/>
          <w14:ligatures w14:val="none"/>
        </w:rPr>
        <w:t>事項</w:t>
      </w:r>
      <w:r w:rsidR="00F25311">
        <w:rPr>
          <w:rFonts w:ascii="ＭＳ 明朝" w:eastAsia="ＭＳ 明朝" w:hAnsi="ＭＳ 明朝" w:cs="ＭＳ Ｐゴシック" w:hint="eastAsia"/>
          <w:kern w:val="0"/>
          <w:szCs w:val="21"/>
          <w:lang w:val="en-US" w:eastAsia="ja-JP"/>
          <w14:ligatures w14:val="none"/>
        </w:rPr>
        <w:t>、</w:t>
      </w:r>
      <w:r w:rsidR="00650939" w:rsidRPr="009B6167">
        <w:rPr>
          <w:rFonts w:ascii="ＭＳ 明朝" w:eastAsia="ＭＳ 明朝" w:hAnsi="ＭＳ 明朝" w:cs="ＭＳ Ｐゴシック"/>
          <w:kern w:val="0"/>
          <w:szCs w:val="21"/>
          <w:lang w:val="en-US" w:eastAsia="ja-JP"/>
          <w14:ligatures w14:val="none"/>
        </w:rPr>
        <w:t>権利の範囲</w:t>
      </w:r>
      <w:r w:rsidR="00650939">
        <w:rPr>
          <w:rFonts w:ascii="ＭＳ 明朝" w:eastAsia="ＭＳ 明朝" w:hAnsi="ＭＳ 明朝" w:cs="ＭＳ Ｐゴシック" w:hint="eastAsia"/>
          <w:kern w:val="0"/>
          <w:szCs w:val="21"/>
          <w:lang w:val="en-US" w:eastAsia="ja-JP"/>
          <w14:ligatures w14:val="none"/>
        </w:rPr>
        <w:t>（</w:t>
      </w:r>
      <w:r w:rsidRPr="009B6167">
        <w:rPr>
          <w:rFonts w:ascii="ＭＳ 明朝" w:eastAsia="ＭＳ 明朝" w:hAnsi="ＭＳ 明朝" w:cs="ＭＳ Ｐゴシック"/>
          <w:kern w:val="0"/>
          <w:szCs w:val="21"/>
          <w:lang w:val="en-US" w:eastAsia="ja-JP"/>
          <w14:ligatures w14:val="none"/>
        </w:rPr>
        <w:t>例えば公的および私的</w:t>
      </w:r>
      <w:r w:rsidR="000B66B8">
        <w:rPr>
          <w:rFonts w:ascii="ＭＳ 明朝" w:eastAsia="ＭＳ 明朝" w:hAnsi="ＭＳ 明朝" w:cs="ＭＳ Ｐゴシック" w:hint="eastAsia"/>
          <w:kern w:val="0"/>
          <w:szCs w:val="21"/>
          <w:lang w:val="en-US" w:eastAsia="ja-JP"/>
          <w14:ligatures w14:val="none"/>
        </w:rPr>
        <w:t>場面</w:t>
      </w:r>
      <w:r w:rsidRPr="009B6167">
        <w:rPr>
          <w:rFonts w:ascii="ＭＳ 明朝" w:eastAsia="ＭＳ 明朝" w:hAnsi="ＭＳ 明朝" w:cs="ＭＳ Ｐゴシック"/>
          <w:kern w:val="0"/>
          <w:szCs w:val="21"/>
          <w:lang w:val="en-US" w:eastAsia="ja-JP"/>
          <w14:ligatures w14:val="none"/>
        </w:rPr>
        <w:t>の</w:t>
      </w:r>
      <w:r w:rsidR="009C61F3">
        <w:rPr>
          <w:rFonts w:ascii="ＭＳ 明朝" w:eastAsia="ＭＳ 明朝" w:hAnsi="ＭＳ 明朝" w:cs="ＭＳ Ｐゴシック" w:hint="eastAsia"/>
          <w:kern w:val="0"/>
          <w:szCs w:val="21"/>
          <w:lang w:val="en-US" w:eastAsia="ja-JP"/>
          <w14:ligatures w14:val="none"/>
        </w:rPr>
        <w:t>両方</w:t>
      </w:r>
      <w:r w:rsidRPr="009B6167">
        <w:rPr>
          <w:rFonts w:ascii="ＭＳ 明朝" w:eastAsia="ＭＳ 明朝" w:hAnsi="ＭＳ 明朝" w:cs="ＭＳ Ｐゴシック"/>
          <w:kern w:val="0"/>
          <w:szCs w:val="21"/>
          <w:lang w:val="en-US" w:eastAsia="ja-JP"/>
          <w14:ligatures w14:val="none"/>
        </w:rPr>
        <w:t>に適用される</w:t>
      </w:r>
      <w:r w:rsidR="00650939">
        <w:rPr>
          <w:rFonts w:ascii="ＭＳ 明朝" w:eastAsia="ＭＳ 明朝" w:hAnsi="ＭＳ 明朝" w:cs="ＭＳ Ｐゴシック" w:hint="eastAsia"/>
          <w:kern w:val="0"/>
          <w:szCs w:val="21"/>
          <w:lang w:val="en-US" w:eastAsia="ja-JP"/>
          <w14:ligatures w14:val="none"/>
        </w:rPr>
        <w:t>、など）</w:t>
      </w:r>
      <w:r w:rsidRPr="009B6167">
        <w:rPr>
          <w:rFonts w:ascii="ＭＳ 明朝" w:eastAsia="ＭＳ 明朝" w:hAnsi="ＭＳ 明朝" w:cs="ＭＳ Ｐゴシック"/>
          <w:kern w:val="0"/>
          <w:szCs w:val="21"/>
          <w:lang w:val="en-US" w:eastAsia="ja-JP"/>
          <w14:ligatures w14:val="none"/>
        </w:rPr>
        <w:t>、そしてその権利を尊重、保護、実現するために国家が</w:t>
      </w:r>
      <w:r w:rsidR="006D7674">
        <w:rPr>
          <w:rFonts w:ascii="ＭＳ 明朝" w:eastAsia="ＭＳ 明朝" w:hAnsi="ＭＳ 明朝" w:cs="ＭＳ Ｐゴシック" w:hint="eastAsia"/>
          <w:kern w:val="0"/>
          <w:szCs w:val="21"/>
          <w:lang w:val="en-US" w:eastAsia="ja-JP"/>
          <w14:ligatures w14:val="none"/>
        </w:rPr>
        <w:t>講じる</w:t>
      </w:r>
      <w:r w:rsidRPr="009B6167">
        <w:rPr>
          <w:rFonts w:ascii="ＭＳ 明朝" w:eastAsia="ＭＳ 明朝" w:hAnsi="ＭＳ 明朝" w:cs="ＭＳ Ｐゴシック"/>
          <w:kern w:val="0"/>
          <w:szCs w:val="21"/>
          <w:lang w:val="en-US" w:eastAsia="ja-JP"/>
          <w14:ligatures w14:val="none"/>
        </w:rPr>
        <w:t>べき措置</w:t>
      </w:r>
      <w:r w:rsidR="0072105A">
        <w:rPr>
          <w:rFonts w:ascii="ＭＳ 明朝" w:eastAsia="ＭＳ 明朝" w:hAnsi="ＭＳ 明朝" w:cs="ＭＳ Ｐゴシック" w:hint="eastAsia"/>
          <w:kern w:val="0"/>
          <w:szCs w:val="21"/>
          <w:lang w:val="en-US" w:eastAsia="ja-JP"/>
          <w14:ligatures w14:val="none"/>
        </w:rPr>
        <w:t>などである。</w:t>
      </w:r>
      <w:r w:rsidRPr="009B6167">
        <w:rPr>
          <w:rFonts w:ascii="ＭＳ 明朝" w:eastAsia="ＭＳ 明朝" w:hAnsi="ＭＳ 明朝" w:cs="ＭＳ Ｐゴシック" w:hint="eastAsia"/>
          <w:kern w:val="0"/>
          <w:szCs w:val="21"/>
          <w:lang w:val="en-US" w:eastAsia="ja-JP"/>
          <w14:ligatures w14:val="none"/>
        </w:rPr>
        <w:t xml:space="preserve">　</w:t>
      </w:r>
    </w:p>
    <w:p w14:paraId="7268153E" w14:textId="0C13D802"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lastRenderedPageBreak/>
        <w:t>高齢者は、生活の多くの側面において人権侵害に直面している。</w:t>
      </w:r>
      <w:bookmarkStart w:id="0" w:name="_Hlk230837984"/>
      <w:r w:rsidR="00C22D60">
        <w:rPr>
          <w:rFonts w:ascii="ＭＳ 明朝" w:eastAsia="ＭＳ 明朝" w:hAnsi="ＭＳ 明朝" w:cs="ＭＳ Ｐゴシック" w:hint="eastAsia"/>
          <w:kern w:val="0"/>
          <w:szCs w:val="21"/>
          <w:lang w:val="en-US" w:eastAsia="ja-JP"/>
          <w14:ligatures w14:val="none"/>
        </w:rPr>
        <w:t>HRW</w:t>
      </w:r>
      <w:bookmarkEnd w:id="0"/>
      <w:r w:rsidRPr="009B6167">
        <w:rPr>
          <w:rFonts w:ascii="ＭＳ 明朝" w:eastAsia="ＭＳ 明朝" w:hAnsi="ＭＳ 明朝" w:cs="ＭＳ Ｐゴシック"/>
          <w:kern w:val="0"/>
          <w:szCs w:val="21"/>
          <w:lang w:val="en-US" w:eastAsia="ja-JP"/>
          <w14:ligatures w14:val="none"/>
        </w:rPr>
        <w:t>は、新型コロナウイルス感染症（COVID-19）のパンデミック下における移動の差別的制限</w:t>
      </w:r>
      <w:r w:rsidR="00EA660D">
        <w:rPr>
          <w:rStyle w:val="af2"/>
          <w:rFonts w:ascii="ＭＳ 明朝" w:eastAsia="ＭＳ 明朝" w:hAnsi="ＭＳ 明朝" w:cs="ＭＳ Ｐゴシック"/>
          <w:kern w:val="0"/>
          <w:szCs w:val="21"/>
          <w:lang w:val="en-US" w:eastAsia="ja-JP"/>
          <w14:ligatures w14:val="none"/>
        </w:rPr>
        <w:footnoteReference w:id="10"/>
      </w:r>
      <w:r w:rsidRPr="009B6167">
        <w:rPr>
          <w:rFonts w:ascii="ＭＳ 明朝" w:eastAsia="ＭＳ 明朝" w:hAnsi="ＭＳ 明朝" w:cs="ＭＳ Ｐゴシック"/>
          <w:kern w:val="0"/>
          <w:szCs w:val="21"/>
          <w:lang w:val="en-US" w:eastAsia="ja-JP"/>
          <w14:ligatures w14:val="none"/>
        </w:rPr>
        <w:t>、雇用における差別的扱いの</w:t>
      </w:r>
      <w:r w:rsidR="006A6235">
        <w:rPr>
          <w:rFonts w:ascii="ＭＳ 明朝" w:eastAsia="ＭＳ 明朝" w:hAnsi="ＭＳ 明朝" w:cs="ＭＳ Ｐゴシック" w:hint="eastAsia"/>
          <w:kern w:val="0"/>
          <w:szCs w:val="21"/>
          <w:lang w:val="en-US" w:eastAsia="ja-JP"/>
          <w14:ligatures w14:val="none"/>
        </w:rPr>
        <w:t>エイジズムに基づく</w:t>
      </w:r>
      <w:r w:rsidRPr="009B6167">
        <w:rPr>
          <w:rFonts w:ascii="ＭＳ 明朝" w:eastAsia="ＭＳ 明朝" w:hAnsi="ＭＳ 明朝" w:cs="ＭＳ Ｐゴシック"/>
          <w:kern w:val="0"/>
          <w:szCs w:val="21"/>
          <w:lang w:val="en-US" w:eastAsia="ja-JP"/>
          <w14:ligatures w14:val="none"/>
        </w:rPr>
        <w:t>正当化</w:t>
      </w:r>
      <w:r w:rsidR="00235068">
        <w:rPr>
          <w:rStyle w:val="af2"/>
          <w:rFonts w:ascii="ＭＳ 明朝" w:eastAsia="ＭＳ 明朝" w:hAnsi="ＭＳ 明朝" w:cs="ＭＳ Ｐゴシック"/>
          <w:kern w:val="0"/>
          <w:szCs w:val="21"/>
          <w:lang w:val="en-US" w:eastAsia="ja-JP"/>
          <w14:ligatures w14:val="none"/>
        </w:rPr>
        <w:footnoteReference w:id="11"/>
      </w:r>
      <w:r w:rsidRPr="009B6167">
        <w:rPr>
          <w:rFonts w:ascii="ＭＳ 明朝" w:eastAsia="ＭＳ 明朝" w:hAnsi="ＭＳ 明朝" w:cs="ＭＳ Ｐゴシック"/>
          <w:kern w:val="0"/>
          <w:szCs w:val="21"/>
          <w:lang w:val="en-US" w:eastAsia="ja-JP"/>
          <w14:ligatures w14:val="none"/>
        </w:rPr>
        <w:t>、職業的分離</w:t>
      </w:r>
      <w:r w:rsidR="003C6CF5">
        <w:rPr>
          <w:rStyle w:val="af2"/>
          <w:rFonts w:ascii="ＭＳ 明朝" w:eastAsia="ＭＳ 明朝" w:hAnsi="ＭＳ 明朝" w:cs="ＭＳ Ｐゴシック"/>
          <w:kern w:val="0"/>
          <w:szCs w:val="21"/>
          <w:lang w:val="en-US" w:eastAsia="ja-JP"/>
          <w14:ligatures w14:val="none"/>
        </w:rPr>
        <w:footnoteReference w:id="12"/>
      </w:r>
      <w:r w:rsidRPr="009B6167">
        <w:rPr>
          <w:rFonts w:ascii="ＭＳ 明朝" w:eastAsia="ＭＳ 明朝" w:hAnsi="ＭＳ 明朝" w:cs="ＭＳ Ｐゴシック"/>
          <w:kern w:val="0"/>
          <w:szCs w:val="21"/>
          <w:lang w:val="en-US" w:eastAsia="ja-JP"/>
          <w14:ligatures w14:val="none"/>
        </w:rPr>
        <w:t>、武力紛争下での虐待</w:t>
      </w:r>
      <w:r w:rsidR="003C6CF5">
        <w:rPr>
          <w:rStyle w:val="af2"/>
          <w:rFonts w:ascii="ＭＳ 明朝" w:eastAsia="ＭＳ 明朝" w:hAnsi="ＭＳ 明朝" w:cs="ＭＳ Ｐゴシック"/>
          <w:kern w:val="0"/>
          <w:szCs w:val="21"/>
          <w:lang w:val="en-US" w:eastAsia="ja-JP"/>
          <w14:ligatures w14:val="none"/>
        </w:rPr>
        <w:footnoteReference w:id="13"/>
      </w:r>
      <w:r w:rsidRPr="009B6167">
        <w:rPr>
          <w:rFonts w:ascii="ＭＳ 明朝" w:eastAsia="ＭＳ 明朝" w:hAnsi="ＭＳ 明朝" w:cs="ＭＳ Ｐゴシック"/>
          <w:kern w:val="0"/>
          <w:szCs w:val="21"/>
          <w:lang w:val="en-US" w:eastAsia="ja-JP"/>
          <w14:ligatures w14:val="none"/>
        </w:rPr>
        <w:t>、気候危機への対応からの排除</w:t>
      </w:r>
      <w:r w:rsidR="00790FBF">
        <w:rPr>
          <w:rStyle w:val="af2"/>
          <w:rFonts w:ascii="ＭＳ 明朝" w:eastAsia="ＭＳ 明朝" w:hAnsi="ＭＳ 明朝" w:cs="ＭＳ Ｐゴシック"/>
          <w:kern w:val="0"/>
          <w:szCs w:val="21"/>
          <w:lang w:val="en-US" w:eastAsia="ja-JP"/>
          <w14:ligatures w14:val="none"/>
        </w:rPr>
        <w:footnoteReference w:id="14"/>
      </w:r>
      <w:r w:rsidRPr="009B6167">
        <w:rPr>
          <w:rFonts w:ascii="ＭＳ 明朝" w:eastAsia="ＭＳ 明朝" w:hAnsi="ＭＳ 明朝" w:cs="ＭＳ Ｐゴシック"/>
          <w:kern w:val="0"/>
          <w:szCs w:val="21"/>
          <w:lang w:val="en-US" w:eastAsia="ja-JP"/>
          <w14:ligatures w14:val="none"/>
        </w:rPr>
        <w:t>、インフォームド・コンセントおよび法的能力の否定</w:t>
      </w:r>
      <w:r w:rsidR="00790FBF">
        <w:rPr>
          <w:rStyle w:val="af2"/>
          <w:rFonts w:ascii="ＭＳ 明朝" w:eastAsia="ＭＳ 明朝" w:hAnsi="ＭＳ 明朝" w:cs="ＭＳ Ｐゴシック"/>
          <w:kern w:val="0"/>
          <w:szCs w:val="21"/>
          <w:lang w:val="en-US" w:eastAsia="ja-JP"/>
          <w14:ligatures w14:val="none"/>
        </w:rPr>
        <w:footnoteReference w:id="15"/>
      </w:r>
      <w:r w:rsidRPr="009B6167">
        <w:rPr>
          <w:rFonts w:ascii="ＭＳ 明朝" w:eastAsia="ＭＳ 明朝" w:hAnsi="ＭＳ 明朝" w:cs="ＭＳ Ｐゴシック"/>
          <w:kern w:val="0"/>
          <w:szCs w:val="21"/>
          <w:lang w:val="en-US" w:eastAsia="ja-JP"/>
          <w14:ligatures w14:val="none"/>
        </w:rPr>
        <w:t>、ならびに不十分な社会保障</w:t>
      </w:r>
      <w:r w:rsidR="00B21942">
        <w:rPr>
          <w:rStyle w:val="af2"/>
          <w:rFonts w:ascii="ＭＳ 明朝" w:eastAsia="ＭＳ 明朝" w:hAnsi="ＭＳ 明朝" w:cs="ＭＳ Ｐゴシック"/>
          <w:kern w:val="0"/>
          <w:szCs w:val="21"/>
          <w:lang w:val="en-US" w:eastAsia="ja-JP"/>
          <w14:ligatures w14:val="none"/>
        </w:rPr>
        <w:footnoteReference w:id="16"/>
      </w:r>
      <w:r w:rsidRPr="009B6167">
        <w:rPr>
          <w:rFonts w:ascii="ＭＳ 明朝" w:eastAsia="ＭＳ 明朝" w:hAnsi="ＭＳ 明朝" w:cs="ＭＳ Ｐゴシック"/>
          <w:kern w:val="0"/>
          <w:szCs w:val="21"/>
          <w:lang w:val="en-US" w:eastAsia="ja-JP"/>
          <w14:ligatures w14:val="none"/>
        </w:rPr>
        <w:t>など、高齢者に対する広範な人権侵害を記録している。また、</w:t>
      </w:r>
      <w:r w:rsidR="00847401" w:rsidRPr="00847401">
        <w:rPr>
          <w:rFonts w:ascii="ＭＳ 明朝" w:eastAsia="ＭＳ 明朝" w:hAnsi="ＭＳ 明朝" w:cs="ＭＳ Ｐゴシック"/>
          <w:kern w:val="0"/>
          <w:szCs w:val="21"/>
          <w:lang w:val="en-US" w:eastAsia="ja-JP"/>
          <w14:ligatures w14:val="none"/>
        </w:rPr>
        <w:t>HRW</w:t>
      </w:r>
      <w:r w:rsidRPr="009B6167">
        <w:rPr>
          <w:rFonts w:ascii="ＭＳ 明朝" w:eastAsia="ＭＳ 明朝" w:hAnsi="ＭＳ 明朝" w:cs="ＭＳ Ｐゴシック"/>
          <w:kern w:val="0"/>
          <w:szCs w:val="21"/>
          <w:lang w:val="en-US" w:eastAsia="ja-JP"/>
          <w14:ligatures w14:val="none"/>
        </w:rPr>
        <w:t>は、高齢の女性が直面する特有かつ複合的な被害</w:t>
      </w:r>
      <w:r w:rsidR="002E56AE">
        <w:rPr>
          <w:rStyle w:val="af2"/>
          <w:rFonts w:ascii="ＭＳ 明朝" w:eastAsia="ＭＳ 明朝" w:hAnsi="ＭＳ 明朝" w:cs="ＭＳ Ｐゴシック"/>
          <w:kern w:val="0"/>
          <w:szCs w:val="21"/>
          <w:lang w:val="en-US" w:eastAsia="ja-JP"/>
          <w14:ligatures w14:val="none"/>
        </w:rPr>
        <w:footnoteReference w:id="17"/>
      </w:r>
      <w:r w:rsidRPr="009B6167">
        <w:rPr>
          <w:rFonts w:ascii="ＭＳ 明朝" w:eastAsia="ＭＳ 明朝" w:hAnsi="ＭＳ 明朝" w:cs="ＭＳ Ｐゴシック"/>
          <w:kern w:val="0"/>
          <w:szCs w:val="21"/>
          <w:lang w:val="en-US" w:eastAsia="ja-JP"/>
          <w14:ligatures w14:val="none"/>
        </w:rPr>
        <w:t>、黒人高齢女性に対する医療政策の不均衡な影響</w:t>
      </w:r>
      <w:r w:rsidR="002E56AE">
        <w:rPr>
          <w:rStyle w:val="af2"/>
          <w:rFonts w:ascii="ＭＳ 明朝" w:eastAsia="ＭＳ 明朝" w:hAnsi="ＭＳ 明朝" w:cs="ＭＳ Ｐゴシック"/>
          <w:kern w:val="0"/>
          <w:szCs w:val="21"/>
          <w:lang w:val="en-US" w:eastAsia="ja-JP"/>
          <w14:ligatures w14:val="none"/>
        </w:rPr>
        <w:footnoteReference w:id="18"/>
      </w:r>
      <w:r w:rsidRPr="009B6167">
        <w:rPr>
          <w:rFonts w:ascii="ＭＳ 明朝" w:eastAsia="ＭＳ 明朝" w:hAnsi="ＭＳ 明朝" w:cs="ＭＳ Ｐゴシック"/>
          <w:kern w:val="0"/>
          <w:szCs w:val="21"/>
          <w:lang w:val="en-US" w:eastAsia="ja-JP"/>
          <w14:ligatures w14:val="none"/>
        </w:rPr>
        <w:t>、</w:t>
      </w:r>
      <w:r w:rsidR="00A22425">
        <w:rPr>
          <w:rFonts w:ascii="ＭＳ 明朝" w:eastAsia="ＭＳ 明朝" w:hAnsi="ＭＳ 明朝" w:cs="ＭＳ Ｐゴシック" w:hint="eastAsia"/>
          <w:kern w:val="0"/>
          <w:szCs w:val="21"/>
          <w:lang w:val="en-US" w:eastAsia="ja-JP"/>
          <w14:ligatures w14:val="none"/>
        </w:rPr>
        <w:t>ナーシングホーム</w:t>
      </w:r>
      <w:r w:rsidRPr="009B6167">
        <w:rPr>
          <w:rFonts w:ascii="ＭＳ 明朝" w:eastAsia="ＭＳ 明朝" w:hAnsi="ＭＳ 明朝" w:cs="ＭＳ Ｐゴシック"/>
          <w:kern w:val="0"/>
          <w:szCs w:val="21"/>
          <w:lang w:val="en-US" w:eastAsia="ja-JP"/>
          <w14:ligatures w14:val="none"/>
        </w:rPr>
        <w:t>における化学的拘束の使用</w:t>
      </w:r>
      <w:r w:rsidR="00A22425">
        <w:rPr>
          <w:rStyle w:val="af2"/>
          <w:rFonts w:ascii="ＭＳ 明朝" w:eastAsia="ＭＳ 明朝" w:hAnsi="ＭＳ 明朝" w:cs="ＭＳ Ｐゴシック"/>
          <w:kern w:val="0"/>
          <w:szCs w:val="21"/>
          <w:lang w:val="en-US" w:eastAsia="ja-JP"/>
          <w14:ligatures w14:val="none"/>
        </w:rPr>
        <w:footnoteReference w:id="19"/>
      </w:r>
      <w:r w:rsidRPr="009B6167">
        <w:rPr>
          <w:rFonts w:ascii="ＭＳ 明朝" w:eastAsia="ＭＳ 明朝" w:hAnsi="ＭＳ 明朝" w:cs="ＭＳ Ｐゴシック"/>
          <w:kern w:val="0"/>
          <w:szCs w:val="21"/>
          <w:lang w:val="en-US" w:eastAsia="ja-JP"/>
          <w14:ligatures w14:val="none"/>
        </w:rPr>
        <w:t>、地域社会で</w:t>
      </w:r>
      <w:r w:rsidR="00BC6A5E">
        <w:rPr>
          <w:rFonts w:ascii="ＭＳ 明朝" w:eastAsia="ＭＳ 明朝" w:hAnsi="ＭＳ 明朝" w:cs="ＭＳ Ｐゴシック" w:hint="eastAsia"/>
          <w:kern w:val="0"/>
          <w:szCs w:val="21"/>
          <w:lang w:val="en-US" w:eastAsia="ja-JP"/>
          <w14:ligatures w14:val="none"/>
        </w:rPr>
        <w:t>独立</w:t>
      </w:r>
      <w:r w:rsidRPr="009B6167">
        <w:rPr>
          <w:rFonts w:ascii="ＭＳ 明朝" w:eastAsia="ＭＳ 明朝" w:hAnsi="ＭＳ 明朝" w:cs="ＭＳ Ｐゴシック"/>
          <w:kern w:val="0"/>
          <w:szCs w:val="21"/>
          <w:lang w:val="en-US" w:eastAsia="ja-JP"/>
          <w14:ligatures w14:val="none"/>
        </w:rPr>
        <w:t>した生活を送る</w:t>
      </w:r>
      <w:r w:rsidRPr="009B6167">
        <w:rPr>
          <w:rFonts w:ascii="ＭＳ 明朝" w:eastAsia="ＭＳ 明朝" w:hAnsi="ＭＳ 明朝" w:cs="ＭＳ Ｐゴシック"/>
          <w:kern w:val="0"/>
          <w:szCs w:val="21"/>
          <w:lang w:val="en-US" w:eastAsia="ja-JP"/>
          <w14:ligatures w14:val="none"/>
        </w:rPr>
        <w:lastRenderedPageBreak/>
        <w:t>ための不十分なケアおよび支援サービス</w:t>
      </w:r>
      <w:r w:rsidR="00BC6A5E">
        <w:rPr>
          <w:rStyle w:val="af2"/>
          <w:rFonts w:ascii="ＭＳ 明朝" w:eastAsia="ＭＳ 明朝" w:hAnsi="ＭＳ 明朝" w:cs="ＭＳ Ｐゴシック"/>
          <w:kern w:val="0"/>
          <w:szCs w:val="21"/>
          <w:lang w:val="en-US" w:eastAsia="ja-JP"/>
          <w14:ligatures w14:val="none"/>
        </w:rPr>
        <w:footnoteReference w:id="20"/>
      </w:r>
      <w:r w:rsidRPr="009B6167">
        <w:rPr>
          <w:rFonts w:ascii="ＭＳ 明朝" w:eastAsia="ＭＳ 明朝" w:hAnsi="ＭＳ 明朝" w:cs="ＭＳ Ｐゴシック"/>
          <w:kern w:val="0"/>
          <w:szCs w:val="21"/>
          <w:lang w:val="en-US" w:eastAsia="ja-JP"/>
          <w14:ligatures w14:val="none"/>
        </w:rPr>
        <w:t>、高齢受刑者への虐待</w:t>
      </w:r>
      <w:r w:rsidR="000C5181">
        <w:rPr>
          <w:rStyle w:val="af2"/>
          <w:rFonts w:ascii="ＭＳ 明朝" w:eastAsia="ＭＳ 明朝" w:hAnsi="ＭＳ 明朝" w:cs="ＭＳ Ｐゴシック"/>
          <w:kern w:val="0"/>
          <w:szCs w:val="21"/>
          <w:lang w:val="en-US" w:eastAsia="ja-JP"/>
          <w14:ligatures w14:val="none"/>
        </w:rPr>
        <w:footnoteReference w:id="21"/>
      </w:r>
      <w:r w:rsidRPr="009B6167">
        <w:rPr>
          <w:rFonts w:ascii="ＭＳ 明朝" w:eastAsia="ＭＳ 明朝" w:hAnsi="ＭＳ 明朝" w:cs="ＭＳ Ｐゴシック"/>
          <w:kern w:val="0"/>
          <w:szCs w:val="21"/>
          <w:lang w:val="en-US" w:eastAsia="ja-JP"/>
          <w14:ligatures w14:val="none"/>
        </w:rPr>
        <w:t>、および自由の剥奪</w:t>
      </w:r>
      <w:r w:rsidR="000C5181">
        <w:rPr>
          <w:rStyle w:val="af2"/>
          <w:rFonts w:ascii="ＭＳ 明朝" w:eastAsia="ＭＳ 明朝" w:hAnsi="ＭＳ 明朝" w:cs="ＭＳ Ｐゴシック"/>
          <w:kern w:val="0"/>
          <w:szCs w:val="21"/>
          <w:lang w:val="en-US" w:eastAsia="ja-JP"/>
          <w14:ligatures w14:val="none"/>
        </w:rPr>
        <w:footnoteReference w:id="22"/>
      </w:r>
      <w:r w:rsidRPr="009B6167">
        <w:rPr>
          <w:rFonts w:ascii="ＭＳ 明朝" w:eastAsia="ＭＳ 明朝" w:hAnsi="ＭＳ 明朝" w:cs="ＭＳ Ｐゴシック"/>
          <w:kern w:val="0"/>
          <w:szCs w:val="21"/>
          <w:lang w:val="en-US" w:eastAsia="ja-JP"/>
          <w14:ligatures w14:val="none"/>
        </w:rPr>
        <w:t>についても記録している。</w:t>
      </w:r>
    </w:p>
    <w:p w14:paraId="590DC7BC" w14:textId="2F7E098C"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本条約は、高齢者がすべての人権を享受し、他の人</w:t>
      </w:r>
      <w:r w:rsidR="00896A71">
        <w:rPr>
          <w:rFonts w:ascii="ＭＳ 明朝" w:eastAsia="ＭＳ 明朝" w:hAnsi="ＭＳ 明朝" w:cs="ＭＳ Ｐゴシック" w:hint="eastAsia"/>
          <w:kern w:val="0"/>
          <w:szCs w:val="21"/>
          <w:lang w:val="en-US" w:eastAsia="ja-JP"/>
          <w14:ligatures w14:val="none"/>
        </w:rPr>
        <w:t>と平等に</w:t>
      </w:r>
      <w:r w:rsidRPr="009B6167">
        <w:rPr>
          <w:rFonts w:ascii="ＭＳ 明朝" w:eastAsia="ＭＳ 明朝" w:hAnsi="ＭＳ 明朝" w:cs="ＭＳ Ｐゴシック"/>
          <w:kern w:val="0"/>
          <w:szCs w:val="21"/>
          <w:lang w:val="en-US" w:eastAsia="ja-JP"/>
          <w14:ligatures w14:val="none"/>
        </w:rPr>
        <w:t>社会に参加できるよう、市民的、文化的、経済的、政治的、社会的人権の全範囲を網羅すべきである。</w:t>
      </w:r>
    </w:p>
    <w:p w14:paraId="23B89970" w14:textId="0BBB42E1"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CE0A06">
        <w:rPr>
          <w:rFonts w:ascii="ＭＳ 明朝" w:eastAsia="ＭＳ 明朝" w:hAnsi="ＭＳ 明朝" w:cs="ＭＳ Ｐゴシック"/>
          <w:kern w:val="0"/>
          <w:szCs w:val="21"/>
          <w:lang w:val="en-US" w:eastAsia="ja-JP"/>
          <w14:ligatures w14:val="none"/>
        </w:rPr>
        <w:t>本条約は、高齢であることを理由とする差別、および社会的・文化的規範に</w:t>
      </w:r>
      <w:r w:rsidRPr="009B6167">
        <w:rPr>
          <w:rFonts w:ascii="ＭＳ 明朝" w:eastAsia="ＭＳ 明朝" w:hAnsi="ＭＳ 明朝" w:cs="ＭＳ Ｐゴシック"/>
          <w:kern w:val="0"/>
          <w:szCs w:val="21"/>
          <w:lang w:val="en-US" w:eastAsia="ja-JP"/>
          <w14:ligatures w14:val="none"/>
        </w:rPr>
        <w:t>基づくものを含め、高齢者に割り当てられた年齢特有の役割に基づく差別を禁止すべきである。これには、直接的および間接的差別、</w:t>
      </w:r>
      <w:r w:rsidR="005D6BDE">
        <w:rPr>
          <w:rFonts w:ascii="ＭＳ 明朝" w:eastAsia="ＭＳ 明朝" w:hAnsi="ＭＳ 明朝" w:cs="ＭＳ Ｐゴシック" w:hint="eastAsia"/>
          <w:kern w:val="0"/>
          <w:szCs w:val="21"/>
          <w:lang w:val="en-US" w:eastAsia="ja-JP"/>
          <w14:ligatures w14:val="none"/>
        </w:rPr>
        <w:t>高齢であると思われたことによる差別や</w:t>
      </w:r>
      <w:r w:rsidR="003E762E">
        <w:rPr>
          <w:rFonts w:ascii="ＭＳ 明朝" w:eastAsia="ＭＳ 明朝" w:hAnsi="ＭＳ 明朝" w:cs="ＭＳ Ｐゴシック" w:hint="eastAsia"/>
          <w:kern w:val="0"/>
          <w:szCs w:val="21"/>
          <w:lang w:val="en-US" w:eastAsia="ja-JP"/>
          <w14:ligatures w14:val="none"/>
        </w:rPr>
        <w:t>高齢者の関係者であることによる差別（</w:t>
      </w:r>
      <w:r w:rsidR="003E762E" w:rsidRPr="003E762E">
        <w:rPr>
          <w:rFonts w:ascii="ＭＳ 明朝" w:eastAsia="ＭＳ 明朝" w:hAnsi="ＭＳ 明朝" w:cs="ＭＳ Ｐゴシック"/>
          <w:kern w:val="0"/>
          <w:szCs w:val="21"/>
          <w:lang w:val="en-US" w:eastAsia="ja-JP"/>
          <w14:ligatures w14:val="none"/>
        </w:rPr>
        <w:t>discrimination based on association</w:t>
      </w:r>
      <w:r w:rsidR="003E762E">
        <w:rPr>
          <w:rFonts w:ascii="ＭＳ 明朝" w:eastAsia="ＭＳ 明朝" w:hAnsi="ＭＳ 明朝" w:cs="ＭＳ Ｐゴシック" w:hint="eastAsia"/>
          <w:kern w:val="0"/>
          <w:szCs w:val="21"/>
          <w:lang w:val="en-US" w:eastAsia="ja-JP"/>
          <w14:ligatures w14:val="none"/>
        </w:rPr>
        <w:t>）</w:t>
      </w:r>
      <w:r w:rsidRPr="009B6167">
        <w:rPr>
          <w:rFonts w:ascii="ＭＳ 明朝" w:eastAsia="ＭＳ 明朝" w:hAnsi="ＭＳ 明朝" w:cs="ＭＳ Ｐゴシック"/>
          <w:kern w:val="0"/>
          <w:szCs w:val="21"/>
          <w:lang w:val="en-US" w:eastAsia="ja-JP"/>
          <w14:ligatures w14:val="none"/>
        </w:rPr>
        <w:t>、累積的差別、2つ以上の理由に基づく交差的差別、ならびに制度的差別</w:t>
      </w:r>
      <w:r w:rsidR="00F72221">
        <w:rPr>
          <w:rFonts w:ascii="ＭＳ 明朝" w:eastAsia="ＭＳ 明朝" w:hAnsi="ＭＳ 明朝" w:cs="ＭＳ Ｐゴシック" w:hint="eastAsia"/>
          <w:kern w:val="0"/>
          <w:szCs w:val="21"/>
          <w:lang w:val="en-US" w:eastAsia="ja-JP"/>
          <w14:ligatures w14:val="none"/>
        </w:rPr>
        <w:t>（</w:t>
      </w:r>
      <w:r w:rsidR="00F72221" w:rsidRPr="00F72221">
        <w:rPr>
          <w:rFonts w:ascii="ＭＳ 明朝" w:eastAsia="ＭＳ 明朝" w:hAnsi="ＭＳ 明朝" w:cs="ＭＳ Ｐゴシック"/>
          <w:kern w:val="0"/>
          <w:szCs w:val="21"/>
          <w:lang w:val="en-US" w:eastAsia="ja-JP"/>
          <w14:ligatures w14:val="none"/>
        </w:rPr>
        <w:t>systemic discrimination</w:t>
      </w:r>
      <w:r w:rsidR="00F72221">
        <w:rPr>
          <w:rFonts w:ascii="ＭＳ 明朝" w:eastAsia="ＭＳ 明朝" w:hAnsi="ＭＳ 明朝" w:cs="ＭＳ Ｐゴシック" w:hint="eastAsia"/>
          <w:kern w:val="0"/>
          <w:szCs w:val="21"/>
          <w:lang w:val="en-US" w:eastAsia="ja-JP"/>
          <w14:ligatures w14:val="none"/>
        </w:rPr>
        <w:t>）</w:t>
      </w:r>
      <w:r w:rsidRPr="009B6167">
        <w:rPr>
          <w:rFonts w:ascii="ＭＳ 明朝" w:eastAsia="ＭＳ 明朝" w:hAnsi="ＭＳ 明朝" w:cs="ＭＳ Ｐゴシック"/>
          <w:kern w:val="0"/>
          <w:szCs w:val="21"/>
          <w:lang w:val="en-US" w:eastAsia="ja-JP"/>
          <w14:ligatures w14:val="none"/>
        </w:rPr>
        <w:t>の定義を含めるべきである。合理的配慮の拒否も、差別の形態として含めるべきである。年齢に基づく</w:t>
      </w:r>
      <w:r w:rsidR="00DE2894">
        <w:rPr>
          <w:rFonts w:ascii="ＭＳ 明朝" w:eastAsia="ＭＳ 明朝" w:hAnsi="ＭＳ 明朝" w:cs="ＭＳ Ｐゴシック" w:hint="eastAsia"/>
          <w:kern w:val="0"/>
          <w:szCs w:val="21"/>
          <w:lang w:val="en-US" w:eastAsia="ja-JP"/>
          <w14:ligatures w14:val="none"/>
        </w:rPr>
        <w:t>異なった</w:t>
      </w:r>
      <w:r w:rsidRPr="009B6167">
        <w:rPr>
          <w:rFonts w:ascii="ＭＳ 明朝" w:eastAsia="ＭＳ 明朝" w:hAnsi="ＭＳ 明朝" w:cs="ＭＳ Ｐゴシック"/>
          <w:kern w:val="0"/>
          <w:szCs w:val="21"/>
          <w:lang w:val="en-US" w:eastAsia="ja-JP"/>
          <w14:ligatures w14:val="none"/>
        </w:rPr>
        <w:t>取扱いは、国際人権法に準拠して正当化され</w:t>
      </w:r>
      <w:r w:rsidR="00DE2894">
        <w:rPr>
          <w:rFonts w:ascii="ＭＳ 明朝" w:eastAsia="ＭＳ 明朝" w:hAnsi="ＭＳ 明朝" w:cs="ＭＳ Ｐゴシック" w:hint="eastAsia"/>
          <w:kern w:val="0"/>
          <w:szCs w:val="21"/>
          <w:lang w:val="en-US" w:eastAsia="ja-JP"/>
          <w14:ligatures w14:val="none"/>
        </w:rPr>
        <w:t>なければ</w:t>
      </w:r>
      <w:r w:rsidRPr="009B6167">
        <w:rPr>
          <w:rFonts w:ascii="ＭＳ 明朝" w:eastAsia="ＭＳ 明朝" w:hAnsi="ＭＳ 明朝" w:cs="ＭＳ Ｐゴシック"/>
          <w:kern w:val="0"/>
          <w:szCs w:val="21"/>
          <w:lang w:val="en-US" w:eastAsia="ja-JP"/>
          <w14:ligatures w14:val="none"/>
        </w:rPr>
        <w:t>ならない。</w:t>
      </w:r>
      <w:r w:rsidR="00A95258">
        <w:rPr>
          <w:rFonts w:ascii="ＭＳ 明朝" w:eastAsia="ＭＳ 明朝" w:hAnsi="ＭＳ 明朝" w:cs="ＭＳ Ｐゴシック" w:hint="eastAsia"/>
          <w:kern w:val="0"/>
          <w:szCs w:val="21"/>
          <w:lang w:val="en-US" w:eastAsia="ja-JP"/>
          <w14:ligatures w14:val="none"/>
        </w:rPr>
        <w:t>エイジズム</w:t>
      </w:r>
      <w:r w:rsidRPr="009B6167">
        <w:rPr>
          <w:rFonts w:ascii="ＭＳ 明朝" w:eastAsia="ＭＳ 明朝" w:hAnsi="ＭＳ 明朝" w:cs="ＭＳ Ｐゴシック"/>
          <w:kern w:val="0"/>
          <w:szCs w:val="21"/>
          <w:lang w:val="en-US" w:eastAsia="ja-JP"/>
          <w14:ligatures w14:val="none"/>
        </w:rPr>
        <w:t>またはその他の固定観念に基づく差別的取扱いの正当化は認められてはならない。年齢</w:t>
      </w:r>
      <w:r w:rsidR="00AE4852">
        <w:rPr>
          <w:rFonts w:ascii="ＭＳ 明朝" w:eastAsia="ＭＳ 明朝" w:hAnsi="ＭＳ 明朝" w:cs="ＭＳ Ｐゴシック" w:hint="eastAsia"/>
          <w:kern w:val="0"/>
          <w:szCs w:val="21"/>
          <w:lang w:val="en-US" w:eastAsia="ja-JP"/>
          <w14:ligatures w14:val="none"/>
        </w:rPr>
        <w:t>による</w:t>
      </w:r>
      <w:r w:rsidRPr="009B6167">
        <w:rPr>
          <w:rFonts w:ascii="ＭＳ 明朝" w:eastAsia="ＭＳ 明朝" w:hAnsi="ＭＳ 明朝" w:cs="ＭＳ Ｐゴシック"/>
          <w:kern w:val="0"/>
          <w:szCs w:val="21"/>
          <w:lang w:val="en-US" w:eastAsia="ja-JP"/>
          <w14:ligatures w14:val="none"/>
        </w:rPr>
        <w:t>差別を</w:t>
      </w:r>
      <w:r w:rsidR="00AE4852">
        <w:rPr>
          <w:rFonts w:ascii="ＭＳ 明朝" w:eastAsia="ＭＳ 明朝" w:hAnsi="ＭＳ 明朝" w:cs="ＭＳ Ｐゴシック" w:hint="eastAsia"/>
          <w:kern w:val="0"/>
          <w:szCs w:val="21"/>
          <w:lang w:val="en-US" w:eastAsia="ja-JP"/>
          <w14:ligatures w14:val="none"/>
        </w:rPr>
        <w:t>根絶</w:t>
      </w:r>
      <w:r w:rsidRPr="009B6167">
        <w:rPr>
          <w:rFonts w:ascii="ＭＳ 明朝" w:eastAsia="ＭＳ 明朝" w:hAnsi="ＭＳ 明朝" w:cs="ＭＳ Ｐゴシック"/>
          <w:kern w:val="0"/>
          <w:szCs w:val="21"/>
          <w:lang w:val="en-US" w:eastAsia="ja-JP"/>
          <w14:ligatures w14:val="none"/>
        </w:rPr>
        <w:t>する国家の責任は、公共部門と民間部門の双方に適用されるべきである。また、国家には、</w:t>
      </w:r>
      <w:r w:rsidR="0032738E">
        <w:rPr>
          <w:rFonts w:ascii="ＭＳ 明朝" w:eastAsia="ＭＳ 明朝" w:hAnsi="ＭＳ 明朝" w:cs="ＭＳ Ｐゴシック" w:hint="eastAsia"/>
          <w:kern w:val="0"/>
          <w:szCs w:val="21"/>
          <w:lang w:val="en-US" w:eastAsia="ja-JP"/>
          <w14:ligatures w14:val="none"/>
        </w:rPr>
        <w:t>実際上</w:t>
      </w:r>
      <w:r w:rsidRPr="009B6167">
        <w:rPr>
          <w:rFonts w:ascii="ＭＳ 明朝" w:eastAsia="ＭＳ 明朝" w:hAnsi="ＭＳ 明朝" w:cs="ＭＳ Ｐゴシック"/>
          <w:kern w:val="0"/>
          <w:szCs w:val="21"/>
          <w:lang w:val="en-US" w:eastAsia="ja-JP"/>
          <w14:ligatures w14:val="none"/>
        </w:rPr>
        <w:t>の平等を確保するための積極的措置を講じる義務がある。</w:t>
      </w:r>
      <w:r w:rsidR="000914D5">
        <w:rPr>
          <w:rFonts w:ascii="ＭＳ 明朝" w:eastAsia="ＭＳ 明朝" w:hAnsi="ＭＳ 明朝" w:cs="ＭＳ Ｐゴシック" w:hint="eastAsia"/>
          <w:kern w:val="0"/>
          <w:szCs w:val="21"/>
          <w:lang w:val="en-US" w:eastAsia="ja-JP"/>
          <w14:ligatures w14:val="none"/>
        </w:rPr>
        <w:t xml:space="preserve">　</w:t>
      </w:r>
    </w:p>
    <w:p w14:paraId="51CE4D27" w14:textId="3F89ECC5"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191E9A">
        <w:rPr>
          <w:rFonts w:ascii="ＭＳ 明朝" w:eastAsia="ＭＳ 明朝" w:hAnsi="ＭＳ 明朝" w:cs="ＭＳ Ｐゴシック"/>
          <w:kern w:val="0"/>
          <w:szCs w:val="21"/>
          <w:lang w:val="en-US" w:eastAsia="ja-JP"/>
          <w14:ligatures w14:val="none"/>
        </w:rPr>
        <w:t>またこの条約は、あらゆる形態の</w:t>
      </w:r>
      <w:r w:rsidR="00EE5D8F" w:rsidRPr="00191E9A">
        <w:rPr>
          <w:rFonts w:ascii="ＭＳ 明朝" w:eastAsia="ＭＳ 明朝" w:hAnsi="ＭＳ 明朝" w:cs="ＭＳ Ｐゴシック" w:hint="eastAsia"/>
          <w:kern w:val="0"/>
          <w:szCs w:val="21"/>
          <w:lang w:val="en-US" w:eastAsia="ja-JP"/>
          <w14:ligatures w14:val="none"/>
        </w:rPr>
        <w:t>エイジズム</w:t>
      </w:r>
      <w:r w:rsidRPr="00191E9A">
        <w:rPr>
          <w:rFonts w:ascii="ＭＳ 明朝" w:eastAsia="ＭＳ 明朝" w:hAnsi="ＭＳ 明朝" w:cs="ＭＳ Ｐゴシック"/>
          <w:kern w:val="0"/>
          <w:szCs w:val="21"/>
          <w:lang w:val="en-US" w:eastAsia="ja-JP"/>
          <w14:ligatures w14:val="none"/>
        </w:rPr>
        <w:t>に対する認識を高め、これを</w:t>
      </w:r>
      <w:r w:rsidR="009F543E" w:rsidRPr="00191E9A">
        <w:rPr>
          <w:rFonts w:ascii="ＭＳ 明朝" w:eastAsia="ＭＳ 明朝" w:hAnsi="ＭＳ 明朝" w:cs="ＭＳ Ｐゴシック" w:hint="eastAsia"/>
          <w:kern w:val="0"/>
          <w:szCs w:val="21"/>
          <w:lang w:val="en-US" w:eastAsia="ja-JP"/>
          <w14:ligatures w14:val="none"/>
        </w:rPr>
        <w:t>根絶</w:t>
      </w:r>
      <w:r w:rsidRPr="00191E9A">
        <w:rPr>
          <w:rFonts w:ascii="ＭＳ 明朝" w:eastAsia="ＭＳ 明朝" w:hAnsi="ＭＳ 明朝" w:cs="ＭＳ Ｐゴシック"/>
          <w:kern w:val="0"/>
          <w:szCs w:val="21"/>
          <w:lang w:val="en-US" w:eastAsia="ja-JP"/>
          <w14:ligatures w14:val="none"/>
        </w:rPr>
        <w:t>するた</w:t>
      </w:r>
      <w:r w:rsidRPr="009B6167">
        <w:rPr>
          <w:rFonts w:ascii="ＭＳ 明朝" w:eastAsia="ＭＳ 明朝" w:hAnsi="ＭＳ 明朝" w:cs="ＭＳ Ｐゴシック"/>
          <w:kern w:val="0"/>
          <w:szCs w:val="21"/>
          <w:lang w:val="en-US" w:eastAsia="ja-JP"/>
          <w14:ligatures w14:val="none"/>
        </w:rPr>
        <w:t>めの措置を講じるよう、各国に義務付けるべきである。</w:t>
      </w:r>
      <w:r w:rsidR="00191E9A">
        <w:rPr>
          <w:rFonts w:ascii="ＭＳ 明朝" w:eastAsia="ＭＳ 明朝" w:hAnsi="ＭＳ 明朝" w:cs="ＭＳ Ｐゴシック" w:hint="eastAsia"/>
          <w:kern w:val="0"/>
          <w:szCs w:val="21"/>
          <w:lang w:val="en-US" w:eastAsia="ja-JP"/>
          <w14:ligatures w14:val="none"/>
        </w:rPr>
        <w:t>エイジズムの</w:t>
      </w:r>
      <w:r w:rsidRPr="009B6167">
        <w:rPr>
          <w:rFonts w:ascii="ＭＳ 明朝" w:eastAsia="ＭＳ 明朝" w:hAnsi="ＭＳ 明朝" w:cs="ＭＳ Ｐゴシック"/>
          <w:kern w:val="0"/>
          <w:szCs w:val="21"/>
          <w:lang w:val="en-US" w:eastAsia="ja-JP"/>
          <w14:ligatures w14:val="none"/>
        </w:rPr>
        <w:t>態度や慣行は、経済的、社会的、文化的背景によって</w:t>
      </w:r>
      <w:r w:rsidR="00F416F1">
        <w:rPr>
          <w:rFonts w:ascii="ＭＳ 明朝" w:eastAsia="ＭＳ 明朝" w:hAnsi="ＭＳ 明朝" w:cs="ＭＳ Ｐゴシック" w:hint="eastAsia"/>
          <w:kern w:val="0"/>
          <w:szCs w:val="21"/>
          <w:lang w:val="en-US" w:eastAsia="ja-JP"/>
          <w14:ligatures w14:val="none"/>
        </w:rPr>
        <w:t>多様な</w:t>
      </w:r>
      <w:r w:rsidRPr="009B6167">
        <w:rPr>
          <w:rFonts w:ascii="ＭＳ 明朝" w:eastAsia="ＭＳ 明朝" w:hAnsi="ＭＳ 明朝" w:cs="ＭＳ Ｐゴシック"/>
          <w:kern w:val="0"/>
          <w:szCs w:val="21"/>
          <w:lang w:val="en-US" w:eastAsia="ja-JP"/>
          <w14:ligatures w14:val="none"/>
        </w:rPr>
        <w:t>形で現れる可能性がある。条約は、高齢者がどこに住んでいようとも普遍的に人権を享受できるよう、こうした差異を認識すべきである。</w:t>
      </w:r>
    </w:p>
    <w:p w14:paraId="36F15C8D" w14:textId="23E3AB4E"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条約は、他の国際人権条約の下で保障されている人権の保護水準を低下させるような例外、制限、または制約を認めてはならず、また、高齢者が他者と平等に権利を享受すること</w:t>
      </w:r>
      <w:r w:rsidR="0014521D">
        <w:rPr>
          <w:rFonts w:ascii="ＭＳ 明朝" w:eastAsia="ＭＳ 明朝" w:hAnsi="ＭＳ 明朝" w:cs="ＭＳ Ｐゴシック" w:hint="eastAsia"/>
          <w:kern w:val="0"/>
          <w:szCs w:val="21"/>
          <w:lang w:val="en-US" w:eastAsia="ja-JP"/>
          <w14:ligatures w14:val="none"/>
        </w:rPr>
        <w:t>を妨げる</w:t>
      </w:r>
      <w:r w:rsidRPr="009B6167">
        <w:rPr>
          <w:rFonts w:ascii="ＭＳ 明朝" w:eastAsia="ＭＳ 明朝" w:hAnsi="ＭＳ 明朝" w:cs="ＭＳ Ｐゴシック"/>
          <w:kern w:val="0"/>
          <w:szCs w:val="21"/>
          <w:lang w:val="en-US" w:eastAsia="ja-JP"/>
          <w14:ligatures w14:val="none"/>
        </w:rPr>
        <w:t>既存の制限を引き継いではならない。</w:t>
      </w:r>
    </w:p>
    <w:p w14:paraId="64785BAC" w14:textId="34AB8A00" w:rsidR="00DD35D8" w:rsidRPr="009B6167" w:rsidRDefault="00397C1B" w:rsidP="005B4D4C">
      <w:pPr>
        <w:widowControl/>
        <w:spacing w:before="100" w:beforeAutospacing="1" w:after="100" w:afterAutospacing="1"/>
        <w:ind w:leftChars="405" w:left="850"/>
        <w:jc w:val="left"/>
        <w:rPr>
          <w:rFonts w:ascii="ＭＳ 明朝" w:eastAsia="ＭＳ 明朝" w:hAnsi="ＭＳ 明朝" w:cs="ＭＳ Ｐゴシック"/>
          <w:kern w:val="0"/>
          <w:szCs w:val="21"/>
          <w:lang w:val="en-US" w:eastAsia="ja-JP"/>
          <w14:ligatures w14:val="none"/>
        </w:rPr>
      </w:pPr>
      <w:r w:rsidRPr="00397C1B">
        <w:rPr>
          <w:rFonts w:ascii="ＭＳ 明朝" w:eastAsia="ＭＳ 明朝" w:hAnsi="ＭＳ 明朝" w:cs="ＭＳ Ｐゴシック" w:hint="eastAsia"/>
          <w:b/>
          <w:bCs/>
          <w:kern w:val="0"/>
          <w:szCs w:val="21"/>
          <w:lang w:val="en-US" w:eastAsia="ja-JP"/>
          <w14:ligatures w14:val="none"/>
        </w:rPr>
        <w:t>質問</w:t>
      </w:r>
      <w:r w:rsidRPr="00397C1B">
        <w:rPr>
          <w:rFonts w:ascii="ＭＳ 明朝" w:eastAsia="ＭＳ 明朝" w:hAnsi="ＭＳ 明朝" w:cs="ＭＳ Ｐゴシック"/>
          <w:b/>
          <w:bCs/>
          <w:kern w:val="0"/>
          <w:szCs w:val="21"/>
          <w:lang w:val="en-US" w:eastAsia="ja-JP"/>
          <w14:ligatures w14:val="none"/>
        </w:rPr>
        <w:t>3. 法的拘束力のある文書は、明確性と実効性を確保するために、どのような全体構成（structure）や設計枠組み（architecture）を採用すべきか？例えば、前文、定義、一般原則、一般的義務、具体的権利、および実施規定を含めるべきか？</w:t>
      </w:r>
    </w:p>
    <w:p w14:paraId="7861B624" w14:textId="77777777" w:rsidR="00DD35D8" w:rsidRPr="009B6167" w:rsidRDefault="00DD35D8" w:rsidP="00DD35D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条約の構造または枠組みには、前文、定義、一般原則、一般的義務、具体的権利、および実施規定を含めるべきである。</w:t>
      </w:r>
    </w:p>
    <w:p w14:paraId="129AE28C" w14:textId="65F59C9A" w:rsidR="00DD35D8" w:rsidRPr="009B6167" w:rsidRDefault="00DD35D8" w:rsidP="002E5D48">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一般的義務に関して、条約は、条約内の権利を保護し、尊重し、実現するための国家の義務と説明責任を</w:t>
      </w:r>
      <w:r w:rsidR="00F541CC">
        <w:rPr>
          <w:rFonts w:ascii="ＭＳ 明朝" w:eastAsia="ＭＳ 明朝" w:hAnsi="ＭＳ 明朝" w:cs="ＭＳ Ｐゴシック" w:hint="eastAsia"/>
          <w:kern w:val="0"/>
          <w:szCs w:val="21"/>
          <w:lang w:val="en-US" w:eastAsia="ja-JP"/>
          <w14:ligatures w14:val="none"/>
        </w:rPr>
        <w:t>規定す</w:t>
      </w:r>
      <w:r w:rsidRPr="009B6167">
        <w:rPr>
          <w:rFonts w:ascii="ＭＳ 明朝" w:eastAsia="ＭＳ 明朝" w:hAnsi="ＭＳ 明朝" w:cs="ＭＳ Ｐゴシック"/>
          <w:kern w:val="0"/>
          <w:szCs w:val="21"/>
          <w:lang w:val="en-US" w:eastAsia="ja-JP"/>
          <w14:ligatures w14:val="none"/>
        </w:rPr>
        <w:t>べきである。</w:t>
      </w:r>
      <w:r w:rsidR="00E70AC3">
        <w:rPr>
          <w:rFonts w:ascii="ＭＳ 明朝" w:eastAsia="ＭＳ 明朝" w:hAnsi="ＭＳ 明朝" w:cs="ＭＳ Ｐゴシック" w:hint="eastAsia"/>
          <w:kern w:val="0"/>
          <w:szCs w:val="21"/>
          <w:lang w:val="en-US" w:eastAsia="ja-JP"/>
          <w14:ligatures w14:val="none"/>
        </w:rPr>
        <w:t>そこでは、</w:t>
      </w:r>
      <w:r w:rsidRPr="009B6167">
        <w:rPr>
          <w:rFonts w:ascii="ＭＳ 明朝" w:eastAsia="ＭＳ 明朝" w:hAnsi="ＭＳ 明朝" w:cs="ＭＳ Ｐゴシック"/>
          <w:kern w:val="0"/>
          <w:szCs w:val="21"/>
          <w:lang w:val="en-US" w:eastAsia="ja-JP"/>
          <w14:ligatures w14:val="none"/>
        </w:rPr>
        <w:t>条約内のすべての権利に適用される国家</w:t>
      </w:r>
      <w:r w:rsidR="00E70AC3">
        <w:rPr>
          <w:rFonts w:ascii="ＭＳ 明朝" w:eastAsia="ＭＳ 明朝" w:hAnsi="ＭＳ 明朝" w:cs="ＭＳ Ｐゴシック" w:hint="eastAsia"/>
          <w:kern w:val="0"/>
          <w:szCs w:val="21"/>
          <w:lang w:val="en-US" w:eastAsia="ja-JP"/>
          <w14:ligatures w14:val="none"/>
        </w:rPr>
        <w:lastRenderedPageBreak/>
        <w:t>の</w:t>
      </w:r>
      <w:r w:rsidRPr="009B6167">
        <w:rPr>
          <w:rFonts w:ascii="ＭＳ 明朝" w:eastAsia="ＭＳ 明朝" w:hAnsi="ＭＳ 明朝" w:cs="ＭＳ Ｐゴシック"/>
          <w:kern w:val="0"/>
          <w:szCs w:val="21"/>
          <w:lang w:val="en-US" w:eastAsia="ja-JP"/>
          <w14:ligatures w14:val="none"/>
        </w:rPr>
        <w:t>一般的義務を含めるべきである。これには、以下の義務が含まれる</w:t>
      </w:r>
      <w:r w:rsidR="000D145D">
        <w:rPr>
          <w:rFonts w:ascii="ＭＳ 明朝" w:eastAsia="ＭＳ 明朝" w:hAnsi="ＭＳ 明朝" w:cs="ＭＳ Ｐゴシック" w:hint="eastAsia"/>
          <w:kern w:val="0"/>
          <w:szCs w:val="21"/>
          <w:lang w:val="en-US" w:eastAsia="ja-JP"/>
          <w14:ligatures w14:val="none"/>
        </w:rPr>
        <w:t>がそれら</w:t>
      </w:r>
      <w:r w:rsidR="000D145D" w:rsidRPr="009B6167">
        <w:rPr>
          <w:rFonts w:ascii="ＭＳ 明朝" w:eastAsia="ＭＳ 明朝" w:hAnsi="ＭＳ 明朝" w:cs="ＭＳ Ｐゴシック"/>
          <w:kern w:val="0"/>
          <w:szCs w:val="21"/>
          <w:lang w:val="en-US" w:eastAsia="ja-JP"/>
          <w14:ligatures w14:val="none"/>
        </w:rPr>
        <w:t>に限定されない</w:t>
      </w:r>
      <w:r w:rsidR="002E5D48">
        <w:rPr>
          <w:rFonts w:ascii="ＭＳ 明朝" w:eastAsia="ＭＳ 明朝" w:hAnsi="ＭＳ 明朝" w:cs="ＭＳ Ｐゴシック" w:hint="eastAsia"/>
          <w:kern w:val="0"/>
          <w:szCs w:val="21"/>
          <w:lang w:val="en-US" w:eastAsia="ja-JP"/>
          <w14:ligatures w14:val="none"/>
        </w:rPr>
        <w:t>。</w:t>
      </w:r>
      <w:r w:rsidRPr="009B6167">
        <w:rPr>
          <w:rFonts w:ascii="ＭＳ 明朝" w:eastAsia="ＭＳ 明朝" w:hAnsi="ＭＳ 明朝" w:cs="ＭＳ Ｐゴシック"/>
          <w:kern w:val="0"/>
          <w:szCs w:val="21"/>
          <w:lang w:val="en-US" w:eastAsia="ja-JP"/>
          <w14:ligatures w14:val="none"/>
        </w:rPr>
        <w:t>：</w:t>
      </w:r>
    </w:p>
    <w:p w14:paraId="5AF1CEED" w14:textId="7767D469" w:rsidR="00DD35D8" w:rsidRPr="009B6167" w:rsidRDefault="00DD35D8" w:rsidP="00DD35D8">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高齢者</w:t>
      </w:r>
      <w:r w:rsidR="00D90B3A">
        <w:rPr>
          <w:rFonts w:ascii="ＭＳ 明朝" w:eastAsia="ＭＳ 明朝" w:hAnsi="ＭＳ 明朝" w:cs="ＭＳ Ｐゴシック" w:hint="eastAsia"/>
          <w:kern w:val="0"/>
          <w:szCs w:val="21"/>
          <w:lang w:val="en-US" w:eastAsia="ja-JP"/>
          <w14:ligatures w14:val="none"/>
        </w:rPr>
        <w:t>へ</w:t>
      </w:r>
      <w:r w:rsidRPr="009B6167">
        <w:rPr>
          <w:rFonts w:ascii="ＭＳ 明朝" w:eastAsia="ＭＳ 明朝" w:hAnsi="ＭＳ 明朝" w:cs="ＭＳ Ｐゴシック"/>
          <w:kern w:val="0"/>
          <w:szCs w:val="21"/>
          <w:lang w:val="en-US" w:eastAsia="ja-JP"/>
          <w14:ligatures w14:val="none"/>
        </w:rPr>
        <w:t>の人権侵害を</w:t>
      </w:r>
      <w:r w:rsidR="006E6C64">
        <w:rPr>
          <w:rFonts w:ascii="ＭＳ 明朝" w:eastAsia="ＭＳ 明朝" w:hAnsi="ＭＳ 明朝" w:cs="ＭＳ Ｐゴシック" w:hint="eastAsia"/>
          <w:kern w:val="0"/>
          <w:szCs w:val="21"/>
          <w:lang w:val="en-US" w:eastAsia="ja-JP"/>
          <w14:ligatures w14:val="none"/>
        </w:rPr>
        <w:t>行わない</w:t>
      </w:r>
      <w:r w:rsidR="00BF5CD8">
        <w:rPr>
          <w:rFonts w:ascii="ＭＳ 明朝" w:eastAsia="ＭＳ 明朝" w:hAnsi="ＭＳ 明朝" w:cs="ＭＳ Ｐゴシック" w:hint="eastAsia"/>
          <w:kern w:val="0"/>
          <w:szCs w:val="21"/>
          <w:lang w:val="en-US" w:eastAsia="ja-JP"/>
          <w14:ligatures w14:val="none"/>
        </w:rPr>
        <w:t>。また、</w:t>
      </w:r>
      <w:r w:rsidRPr="009B6167">
        <w:rPr>
          <w:rFonts w:ascii="ＭＳ 明朝" w:eastAsia="ＭＳ 明朝" w:hAnsi="ＭＳ 明朝" w:cs="ＭＳ Ｐゴシック"/>
          <w:kern w:val="0"/>
          <w:szCs w:val="21"/>
          <w:lang w:val="en-US" w:eastAsia="ja-JP"/>
          <w14:ligatures w14:val="none"/>
        </w:rPr>
        <w:t>必要な資源の提供などを通じて、その権利を実現する措置を講じる。</w:t>
      </w:r>
    </w:p>
    <w:p w14:paraId="4CF0BCC6" w14:textId="0299A325" w:rsidR="00DD35D8" w:rsidRPr="009B6167" w:rsidRDefault="00DD35D8" w:rsidP="00DD35D8">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民間による高齢者の人権侵害を防止し抑止するために必要なあらゆる措置を講じる。これには、そのような侵害を調査し処罰する手続上の義務の履行も含まれる。</w:t>
      </w:r>
    </w:p>
    <w:p w14:paraId="345D7F62" w14:textId="43305FA9" w:rsidR="00DD35D8" w:rsidRPr="009B6167" w:rsidRDefault="00DD35D8" w:rsidP="00DD35D8">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xml:space="preserve">・ 本条約で認められた権利を実施するために、適切な立法上、行政上、その他のあらゆる措置を講じる。 </w:t>
      </w:r>
    </w:p>
    <w:p w14:paraId="6C05863C" w14:textId="15A8F7D7" w:rsidR="00DD35D8" w:rsidRPr="009B6167" w:rsidRDefault="00DD35D8" w:rsidP="00DD35D8">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高齢者に対するあらゆる形態の差別を禁止し、根絶する。これには、高齢者</w:t>
      </w:r>
      <w:r w:rsidR="00A460DA">
        <w:rPr>
          <w:rFonts w:ascii="ＭＳ 明朝" w:eastAsia="ＭＳ 明朝" w:hAnsi="ＭＳ 明朝" w:cs="ＭＳ Ｐゴシック" w:hint="eastAsia"/>
          <w:kern w:val="0"/>
          <w:szCs w:val="21"/>
          <w:lang w:val="en-US" w:eastAsia="ja-JP"/>
          <w14:ligatures w14:val="none"/>
        </w:rPr>
        <w:t>を</w:t>
      </w:r>
      <w:r w:rsidRPr="009B6167">
        <w:rPr>
          <w:rFonts w:ascii="ＭＳ 明朝" w:eastAsia="ＭＳ 明朝" w:hAnsi="ＭＳ 明朝" w:cs="ＭＳ Ｐゴシック"/>
          <w:kern w:val="0"/>
          <w:szCs w:val="21"/>
          <w:lang w:val="en-US" w:eastAsia="ja-JP"/>
          <w14:ligatures w14:val="none"/>
        </w:rPr>
        <w:t>差別</w:t>
      </w:r>
      <w:r w:rsidR="0017012D">
        <w:rPr>
          <w:rFonts w:ascii="ＭＳ 明朝" w:eastAsia="ＭＳ 明朝" w:hAnsi="ＭＳ 明朝" w:cs="ＭＳ Ｐゴシック" w:hint="eastAsia"/>
          <w:kern w:val="0"/>
          <w:szCs w:val="21"/>
          <w:lang w:val="en-US" w:eastAsia="ja-JP"/>
          <w14:ligatures w14:val="none"/>
        </w:rPr>
        <w:t>している</w:t>
      </w:r>
      <w:r w:rsidRPr="009B6167">
        <w:rPr>
          <w:rFonts w:ascii="ＭＳ 明朝" w:eastAsia="ＭＳ 明朝" w:hAnsi="ＭＳ 明朝" w:cs="ＭＳ Ｐゴシック"/>
          <w:kern w:val="0"/>
          <w:szCs w:val="21"/>
          <w:lang w:val="en-US" w:eastAsia="ja-JP"/>
          <w14:ligatures w14:val="none"/>
        </w:rPr>
        <w:t>既存の法律、規制、慣行の改正または廃止も含まれる。</w:t>
      </w:r>
    </w:p>
    <w:p w14:paraId="10F767CD" w14:textId="5FCAE7DC" w:rsidR="00DD35D8" w:rsidRPr="009B6167" w:rsidRDefault="00DD35D8" w:rsidP="00DD35D8">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すべての高齢者を含む、</w:t>
      </w:r>
      <w:r w:rsidR="00A460DA">
        <w:rPr>
          <w:rFonts w:ascii="ＭＳ 明朝" w:eastAsia="ＭＳ 明朝" w:hAnsi="ＭＳ 明朝" w:cs="ＭＳ Ｐゴシック" w:hint="eastAsia"/>
          <w:kern w:val="0"/>
          <w:szCs w:val="21"/>
          <w:lang w:val="en-US" w:eastAsia="ja-JP"/>
          <w14:ligatures w14:val="none"/>
        </w:rPr>
        <w:t>実際</w:t>
      </w:r>
      <w:r w:rsidRPr="009B6167">
        <w:rPr>
          <w:rFonts w:ascii="ＭＳ 明朝" w:eastAsia="ＭＳ 明朝" w:hAnsi="ＭＳ 明朝" w:cs="ＭＳ Ｐゴシック"/>
          <w:kern w:val="0"/>
          <w:szCs w:val="21"/>
          <w:lang w:val="en-US" w:eastAsia="ja-JP"/>
          <w14:ligatures w14:val="none"/>
        </w:rPr>
        <w:t xml:space="preserve">上の平等を確保するための特別措置を講じる。 </w:t>
      </w:r>
    </w:p>
    <w:p w14:paraId="3E6616FA" w14:textId="77777777" w:rsidR="00DD35D8" w:rsidRPr="009B6167" w:rsidRDefault="00DD35D8" w:rsidP="00DD35D8">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xml:space="preserve">・ 高齢者が社会および意思決定プロセスに完全かつ効果的に参加できるよう、あらゆる適切な措置を講じる。 </w:t>
      </w:r>
    </w:p>
    <w:p w14:paraId="37EF5AE2" w14:textId="2A323CF7" w:rsidR="00DD35D8" w:rsidRPr="009B6167" w:rsidRDefault="00DD35D8" w:rsidP="00DD35D8">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本条約により保障される権利の侵害に対し、侵害者</w:t>
      </w:r>
      <w:r w:rsidR="004030D4">
        <w:rPr>
          <w:rFonts w:ascii="ＭＳ 明朝" w:eastAsia="ＭＳ 明朝" w:hAnsi="ＭＳ 明朝" w:cs="ＭＳ Ｐゴシック" w:hint="eastAsia"/>
          <w:kern w:val="0"/>
          <w:szCs w:val="21"/>
          <w:lang w:val="en-US" w:eastAsia="ja-JP"/>
          <w14:ligatures w14:val="none"/>
        </w:rPr>
        <w:t>が誰であ</w:t>
      </w:r>
      <w:r w:rsidR="006D00AA">
        <w:rPr>
          <w:rFonts w:ascii="ＭＳ 明朝" w:eastAsia="ＭＳ 明朝" w:hAnsi="ＭＳ 明朝" w:cs="ＭＳ Ｐゴシック" w:hint="eastAsia"/>
          <w:kern w:val="0"/>
          <w:szCs w:val="21"/>
          <w:lang w:val="en-US" w:eastAsia="ja-JP"/>
          <w14:ligatures w14:val="none"/>
        </w:rPr>
        <w:t>ろうと</w:t>
      </w:r>
      <w:r w:rsidRPr="009B6167">
        <w:rPr>
          <w:rFonts w:ascii="ＭＳ 明朝" w:eastAsia="ＭＳ 明朝" w:hAnsi="ＭＳ 明朝" w:cs="ＭＳ Ｐゴシック"/>
          <w:kern w:val="0"/>
          <w:szCs w:val="21"/>
          <w:lang w:val="en-US" w:eastAsia="ja-JP"/>
          <w14:ligatures w14:val="none"/>
        </w:rPr>
        <w:t>、国内法に基づき高齢者に救済を受ける権利を保障する。</w:t>
      </w:r>
    </w:p>
    <w:p w14:paraId="2D54BB06" w14:textId="77777777" w:rsidR="00DD35D8" w:rsidRDefault="00DD35D8" w:rsidP="00DD35D8">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9B6167">
        <w:rPr>
          <w:rFonts w:ascii="ＭＳ 明朝" w:eastAsia="ＭＳ 明朝" w:hAnsi="ＭＳ 明朝" w:cs="ＭＳ Ｐゴシック"/>
          <w:kern w:val="0"/>
          <w:szCs w:val="21"/>
          <w:lang w:val="en-US" w:eastAsia="ja-JP"/>
          <w14:ligatures w14:val="none"/>
        </w:rPr>
        <w:t>・ 市民社会、特に高齢者およびその代表組織と協議を行う。</w:t>
      </w:r>
    </w:p>
    <w:p w14:paraId="420518C4" w14:textId="13BD4C0C" w:rsidR="002477AB" w:rsidRPr="009B6167" w:rsidRDefault="002477AB" w:rsidP="002477AB">
      <w:pPr>
        <w:widowControl/>
        <w:spacing w:before="100" w:beforeAutospacing="1" w:after="100" w:afterAutospacing="1"/>
        <w:ind w:leftChars="202" w:left="424"/>
        <w:jc w:val="right"/>
        <w:rPr>
          <w:rFonts w:ascii="ＭＳ 明朝" w:eastAsia="ＭＳ 明朝" w:hAnsi="ＭＳ 明朝" w:cs="ＭＳ Ｐゴシック"/>
          <w:kern w:val="0"/>
          <w:szCs w:val="21"/>
          <w:lang w:val="en-US" w:eastAsia="ja-JP"/>
          <w14:ligatures w14:val="none"/>
        </w:rPr>
      </w:pPr>
      <w:r>
        <w:rPr>
          <w:rFonts w:ascii="ＭＳ 明朝" w:eastAsia="ＭＳ 明朝" w:hAnsi="ＭＳ 明朝" w:cs="ＭＳ Ｐゴシック" w:hint="eastAsia"/>
          <w:kern w:val="0"/>
          <w:szCs w:val="21"/>
          <w:lang w:val="en-US" w:eastAsia="ja-JP"/>
          <w14:ligatures w14:val="none"/>
        </w:rPr>
        <w:t>（翻訳・佐藤久夫、　　　）</w:t>
      </w:r>
    </w:p>
    <w:sectPr w:rsidR="002477AB" w:rsidRPr="009B6167" w:rsidSect="006A05DC">
      <w:footerReference w:type="even" r:id="rId8"/>
      <w:footerReference w:type="default" r:id="rId9"/>
      <w:footerReference w:type="first" r:id="rId10"/>
      <w:pgSz w:w="11907" w:h="16840" w:code="9"/>
      <w:pgMar w:top="1985" w:right="1701" w:bottom="1701" w:left="1701" w:header="851" w:footer="567" w:gutter="0"/>
      <w:cols w:space="425"/>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EC54D" w14:textId="77777777" w:rsidR="00470470" w:rsidRDefault="00470470" w:rsidP="00DD35D8">
      <w:r>
        <w:separator/>
      </w:r>
    </w:p>
  </w:endnote>
  <w:endnote w:type="continuationSeparator" w:id="0">
    <w:p w14:paraId="301A1345" w14:textId="77777777" w:rsidR="00470470" w:rsidRDefault="00470470" w:rsidP="00DD3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090510"/>
      <w:docPartObj>
        <w:docPartGallery w:val="Page Numbers (Bottom of Page)"/>
        <w:docPartUnique/>
      </w:docPartObj>
    </w:sdtPr>
    <w:sdtEndPr/>
    <w:sdtContent>
      <w:p w14:paraId="019CF628" w14:textId="60CBEF01" w:rsidR="00DD35D8" w:rsidRDefault="00DD35D8">
        <w:pPr>
          <w:pStyle w:val="ac"/>
        </w:pPr>
        <w:r>
          <w:fldChar w:fldCharType="begin"/>
        </w:r>
        <w:r>
          <w:instrText>PAGE   \* MERGEFORMAT</w:instrText>
        </w:r>
        <w:r>
          <w:fldChar w:fldCharType="separate"/>
        </w:r>
        <w:r>
          <w:rPr>
            <w:lang w:val="ja-JP" w:eastAsia="ja-JP"/>
          </w:rPr>
          <w:t>2</w:t>
        </w:r>
        <w:r>
          <w:fldChar w:fldCharType="end"/>
        </w:r>
      </w:p>
    </w:sdtContent>
  </w:sdt>
  <w:p w14:paraId="7DE286FD" w14:textId="77777777" w:rsidR="00DD35D8" w:rsidRDefault="00DD35D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389941"/>
      <w:docPartObj>
        <w:docPartGallery w:val="Page Numbers (Bottom of Page)"/>
        <w:docPartUnique/>
      </w:docPartObj>
    </w:sdtPr>
    <w:sdtEndPr/>
    <w:sdtContent>
      <w:p w14:paraId="78764C48" w14:textId="5AA61F56" w:rsidR="00DD35D8" w:rsidRDefault="00DD35D8">
        <w:pPr>
          <w:pStyle w:val="ac"/>
        </w:pPr>
        <w:r>
          <w:fldChar w:fldCharType="begin"/>
        </w:r>
        <w:r>
          <w:instrText>PAGE   \* MERGEFORMAT</w:instrText>
        </w:r>
        <w:r>
          <w:fldChar w:fldCharType="separate"/>
        </w:r>
        <w:r>
          <w:rPr>
            <w:lang w:val="ja-JP" w:eastAsia="ja-JP"/>
          </w:rPr>
          <w:t>2</w:t>
        </w:r>
        <w:r>
          <w:fldChar w:fldCharType="end"/>
        </w:r>
      </w:p>
    </w:sdtContent>
  </w:sdt>
  <w:p w14:paraId="75BCB214" w14:textId="77777777" w:rsidR="00DD35D8" w:rsidRDefault="00DD35D8">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5947337"/>
      <w:docPartObj>
        <w:docPartGallery w:val="Page Numbers (Bottom of Page)"/>
        <w:docPartUnique/>
      </w:docPartObj>
    </w:sdtPr>
    <w:sdtEndPr/>
    <w:sdtContent>
      <w:p w14:paraId="6C8B283D" w14:textId="710EC197" w:rsidR="00DD35D8" w:rsidRDefault="00DD35D8">
        <w:pPr>
          <w:pStyle w:val="ac"/>
        </w:pPr>
        <w:r>
          <w:fldChar w:fldCharType="begin"/>
        </w:r>
        <w:r>
          <w:instrText>PAGE   \* MERGEFORMAT</w:instrText>
        </w:r>
        <w:r>
          <w:fldChar w:fldCharType="separate"/>
        </w:r>
        <w:r>
          <w:rPr>
            <w:lang w:val="ja-JP" w:eastAsia="ja-JP"/>
          </w:rPr>
          <w:t>2</w:t>
        </w:r>
        <w:r>
          <w:fldChar w:fldCharType="end"/>
        </w:r>
      </w:p>
    </w:sdtContent>
  </w:sdt>
  <w:p w14:paraId="7DF2F418" w14:textId="77777777" w:rsidR="00DD35D8" w:rsidRDefault="00DD35D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F60D8" w14:textId="77777777" w:rsidR="00470470" w:rsidRDefault="00470470" w:rsidP="00DD35D8">
      <w:r>
        <w:separator/>
      </w:r>
    </w:p>
  </w:footnote>
  <w:footnote w:type="continuationSeparator" w:id="0">
    <w:p w14:paraId="329DEE87" w14:textId="77777777" w:rsidR="00470470" w:rsidRDefault="00470470" w:rsidP="00DD35D8">
      <w:r>
        <w:continuationSeparator/>
      </w:r>
    </w:p>
  </w:footnote>
  <w:footnote w:id="1">
    <w:p w14:paraId="6C20D5FE" w14:textId="62FBBD19" w:rsidR="00B71852" w:rsidRPr="009D5E43" w:rsidRDefault="00B71852">
      <w:pPr>
        <w:pStyle w:val="af0"/>
        <w:rPr>
          <w:sz w:val="18"/>
          <w:szCs w:val="18"/>
          <w:lang w:eastAsia="ja-JP"/>
        </w:rPr>
      </w:pPr>
      <w:r>
        <w:rPr>
          <w:rStyle w:val="af2"/>
        </w:rPr>
        <w:footnoteRef/>
      </w:r>
      <w:r w:rsidRPr="009D5E43">
        <w:rPr>
          <w:sz w:val="18"/>
          <w:szCs w:val="18"/>
        </w:rPr>
        <w:t xml:space="preserve"> </w:t>
      </w:r>
      <w:r w:rsidRPr="009D5E43">
        <w:rPr>
          <w:rFonts w:hint="eastAsia"/>
          <w:sz w:val="18"/>
          <w:szCs w:val="18"/>
        </w:rPr>
        <w:t>国連人権理事会、「高齢者の人権の促進と保護に関する法的拘束力のある文書の策定のための無期限政府間作業部会」、決議</w:t>
      </w:r>
      <w:r w:rsidRPr="009D5E43">
        <w:rPr>
          <w:sz w:val="18"/>
          <w:szCs w:val="18"/>
        </w:rPr>
        <w:t>58/13、A/HRC/RES/58/13</w:t>
      </w:r>
    </w:p>
  </w:footnote>
  <w:footnote w:id="2">
    <w:p w14:paraId="132A4053" w14:textId="7F06D8F2" w:rsidR="0027352B" w:rsidRPr="006F3A11" w:rsidRDefault="0027352B">
      <w:pPr>
        <w:pStyle w:val="af0"/>
        <w:rPr>
          <w:sz w:val="18"/>
          <w:szCs w:val="18"/>
          <w:lang w:eastAsia="ja-JP"/>
        </w:rPr>
      </w:pPr>
      <w:r>
        <w:rPr>
          <w:rStyle w:val="af2"/>
        </w:rPr>
        <w:footnoteRef/>
      </w:r>
      <w:r>
        <w:t xml:space="preserve"> </w:t>
      </w:r>
      <w:r w:rsidR="006F3A11" w:rsidRPr="006F3A11">
        <w:rPr>
          <w:rFonts w:hint="eastAsia"/>
          <w:sz w:val="18"/>
          <w:szCs w:val="18"/>
        </w:rPr>
        <w:t>「高齢者の権利」、ヒューマン・ライツ・ウォッチ、</w:t>
      </w:r>
      <w:r w:rsidR="006F3A11" w:rsidRPr="006F3A11">
        <w:rPr>
          <w:sz w:val="18"/>
          <w:szCs w:val="18"/>
        </w:rPr>
        <w:t>2026年4月20日閲覧、 https://www.hrw.org/topic/rights-older-people.</w:t>
      </w:r>
    </w:p>
  </w:footnote>
  <w:footnote w:id="3">
    <w:p w14:paraId="7EA86EB3" w14:textId="0562F981" w:rsidR="007337DA" w:rsidRPr="009473C7" w:rsidRDefault="007337DA">
      <w:pPr>
        <w:pStyle w:val="af0"/>
        <w:rPr>
          <w:sz w:val="18"/>
          <w:szCs w:val="18"/>
          <w:lang w:eastAsia="ja-JP"/>
        </w:rPr>
      </w:pPr>
      <w:r>
        <w:rPr>
          <w:rStyle w:val="af2"/>
        </w:rPr>
        <w:footnoteRef/>
      </w:r>
      <w:r w:rsidRPr="009473C7">
        <w:rPr>
          <w:sz w:val="18"/>
          <w:szCs w:val="18"/>
        </w:rPr>
        <w:t xml:space="preserve"> </w:t>
      </w:r>
      <w:r w:rsidR="009473C7" w:rsidRPr="009473C7">
        <w:rPr>
          <w:rFonts w:hint="eastAsia"/>
          <w:sz w:val="18"/>
          <w:szCs w:val="18"/>
        </w:rPr>
        <w:t>世界保健機関（</w:t>
      </w:r>
      <w:r w:rsidR="009473C7" w:rsidRPr="009473C7">
        <w:rPr>
          <w:sz w:val="18"/>
          <w:szCs w:val="18"/>
        </w:rPr>
        <w:t>WHO）、「エイジズムに関する世界報告」、2021年3月18日、https://www.who.int/publications/i/item/9789240016866（2026年4月20日閲覧）、p. 2</w:t>
      </w:r>
    </w:p>
  </w:footnote>
  <w:footnote w:id="4">
    <w:p w14:paraId="5315E00D" w14:textId="6E0FEF17" w:rsidR="009C28AA" w:rsidRPr="009473C7" w:rsidRDefault="009C28AA">
      <w:pPr>
        <w:pStyle w:val="af0"/>
        <w:rPr>
          <w:sz w:val="18"/>
          <w:szCs w:val="18"/>
          <w:lang w:eastAsia="ja-JP"/>
        </w:rPr>
      </w:pPr>
      <w:r w:rsidRPr="009473C7">
        <w:rPr>
          <w:rStyle w:val="af2"/>
          <w:sz w:val="18"/>
          <w:szCs w:val="18"/>
        </w:rPr>
        <w:footnoteRef/>
      </w:r>
      <w:r w:rsidRPr="009473C7">
        <w:rPr>
          <w:sz w:val="18"/>
          <w:szCs w:val="18"/>
        </w:rPr>
        <w:t xml:space="preserve"> </w:t>
      </w:r>
      <w:r w:rsidR="00AF74C6" w:rsidRPr="00AF74C6">
        <w:rPr>
          <w:rFonts w:hint="eastAsia"/>
          <w:sz w:val="18"/>
          <w:szCs w:val="18"/>
        </w:rPr>
        <w:t>ヒューマン・ライツ・ウォッチ、</w:t>
      </w:r>
      <w:r w:rsidR="00AD7BE1">
        <w:rPr>
          <w:rFonts w:hint="eastAsia"/>
          <w:sz w:val="18"/>
          <w:szCs w:val="18"/>
          <w:lang w:eastAsia="ja-JP"/>
        </w:rPr>
        <w:t>「</w:t>
      </w:r>
      <w:r w:rsidR="00AF74C6" w:rsidRPr="00AF74C6">
        <w:rPr>
          <w:rFonts w:hint="eastAsia"/>
          <w:sz w:val="18"/>
          <w:szCs w:val="18"/>
        </w:rPr>
        <w:t>老いた罰：韓国の年齢に基づく政策と高齢労働者の権利</w:t>
      </w:r>
      <w:r w:rsidR="00AD7BE1">
        <w:rPr>
          <w:rFonts w:hint="eastAsia"/>
          <w:sz w:val="18"/>
          <w:szCs w:val="18"/>
          <w:lang w:eastAsia="ja-JP"/>
        </w:rPr>
        <w:t>」</w:t>
      </w:r>
      <w:r w:rsidR="00AF74C6" w:rsidRPr="00AF74C6">
        <w:rPr>
          <w:rFonts w:hint="eastAsia"/>
          <w:sz w:val="18"/>
          <w:szCs w:val="18"/>
        </w:rPr>
        <w:t>、</w:t>
      </w:r>
      <w:r w:rsidR="00AF74C6" w:rsidRPr="00AF74C6">
        <w:rPr>
          <w:sz w:val="18"/>
          <w:szCs w:val="18"/>
        </w:rPr>
        <w:t>2025年7月、https://www.hrw.org/report/2025/07/08/punished-for-getting-older/south-koreas-age-based-policies-and-older-workers</w:t>
      </w:r>
    </w:p>
  </w:footnote>
  <w:footnote w:id="5">
    <w:p w14:paraId="301095AC" w14:textId="4684E6BB" w:rsidR="009E70E1" w:rsidRDefault="009E70E1">
      <w:pPr>
        <w:pStyle w:val="af0"/>
        <w:rPr>
          <w:lang w:eastAsia="ja-JP"/>
        </w:rPr>
      </w:pPr>
      <w:r>
        <w:rPr>
          <w:rStyle w:val="af2"/>
        </w:rPr>
        <w:footnoteRef/>
      </w:r>
      <w:r w:rsidRPr="000870E4">
        <w:rPr>
          <w:sz w:val="18"/>
          <w:szCs w:val="18"/>
        </w:rPr>
        <w:t xml:space="preserve"> </w:t>
      </w:r>
      <w:r w:rsidR="000870E4" w:rsidRPr="000870E4">
        <w:rPr>
          <w:rFonts w:hint="eastAsia"/>
          <w:sz w:val="18"/>
          <w:szCs w:val="18"/>
        </w:rPr>
        <w:t>国連女性差別撤廃委員会、「高齢女性とその人権の保護に関する一般勧告第</w:t>
      </w:r>
      <w:r w:rsidR="000870E4" w:rsidRPr="000870E4">
        <w:rPr>
          <w:sz w:val="18"/>
          <w:szCs w:val="18"/>
        </w:rPr>
        <w:t>27号」、国連文書 CEDAW/C/GC/27 (2010年)、 https://www.refworld.org/legal/general/cedaw/2010/en/27430（2025年2月3日閲覧）、パラグラフ9。</w:t>
      </w:r>
    </w:p>
  </w:footnote>
  <w:footnote w:id="6">
    <w:p w14:paraId="3F75493C" w14:textId="340DCB93" w:rsidR="00AB4E90" w:rsidRPr="00146DE3" w:rsidRDefault="00AB4E90">
      <w:pPr>
        <w:pStyle w:val="af0"/>
        <w:rPr>
          <w:sz w:val="18"/>
          <w:szCs w:val="18"/>
          <w:lang w:eastAsia="ja-JP"/>
        </w:rPr>
      </w:pPr>
      <w:r>
        <w:rPr>
          <w:rStyle w:val="af2"/>
        </w:rPr>
        <w:footnoteRef/>
      </w:r>
      <w:r>
        <w:t xml:space="preserve"> </w:t>
      </w:r>
      <w:r w:rsidR="00146DE3" w:rsidRPr="00146DE3">
        <w:rPr>
          <w:rFonts w:hint="eastAsia"/>
          <w:sz w:val="18"/>
          <w:szCs w:val="18"/>
        </w:rPr>
        <w:t>国連女性差別撤廃委員会、「高齢女性とその人権の保護に関する一般勧告第</w:t>
      </w:r>
      <w:r w:rsidR="00146DE3" w:rsidRPr="00146DE3">
        <w:rPr>
          <w:sz w:val="18"/>
          <w:szCs w:val="18"/>
        </w:rPr>
        <w:t>27号」、国連文書 CEDAW/C/GC/27 (2010)、 https://www.refworld.org/legal/general/cedaw/2010/en/27430（2026年4月22日閲覧）、パラグラフ11。</w:t>
      </w:r>
    </w:p>
  </w:footnote>
  <w:footnote w:id="7">
    <w:p w14:paraId="16238E54" w14:textId="0B845A87" w:rsidR="001C72BE" w:rsidRPr="00146DE3" w:rsidRDefault="001C72BE">
      <w:pPr>
        <w:pStyle w:val="af0"/>
        <w:rPr>
          <w:sz w:val="18"/>
          <w:szCs w:val="18"/>
          <w:lang w:eastAsia="ja-JP"/>
        </w:rPr>
      </w:pPr>
      <w:r w:rsidRPr="00146DE3">
        <w:rPr>
          <w:rStyle w:val="af2"/>
          <w:sz w:val="18"/>
          <w:szCs w:val="18"/>
        </w:rPr>
        <w:footnoteRef/>
      </w:r>
      <w:r w:rsidRPr="00146DE3">
        <w:rPr>
          <w:sz w:val="18"/>
          <w:szCs w:val="18"/>
        </w:rPr>
        <w:t xml:space="preserve"> </w:t>
      </w:r>
      <w:r w:rsidR="00FF2473" w:rsidRPr="00FF2473">
        <w:rPr>
          <w:rFonts w:hint="eastAsia"/>
          <w:sz w:val="18"/>
          <w:szCs w:val="18"/>
        </w:rPr>
        <w:t>ヒューマン・ライツ・ウォッチ、「老いた罰：韓国の年齢に基づく政策と高齢労働者の権利」、</w:t>
      </w:r>
      <w:r w:rsidR="00FF2473" w:rsidRPr="00FF2473">
        <w:rPr>
          <w:sz w:val="18"/>
          <w:szCs w:val="18"/>
        </w:rPr>
        <w:t>2025年7月、https://www.hrw.org/report/2025/07/08/punished-for-getting-older/south-koreas-age-based-policies-and-older-workers</w:t>
      </w:r>
    </w:p>
  </w:footnote>
  <w:footnote w:id="8">
    <w:p w14:paraId="1F048FF6" w14:textId="703C5A7D" w:rsidR="00533F36" w:rsidRDefault="00533F36">
      <w:pPr>
        <w:pStyle w:val="af0"/>
        <w:rPr>
          <w:lang w:eastAsia="ja-JP"/>
        </w:rPr>
      </w:pPr>
      <w:r>
        <w:rPr>
          <w:rStyle w:val="af2"/>
        </w:rPr>
        <w:footnoteRef/>
      </w:r>
      <w:r>
        <w:t xml:space="preserve"> </w:t>
      </w:r>
      <w:r w:rsidR="00BF5897" w:rsidRPr="00BF5897">
        <w:rPr>
          <w:sz w:val="18"/>
          <w:szCs w:val="18"/>
        </w:rPr>
        <w:t xml:space="preserve">Sasha Johfre and Aliya Saperstein, </w:t>
      </w:r>
      <w:r w:rsidR="00877977">
        <w:rPr>
          <w:rFonts w:hint="eastAsia"/>
          <w:sz w:val="18"/>
          <w:szCs w:val="18"/>
          <w:lang w:eastAsia="ja-JP"/>
        </w:rPr>
        <w:t>「年齢の社会的構築：</w:t>
      </w:r>
      <w:r w:rsidR="00F37066">
        <w:rPr>
          <w:rFonts w:hint="eastAsia"/>
          <w:sz w:val="18"/>
          <w:szCs w:val="18"/>
          <w:lang w:eastAsia="ja-JP"/>
        </w:rPr>
        <w:t>概念と測定」、</w:t>
      </w:r>
      <w:r w:rsidR="007C51C9">
        <w:rPr>
          <w:rFonts w:hint="eastAsia"/>
          <w:sz w:val="18"/>
          <w:szCs w:val="18"/>
          <w:lang w:eastAsia="ja-JP"/>
        </w:rPr>
        <w:t>社会学年報</w:t>
      </w:r>
      <w:r w:rsidR="00BF5897" w:rsidRPr="00BF5897">
        <w:rPr>
          <w:sz w:val="18"/>
          <w:szCs w:val="18"/>
        </w:rPr>
        <w:t>49 (2023): 339-358, 2026年4月アクセス, doi:10.1146/annurev-soc-031021-121020</w:t>
      </w:r>
    </w:p>
  </w:footnote>
  <w:footnote w:id="9">
    <w:p w14:paraId="471A04FF" w14:textId="71194889" w:rsidR="008A11A9" w:rsidRDefault="008A11A9">
      <w:pPr>
        <w:pStyle w:val="af0"/>
        <w:rPr>
          <w:lang w:eastAsia="ja-JP"/>
        </w:rPr>
      </w:pPr>
      <w:r>
        <w:rPr>
          <w:rStyle w:val="af2"/>
        </w:rPr>
        <w:footnoteRef/>
      </w:r>
      <w:r>
        <w:t xml:space="preserve"> </w:t>
      </w:r>
      <w:r w:rsidR="005B0612" w:rsidRPr="00AE0F72">
        <w:rPr>
          <w:rFonts w:hint="eastAsia"/>
          <w:sz w:val="18"/>
          <w:szCs w:val="18"/>
        </w:rPr>
        <w:t>実質的平等とは、法律や政策における「形式的平等」を超えたものであり、機会と結果の平等、すなわち</w:t>
      </w:r>
      <w:r w:rsidR="004E5754">
        <w:rPr>
          <w:rFonts w:hint="eastAsia"/>
          <w:sz w:val="18"/>
          <w:szCs w:val="18"/>
          <w:lang w:eastAsia="ja-JP"/>
        </w:rPr>
        <w:t>実際の</w:t>
      </w:r>
      <w:r w:rsidR="005B0612" w:rsidRPr="00AE0F72">
        <w:rPr>
          <w:rFonts w:hint="eastAsia"/>
          <w:sz w:val="18"/>
          <w:szCs w:val="18"/>
        </w:rPr>
        <w:t>平等を指す。本条約は、他の条約</w:t>
      </w:r>
      <w:r w:rsidR="007250E9">
        <w:rPr>
          <w:rFonts w:hint="eastAsia"/>
          <w:sz w:val="18"/>
          <w:szCs w:val="18"/>
          <w:lang w:eastAsia="ja-JP"/>
        </w:rPr>
        <w:t>体</w:t>
      </w:r>
      <w:r w:rsidR="005B0612" w:rsidRPr="00AE0F72">
        <w:rPr>
          <w:rFonts w:hint="eastAsia"/>
          <w:sz w:val="18"/>
          <w:szCs w:val="18"/>
        </w:rPr>
        <w:t>が行ってきた取り組み（例えば、一般</w:t>
      </w:r>
      <w:r w:rsidR="008A1DD0">
        <w:rPr>
          <w:rFonts w:hint="eastAsia"/>
          <w:sz w:val="18"/>
          <w:szCs w:val="18"/>
          <w:lang w:eastAsia="ja-JP"/>
        </w:rPr>
        <w:t>的</w:t>
      </w:r>
      <w:r w:rsidR="005B0612" w:rsidRPr="00AE0F72">
        <w:rPr>
          <w:rFonts w:hint="eastAsia"/>
          <w:sz w:val="18"/>
          <w:szCs w:val="18"/>
        </w:rPr>
        <w:t>意見など）を踏まえ、</w:t>
      </w:r>
      <w:r w:rsidR="008A1DD0">
        <w:rPr>
          <w:rFonts w:hint="eastAsia"/>
          <w:sz w:val="18"/>
          <w:szCs w:val="18"/>
          <w:lang w:eastAsia="ja-JP"/>
        </w:rPr>
        <w:t>無</w:t>
      </w:r>
      <w:r w:rsidR="005B0612" w:rsidRPr="00AE0F72">
        <w:rPr>
          <w:rFonts w:hint="eastAsia"/>
          <w:sz w:val="18"/>
          <w:szCs w:val="18"/>
        </w:rPr>
        <w:t>差別義務の範囲を明確にし、実質的平等を達成する方法</w:t>
      </w:r>
      <w:r w:rsidR="00E72014">
        <w:rPr>
          <w:rFonts w:hint="eastAsia"/>
          <w:sz w:val="18"/>
          <w:szCs w:val="18"/>
          <w:lang w:eastAsia="ja-JP"/>
        </w:rPr>
        <w:t>（</w:t>
      </w:r>
      <w:r w:rsidR="005B0612" w:rsidRPr="00AE0F72">
        <w:rPr>
          <w:rFonts w:hint="eastAsia"/>
          <w:sz w:val="18"/>
          <w:szCs w:val="18"/>
        </w:rPr>
        <w:t>例えば、積極的措置</w:t>
      </w:r>
      <w:r w:rsidR="0053433E">
        <w:rPr>
          <w:rFonts w:hint="eastAsia"/>
          <w:sz w:val="18"/>
          <w:szCs w:val="18"/>
          <w:lang w:eastAsia="ja-JP"/>
        </w:rPr>
        <w:t>（</w:t>
      </w:r>
      <w:r w:rsidR="0053433E" w:rsidRPr="0053433E">
        <w:rPr>
          <w:sz w:val="18"/>
          <w:szCs w:val="18"/>
          <w:lang w:eastAsia="ja-JP"/>
        </w:rPr>
        <w:t>positive action</w:t>
      </w:r>
      <w:r w:rsidR="0053433E">
        <w:rPr>
          <w:rFonts w:hint="eastAsia"/>
          <w:sz w:val="18"/>
          <w:szCs w:val="18"/>
          <w:lang w:eastAsia="ja-JP"/>
        </w:rPr>
        <w:t>）</w:t>
      </w:r>
      <w:r w:rsidR="005B0612" w:rsidRPr="00AE0F72">
        <w:rPr>
          <w:rFonts w:hint="eastAsia"/>
          <w:sz w:val="18"/>
          <w:szCs w:val="18"/>
        </w:rPr>
        <w:t>や合理的配慮を含</w:t>
      </w:r>
      <w:r w:rsidR="002B543E">
        <w:rPr>
          <w:rFonts w:hint="eastAsia"/>
          <w:sz w:val="18"/>
          <w:szCs w:val="18"/>
          <w:lang w:eastAsia="ja-JP"/>
        </w:rPr>
        <w:t>めて、</w:t>
      </w:r>
      <w:r w:rsidR="005B0612" w:rsidRPr="00AE0F72">
        <w:rPr>
          <w:rFonts w:hint="eastAsia"/>
          <w:sz w:val="18"/>
          <w:szCs w:val="18"/>
        </w:rPr>
        <w:t>必要となる可能性のある措置</w:t>
      </w:r>
      <w:r w:rsidR="004214B8">
        <w:rPr>
          <w:rFonts w:hint="eastAsia"/>
          <w:sz w:val="18"/>
          <w:szCs w:val="18"/>
          <w:lang w:eastAsia="ja-JP"/>
        </w:rPr>
        <w:t>）</w:t>
      </w:r>
      <w:r w:rsidR="005B0612" w:rsidRPr="00AE0F72">
        <w:rPr>
          <w:rFonts w:hint="eastAsia"/>
          <w:sz w:val="18"/>
          <w:szCs w:val="18"/>
        </w:rPr>
        <w:t>について、具体化すべきである。</w:t>
      </w:r>
    </w:p>
  </w:footnote>
  <w:footnote w:id="10">
    <w:p w14:paraId="4847D841" w14:textId="0AA0254E" w:rsidR="00EA660D" w:rsidRPr="00885ACD" w:rsidRDefault="00EA660D">
      <w:pPr>
        <w:pStyle w:val="af0"/>
        <w:rPr>
          <w:sz w:val="18"/>
          <w:szCs w:val="18"/>
          <w:lang w:eastAsia="ja-JP"/>
        </w:rPr>
      </w:pPr>
      <w:r>
        <w:rPr>
          <w:rStyle w:val="af2"/>
        </w:rPr>
        <w:footnoteRef/>
      </w:r>
      <w:r>
        <w:t xml:space="preserve"> </w:t>
      </w:r>
      <w:r w:rsidR="00885ACD" w:rsidRPr="00885ACD">
        <w:rPr>
          <w:rFonts w:hint="eastAsia"/>
          <w:sz w:val="18"/>
          <w:szCs w:val="18"/>
        </w:rPr>
        <w:t>エミナ・チェリモヴィッチ、マーガレット・ワース、「ボスニア・ヘルツェゴビナの子どもと高齢者に対する新型コロナウイルス対策は不適切である」、</w:t>
      </w:r>
      <w:r w:rsidR="00885ACD" w:rsidRPr="00885ACD">
        <w:rPr>
          <w:sz w:val="18"/>
          <w:szCs w:val="18"/>
        </w:rPr>
        <w:t>2020年4月2日、https://www.hrw.org/news/2020/04/02/bosnia-and-herzegovinas-coronavirus-curbs-children-and-older-people-are-ill</w:t>
      </w:r>
    </w:p>
  </w:footnote>
  <w:footnote w:id="11">
    <w:p w14:paraId="4E1D32B3" w14:textId="36111F9B" w:rsidR="00235068" w:rsidRDefault="00235068">
      <w:pPr>
        <w:pStyle w:val="af0"/>
        <w:rPr>
          <w:lang w:eastAsia="ja-JP"/>
        </w:rPr>
      </w:pPr>
      <w:r>
        <w:rPr>
          <w:rStyle w:val="af2"/>
        </w:rPr>
        <w:footnoteRef/>
      </w:r>
      <w:r>
        <w:t xml:space="preserve"> </w:t>
      </w:r>
      <w:r w:rsidR="00914AA4" w:rsidRPr="00914AA4">
        <w:rPr>
          <w:rFonts w:hint="eastAsia"/>
          <w:sz w:val="18"/>
          <w:szCs w:val="18"/>
        </w:rPr>
        <w:t>ヒューマン・ライツ・ウォッチ、「老いた罰」</w:t>
      </w:r>
    </w:p>
  </w:footnote>
  <w:footnote w:id="12">
    <w:p w14:paraId="42866A35" w14:textId="3514EBE0" w:rsidR="003C6CF5" w:rsidRPr="00914AA4" w:rsidRDefault="003C6CF5">
      <w:pPr>
        <w:pStyle w:val="af0"/>
        <w:rPr>
          <w:sz w:val="18"/>
          <w:szCs w:val="18"/>
          <w:lang w:eastAsia="ja-JP"/>
        </w:rPr>
      </w:pPr>
      <w:r>
        <w:rPr>
          <w:rStyle w:val="af2"/>
        </w:rPr>
        <w:footnoteRef/>
      </w:r>
      <w:r w:rsidRPr="00914AA4">
        <w:rPr>
          <w:sz w:val="18"/>
          <w:szCs w:val="18"/>
        </w:rPr>
        <w:t xml:space="preserve"> </w:t>
      </w:r>
      <w:r w:rsidR="00914AA4" w:rsidRPr="00914AA4">
        <w:rPr>
          <w:rFonts w:hint="eastAsia"/>
          <w:sz w:val="18"/>
          <w:szCs w:val="18"/>
        </w:rPr>
        <w:t>同上</w:t>
      </w:r>
    </w:p>
  </w:footnote>
  <w:footnote w:id="13">
    <w:p w14:paraId="4B21F77F" w14:textId="685BD796" w:rsidR="003C6CF5" w:rsidRPr="00914AA4" w:rsidRDefault="003C6CF5">
      <w:pPr>
        <w:pStyle w:val="af0"/>
        <w:rPr>
          <w:sz w:val="18"/>
          <w:szCs w:val="18"/>
          <w:lang w:eastAsia="ja-JP"/>
        </w:rPr>
      </w:pPr>
      <w:r w:rsidRPr="00914AA4">
        <w:rPr>
          <w:rStyle w:val="af2"/>
          <w:sz w:val="18"/>
          <w:szCs w:val="18"/>
        </w:rPr>
        <w:footnoteRef/>
      </w:r>
      <w:r w:rsidRPr="00914AA4">
        <w:rPr>
          <w:sz w:val="18"/>
          <w:szCs w:val="18"/>
        </w:rPr>
        <w:t xml:space="preserve"> </w:t>
      </w:r>
      <w:r w:rsidR="00AF173F" w:rsidRPr="00AF173F">
        <w:rPr>
          <w:rFonts w:hint="eastAsia"/>
          <w:sz w:val="18"/>
          <w:szCs w:val="18"/>
        </w:rPr>
        <w:t>ヒューマン・ライツ・ウォッチ、「誰も免れない：武力紛争における高齢者への虐待」、</w:t>
      </w:r>
      <w:r w:rsidR="00AF173F" w:rsidRPr="00AF173F">
        <w:rPr>
          <w:sz w:val="18"/>
          <w:szCs w:val="18"/>
        </w:rPr>
        <w:t>2022年2月、https://www.hrw.org/report/2022/02/23/no-one-spared/abuses-against-older-people-armed-conflict</w:t>
      </w:r>
    </w:p>
  </w:footnote>
  <w:footnote w:id="14">
    <w:p w14:paraId="19032C31" w14:textId="19B666E6" w:rsidR="00790FBF" w:rsidRPr="00914AA4" w:rsidRDefault="00790FBF">
      <w:pPr>
        <w:pStyle w:val="af0"/>
        <w:rPr>
          <w:sz w:val="18"/>
          <w:szCs w:val="18"/>
          <w:lang w:eastAsia="ja-JP"/>
        </w:rPr>
      </w:pPr>
      <w:r w:rsidRPr="00914AA4">
        <w:rPr>
          <w:rStyle w:val="af2"/>
          <w:sz w:val="18"/>
          <w:szCs w:val="18"/>
        </w:rPr>
        <w:footnoteRef/>
      </w:r>
      <w:r w:rsidRPr="00914AA4">
        <w:rPr>
          <w:sz w:val="18"/>
          <w:szCs w:val="18"/>
        </w:rPr>
        <w:t xml:space="preserve"> </w:t>
      </w:r>
      <w:r w:rsidR="00E36D52" w:rsidRPr="00E36D52">
        <w:rPr>
          <w:rFonts w:hint="eastAsia"/>
          <w:sz w:val="18"/>
          <w:szCs w:val="18"/>
        </w:rPr>
        <w:t>ヒューマン・ライツ・ウォッチ、「カナダ：猛暑による壊滅的な影響：ブリティッシュコロンビア州における高齢者および障害のある人の保護の欠如」、</w:t>
      </w:r>
      <w:r w:rsidR="00E36D52" w:rsidRPr="00E36D52">
        <w:rPr>
          <w:sz w:val="18"/>
          <w:szCs w:val="18"/>
        </w:rPr>
        <w:t>2021年10月5日、https://www.hrw.org/news/2021/10/05/canada-disastrous-impact-extreme-heat</w:t>
      </w:r>
    </w:p>
  </w:footnote>
  <w:footnote w:id="15">
    <w:p w14:paraId="1EE32A8C" w14:textId="4C0D5463" w:rsidR="00790FBF" w:rsidRPr="00914AA4" w:rsidRDefault="00790FBF">
      <w:pPr>
        <w:pStyle w:val="af0"/>
        <w:rPr>
          <w:sz w:val="18"/>
          <w:szCs w:val="18"/>
          <w:lang w:eastAsia="ja-JP"/>
        </w:rPr>
      </w:pPr>
      <w:r w:rsidRPr="00914AA4">
        <w:rPr>
          <w:rStyle w:val="af2"/>
          <w:sz w:val="18"/>
          <w:szCs w:val="18"/>
        </w:rPr>
        <w:footnoteRef/>
      </w:r>
      <w:r w:rsidRPr="00914AA4">
        <w:rPr>
          <w:sz w:val="18"/>
          <w:szCs w:val="18"/>
        </w:rPr>
        <w:t xml:space="preserve"> </w:t>
      </w:r>
      <w:r w:rsidR="004D15B5" w:rsidRPr="004D15B5">
        <w:rPr>
          <w:rFonts w:hint="eastAsia"/>
          <w:sz w:val="18"/>
          <w:szCs w:val="18"/>
        </w:rPr>
        <w:t>ヒューマン・ライツ・ウォッチ、「高齢者のあらゆる人権の享受に関する独立専門家への提出文書：法的能力とインフォームド・コンセントについて」、</w:t>
      </w:r>
      <w:r w:rsidR="004D15B5" w:rsidRPr="004D15B5">
        <w:rPr>
          <w:sz w:val="18"/>
          <w:szCs w:val="18"/>
        </w:rPr>
        <w:t>2024年2月23日、 https://www.hrw.org/news/2024/02/23/submission-to-the-independent-expert-on-the-enjoyment-of-all-human-rights-by-0</w:t>
      </w:r>
    </w:p>
  </w:footnote>
  <w:footnote w:id="16">
    <w:p w14:paraId="1DCEE0E0" w14:textId="3BBAFA3C" w:rsidR="00B21942" w:rsidRPr="00914AA4" w:rsidRDefault="00B21942">
      <w:pPr>
        <w:pStyle w:val="af0"/>
        <w:rPr>
          <w:sz w:val="18"/>
          <w:szCs w:val="18"/>
          <w:lang w:eastAsia="ja-JP"/>
        </w:rPr>
      </w:pPr>
      <w:r w:rsidRPr="00914AA4">
        <w:rPr>
          <w:rStyle w:val="af2"/>
          <w:sz w:val="18"/>
          <w:szCs w:val="18"/>
        </w:rPr>
        <w:footnoteRef/>
      </w:r>
      <w:r w:rsidRPr="00914AA4">
        <w:rPr>
          <w:sz w:val="18"/>
          <w:szCs w:val="18"/>
        </w:rPr>
        <w:t xml:space="preserve"> </w:t>
      </w:r>
      <w:r w:rsidR="00B36398" w:rsidRPr="00B36398">
        <w:rPr>
          <w:rFonts w:hint="eastAsia"/>
          <w:sz w:val="18"/>
          <w:szCs w:val="18"/>
        </w:rPr>
        <w:t>ヒューマン・ライツ・ウォッチ、「心が引き裂かれる：ドイツの社会保障制度における貧困とジェンダー」、</w:t>
      </w:r>
      <w:r w:rsidR="00B36398" w:rsidRPr="00B36398">
        <w:rPr>
          <w:sz w:val="18"/>
          <w:szCs w:val="18"/>
        </w:rPr>
        <w:t>2025年3月、https://www.hrw.org/report/2025/03/24/it-tears-you-apart/poverty-and-gender-germanys-social-security-system</w:t>
      </w:r>
    </w:p>
  </w:footnote>
  <w:footnote w:id="17">
    <w:p w14:paraId="728C92B8" w14:textId="77B952AA" w:rsidR="002E56AE" w:rsidRPr="00914AA4" w:rsidRDefault="002E56AE">
      <w:pPr>
        <w:pStyle w:val="af0"/>
        <w:rPr>
          <w:sz w:val="18"/>
          <w:szCs w:val="18"/>
          <w:lang w:eastAsia="ja-JP"/>
        </w:rPr>
      </w:pPr>
      <w:r w:rsidRPr="00914AA4">
        <w:rPr>
          <w:rStyle w:val="af2"/>
          <w:sz w:val="18"/>
          <w:szCs w:val="18"/>
        </w:rPr>
        <w:footnoteRef/>
      </w:r>
      <w:r w:rsidRPr="00914AA4">
        <w:rPr>
          <w:sz w:val="18"/>
          <w:szCs w:val="18"/>
        </w:rPr>
        <w:t xml:space="preserve"> </w:t>
      </w:r>
      <w:r w:rsidR="00D27600" w:rsidRPr="00D27600">
        <w:rPr>
          <w:rFonts w:hint="eastAsia"/>
          <w:sz w:val="18"/>
          <w:szCs w:val="18"/>
        </w:rPr>
        <w:t>ヒューマン・ライツ・ウォッチ、「高齢女性の権利：高齢者のすべての人権の享受に関する国連独立専門家への提出文書」、</w:t>
      </w:r>
      <w:r w:rsidR="00D27600" w:rsidRPr="00D27600">
        <w:rPr>
          <w:sz w:val="18"/>
          <w:szCs w:val="18"/>
        </w:rPr>
        <w:t>2021年4月16日、https://www.hrw.org/news/2021/04/16/human-rights-older-women</w:t>
      </w:r>
    </w:p>
  </w:footnote>
  <w:footnote w:id="18">
    <w:p w14:paraId="025160E9" w14:textId="70A0108F" w:rsidR="002E56AE" w:rsidRPr="00914AA4" w:rsidRDefault="002E56AE">
      <w:pPr>
        <w:pStyle w:val="af0"/>
        <w:rPr>
          <w:sz w:val="18"/>
          <w:szCs w:val="18"/>
          <w:lang w:eastAsia="ja-JP"/>
        </w:rPr>
      </w:pPr>
      <w:r w:rsidRPr="00914AA4">
        <w:rPr>
          <w:rStyle w:val="af2"/>
          <w:sz w:val="18"/>
          <w:szCs w:val="18"/>
        </w:rPr>
        <w:footnoteRef/>
      </w:r>
      <w:r w:rsidRPr="00914AA4">
        <w:rPr>
          <w:sz w:val="18"/>
          <w:szCs w:val="18"/>
        </w:rPr>
        <w:t xml:space="preserve"> </w:t>
      </w:r>
      <w:r w:rsidR="00E50B06" w:rsidRPr="00E50B06">
        <w:rPr>
          <w:rFonts w:hint="eastAsia"/>
          <w:sz w:val="18"/>
          <w:szCs w:val="18"/>
        </w:rPr>
        <w:t>ヒューマン・ライツ・ウォッチ、「アクセスが必要：ジョージア州農村部における子宮頸がんによる予防可能な死を終わらせるために」、</w:t>
      </w:r>
      <w:r w:rsidR="00E50B06" w:rsidRPr="00E50B06">
        <w:rPr>
          <w:sz w:val="18"/>
          <w:szCs w:val="18"/>
        </w:rPr>
        <w:t>2022年1月、https://www.hrw.org/report/2022/01/20/we-need-access/ending-preventable-deaths-cervical-cancer-rural-georgia</w:t>
      </w:r>
    </w:p>
  </w:footnote>
  <w:footnote w:id="19">
    <w:p w14:paraId="2637BF8D" w14:textId="188E2638" w:rsidR="00A22425" w:rsidRPr="00914AA4" w:rsidRDefault="00A22425">
      <w:pPr>
        <w:pStyle w:val="af0"/>
        <w:rPr>
          <w:sz w:val="18"/>
          <w:szCs w:val="18"/>
          <w:lang w:eastAsia="ja-JP"/>
        </w:rPr>
      </w:pPr>
      <w:r w:rsidRPr="00914AA4">
        <w:rPr>
          <w:rStyle w:val="af2"/>
          <w:sz w:val="18"/>
          <w:szCs w:val="18"/>
        </w:rPr>
        <w:footnoteRef/>
      </w:r>
      <w:r w:rsidRPr="00914AA4">
        <w:rPr>
          <w:sz w:val="18"/>
          <w:szCs w:val="18"/>
        </w:rPr>
        <w:t xml:space="preserve"> </w:t>
      </w:r>
      <w:r w:rsidR="00263756" w:rsidRPr="00263756">
        <w:rPr>
          <w:rFonts w:hint="eastAsia"/>
          <w:sz w:val="18"/>
          <w:szCs w:val="18"/>
        </w:rPr>
        <w:t>ヒューマン・ライツ・ウォッチ、「</w:t>
      </w:r>
      <w:r w:rsidR="00263756" w:rsidRPr="00263756">
        <w:rPr>
          <w:sz w:val="18"/>
          <w:szCs w:val="18"/>
        </w:rPr>
        <w:t>Fading Away」：オーストラリアの高齢者ケア施設における認知症高齢者の化学的拘束の実態、2019年10月、https://www.hrw.org/report/2019/10/15/fading-away/how-aged-care-facilities-australia-chemically-restrain-older-people</w:t>
      </w:r>
    </w:p>
  </w:footnote>
  <w:footnote w:id="20">
    <w:p w14:paraId="7751257A" w14:textId="2C73E5E1" w:rsidR="00BC6A5E" w:rsidRPr="00914AA4" w:rsidRDefault="00BC6A5E">
      <w:pPr>
        <w:pStyle w:val="af0"/>
        <w:rPr>
          <w:sz w:val="18"/>
          <w:szCs w:val="18"/>
          <w:lang w:eastAsia="ja-JP"/>
        </w:rPr>
      </w:pPr>
      <w:r w:rsidRPr="00914AA4">
        <w:rPr>
          <w:rStyle w:val="af2"/>
          <w:sz w:val="18"/>
          <w:szCs w:val="18"/>
        </w:rPr>
        <w:footnoteRef/>
      </w:r>
      <w:r w:rsidRPr="00914AA4">
        <w:rPr>
          <w:sz w:val="18"/>
          <w:szCs w:val="18"/>
        </w:rPr>
        <w:t xml:space="preserve"> </w:t>
      </w:r>
      <w:r w:rsidR="00893752" w:rsidRPr="00893752">
        <w:rPr>
          <w:rFonts w:hint="eastAsia"/>
          <w:sz w:val="18"/>
          <w:szCs w:val="18"/>
        </w:rPr>
        <w:t>ヒューマン・ライツ・ウォッチ、「この政府も私を見捨てている」：南アフリカにおける高齢者へのアパルトヘイトの遺産、</w:t>
      </w:r>
      <w:r w:rsidR="00893752" w:rsidRPr="00893752">
        <w:rPr>
          <w:sz w:val="18"/>
          <w:szCs w:val="18"/>
        </w:rPr>
        <w:t>2023年6月、https://www.hrw.org/report/2023/06/27/government-failing-me-too/south-africa-compounds-legacy-apartheid-older-people</w:t>
      </w:r>
    </w:p>
  </w:footnote>
  <w:footnote w:id="21">
    <w:p w14:paraId="42A21AE0" w14:textId="1A70DCE8" w:rsidR="000C5181" w:rsidRPr="00914AA4" w:rsidRDefault="000C5181">
      <w:pPr>
        <w:pStyle w:val="af0"/>
        <w:rPr>
          <w:sz w:val="18"/>
          <w:szCs w:val="18"/>
          <w:lang w:eastAsia="ja-JP"/>
        </w:rPr>
      </w:pPr>
      <w:r w:rsidRPr="00914AA4">
        <w:rPr>
          <w:rStyle w:val="af2"/>
          <w:sz w:val="18"/>
          <w:szCs w:val="18"/>
        </w:rPr>
        <w:footnoteRef/>
      </w:r>
      <w:r w:rsidRPr="00914AA4">
        <w:rPr>
          <w:sz w:val="18"/>
          <w:szCs w:val="18"/>
        </w:rPr>
        <w:t xml:space="preserve"> </w:t>
      </w:r>
      <w:r w:rsidR="00A97D4F" w:rsidRPr="00A97D4F">
        <w:rPr>
          <w:rFonts w:hint="eastAsia"/>
          <w:sz w:val="18"/>
          <w:szCs w:val="18"/>
        </w:rPr>
        <w:t>ヒューマン・ライツ・ウォッチ、「人間として扱われていない」：日本における収監中の女性への虐待、</w:t>
      </w:r>
      <w:r w:rsidR="00A97D4F" w:rsidRPr="00A97D4F">
        <w:rPr>
          <w:sz w:val="18"/>
          <w:szCs w:val="18"/>
        </w:rPr>
        <w:t>2023年11月、https://www.hrw.org/report/2023/11/14/they-dont-treat-us-human-beings/abuse-imprisoned-women-japan</w:t>
      </w:r>
    </w:p>
  </w:footnote>
  <w:footnote w:id="22">
    <w:p w14:paraId="705279D9" w14:textId="4E9DDF1D" w:rsidR="000C5181" w:rsidRPr="00914AA4" w:rsidRDefault="000C5181">
      <w:pPr>
        <w:pStyle w:val="af0"/>
        <w:rPr>
          <w:sz w:val="18"/>
          <w:szCs w:val="18"/>
          <w:lang w:eastAsia="ja-JP"/>
        </w:rPr>
      </w:pPr>
      <w:r w:rsidRPr="00914AA4">
        <w:rPr>
          <w:rStyle w:val="af2"/>
          <w:sz w:val="18"/>
          <w:szCs w:val="18"/>
        </w:rPr>
        <w:footnoteRef/>
      </w:r>
      <w:r w:rsidRPr="00914AA4">
        <w:rPr>
          <w:sz w:val="18"/>
          <w:szCs w:val="18"/>
        </w:rPr>
        <w:t xml:space="preserve"> </w:t>
      </w:r>
      <w:r w:rsidR="00F369ED" w:rsidRPr="00F369ED">
        <w:rPr>
          <w:rFonts w:hint="eastAsia"/>
          <w:sz w:val="18"/>
          <w:szCs w:val="18"/>
        </w:rPr>
        <w:t>ヒューマン・ライツ・ウォッチ、「高齢者のすべての人権の享受に関する独立専門家への提出文書：自由を奪われた高齢者」、</w:t>
      </w:r>
      <w:r w:rsidR="00F369ED" w:rsidRPr="00F369ED">
        <w:rPr>
          <w:sz w:val="18"/>
          <w:szCs w:val="18"/>
        </w:rPr>
        <w:t>2022年4月1日、https://www.hrw.org/news/2022/04/22/submission-independent-expert-enjoyment-all-human-rights-older-persons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05E51"/>
    <w:multiLevelType w:val="multilevel"/>
    <w:tmpl w:val="3A0C4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FC16C2"/>
    <w:multiLevelType w:val="multilevel"/>
    <w:tmpl w:val="ABB26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EC28EA"/>
    <w:multiLevelType w:val="multilevel"/>
    <w:tmpl w:val="A2342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3827296">
    <w:abstractNumId w:val="0"/>
  </w:num>
  <w:num w:numId="2" w16cid:durableId="2028405121">
    <w:abstractNumId w:val="2"/>
  </w:num>
  <w:num w:numId="3" w16cid:durableId="1153181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evenAndOddHeaders/>
  <w:drawingGridHorizontalSpacing w:val="100"/>
  <w:drawingGridVerticalSpacing w:val="136"/>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5D8"/>
    <w:rsid w:val="00012640"/>
    <w:rsid w:val="00023BB6"/>
    <w:rsid w:val="000307E2"/>
    <w:rsid w:val="00031BCE"/>
    <w:rsid w:val="000473DD"/>
    <w:rsid w:val="00066511"/>
    <w:rsid w:val="00067FA4"/>
    <w:rsid w:val="000870E4"/>
    <w:rsid w:val="000914D5"/>
    <w:rsid w:val="000B2AFD"/>
    <w:rsid w:val="000B66B8"/>
    <w:rsid w:val="000C5181"/>
    <w:rsid w:val="000C7D48"/>
    <w:rsid w:val="000D0FAB"/>
    <w:rsid w:val="000D145D"/>
    <w:rsid w:val="000D78A1"/>
    <w:rsid w:val="000F086C"/>
    <w:rsid w:val="000F5651"/>
    <w:rsid w:val="001203E8"/>
    <w:rsid w:val="00122566"/>
    <w:rsid w:val="00136A73"/>
    <w:rsid w:val="0014521D"/>
    <w:rsid w:val="00146DE3"/>
    <w:rsid w:val="00152B39"/>
    <w:rsid w:val="0017012D"/>
    <w:rsid w:val="00170C62"/>
    <w:rsid w:val="00191E9A"/>
    <w:rsid w:val="00195DB1"/>
    <w:rsid w:val="001C5FF4"/>
    <w:rsid w:val="001C605A"/>
    <w:rsid w:val="001C72BE"/>
    <w:rsid w:val="001E7676"/>
    <w:rsid w:val="001F7AD6"/>
    <w:rsid w:val="00234C76"/>
    <w:rsid w:val="00235068"/>
    <w:rsid w:val="00247640"/>
    <w:rsid w:val="002477AB"/>
    <w:rsid w:val="00263756"/>
    <w:rsid w:val="0027352B"/>
    <w:rsid w:val="00274F63"/>
    <w:rsid w:val="00293EED"/>
    <w:rsid w:val="002B0EDF"/>
    <w:rsid w:val="002B543E"/>
    <w:rsid w:val="002E56AE"/>
    <w:rsid w:val="002E5D48"/>
    <w:rsid w:val="003126F0"/>
    <w:rsid w:val="0032738E"/>
    <w:rsid w:val="00397C1B"/>
    <w:rsid w:val="003A6E34"/>
    <w:rsid w:val="003C6CF5"/>
    <w:rsid w:val="003E40BE"/>
    <w:rsid w:val="003E762E"/>
    <w:rsid w:val="004030D4"/>
    <w:rsid w:val="00406FC8"/>
    <w:rsid w:val="004214B8"/>
    <w:rsid w:val="00454F81"/>
    <w:rsid w:val="00470470"/>
    <w:rsid w:val="00473ADD"/>
    <w:rsid w:val="00487CD8"/>
    <w:rsid w:val="00494991"/>
    <w:rsid w:val="004B4792"/>
    <w:rsid w:val="004C5A2B"/>
    <w:rsid w:val="004D15B5"/>
    <w:rsid w:val="004E5754"/>
    <w:rsid w:val="004F0FBE"/>
    <w:rsid w:val="00533F36"/>
    <w:rsid w:val="0053433E"/>
    <w:rsid w:val="005B0612"/>
    <w:rsid w:val="005B3155"/>
    <w:rsid w:val="005B4D4C"/>
    <w:rsid w:val="005D007C"/>
    <w:rsid w:val="005D6BDE"/>
    <w:rsid w:val="005F726F"/>
    <w:rsid w:val="006153EA"/>
    <w:rsid w:val="00650939"/>
    <w:rsid w:val="00652645"/>
    <w:rsid w:val="0065418F"/>
    <w:rsid w:val="00692D7C"/>
    <w:rsid w:val="006958E0"/>
    <w:rsid w:val="006A05DC"/>
    <w:rsid w:val="006A6235"/>
    <w:rsid w:val="006D00AA"/>
    <w:rsid w:val="006D54FE"/>
    <w:rsid w:val="006D745A"/>
    <w:rsid w:val="006D7674"/>
    <w:rsid w:val="006E0A92"/>
    <w:rsid w:val="006E6C64"/>
    <w:rsid w:val="006F3A11"/>
    <w:rsid w:val="00707241"/>
    <w:rsid w:val="0072105A"/>
    <w:rsid w:val="007250E9"/>
    <w:rsid w:val="007337DA"/>
    <w:rsid w:val="0075076B"/>
    <w:rsid w:val="0076729D"/>
    <w:rsid w:val="00781D6D"/>
    <w:rsid w:val="00790FBF"/>
    <w:rsid w:val="00792928"/>
    <w:rsid w:val="007B22A4"/>
    <w:rsid w:val="007B4148"/>
    <w:rsid w:val="007C51C9"/>
    <w:rsid w:val="007D4CB0"/>
    <w:rsid w:val="007F55C5"/>
    <w:rsid w:val="00803429"/>
    <w:rsid w:val="008062CA"/>
    <w:rsid w:val="008243C5"/>
    <w:rsid w:val="008326A4"/>
    <w:rsid w:val="00834406"/>
    <w:rsid w:val="00847401"/>
    <w:rsid w:val="008752F0"/>
    <w:rsid w:val="00877977"/>
    <w:rsid w:val="0088154B"/>
    <w:rsid w:val="00885ACD"/>
    <w:rsid w:val="00887F67"/>
    <w:rsid w:val="00893752"/>
    <w:rsid w:val="00894628"/>
    <w:rsid w:val="00894C9A"/>
    <w:rsid w:val="00895F2F"/>
    <w:rsid w:val="00896A71"/>
    <w:rsid w:val="008A11A9"/>
    <w:rsid w:val="008A1DD0"/>
    <w:rsid w:val="0090621F"/>
    <w:rsid w:val="00914AA4"/>
    <w:rsid w:val="0093243E"/>
    <w:rsid w:val="009473C7"/>
    <w:rsid w:val="00963848"/>
    <w:rsid w:val="00963F59"/>
    <w:rsid w:val="009B6167"/>
    <w:rsid w:val="009B6E55"/>
    <w:rsid w:val="009C28AA"/>
    <w:rsid w:val="009C574C"/>
    <w:rsid w:val="009C61F3"/>
    <w:rsid w:val="009D5E43"/>
    <w:rsid w:val="009E623C"/>
    <w:rsid w:val="009E70E1"/>
    <w:rsid w:val="009F543E"/>
    <w:rsid w:val="00A22425"/>
    <w:rsid w:val="00A23F2D"/>
    <w:rsid w:val="00A35916"/>
    <w:rsid w:val="00A3592A"/>
    <w:rsid w:val="00A460DA"/>
    <w:rsid w:val="00A95258"/>
    <w:rsid w:val="00A97D4F"/>
    <w:rsid w:val="00AB4E90"/>
    <w:rsid w:val="00AD7BE1"/>
    <w:rsid w:val="00AE0F72"/>
    <w:rsid w:val="00AE4852"/>
    <w:rsid w:val="00AF173F"/>
    <w:rsid w:val="00AF582A"/>
    <w:rsid w:val="00AF74C6"/>
    <w:rsid w:val="00B21942"/>
    <w:rsid w:val="00B36398"/>
    <w:rsid w:val="00B37471"/>
    <w:rsid w:val="00B4791E"/>
    <w:rsid w:val="00B641AD"/>
    <w:rsid w:val="00B71852"/>
    <w:rsid w:val="00B7728F"/>
    <w:rsid w:val="00BA55AA"/>
    <w:rsid w:val="00BC6A5E"/>
    <w:rsid w:val="00BE088B"/>
    <w:rsid w:val="00BE58D6"/>
    <w:rsid w:val="00BF24D7"/>
    <w:rsid w:val="00BF5897"/>
    <w:rsid w:val="00BF5CD8"/>
    <w:rsid w:val="00C0678F"/>
    <w:rsid w:val="00C22D60"/>
    <w:rsid w:val="00C247FA"/>
    <w:rsid w:val="00C3669A"/>
    <w:rsid w:val="00CB2007"/>
    <w:rsid w:val="00CE0A06"/>
    <w:rsid w:val="00D27600"/>
    <w:rsid w:val="00D40680"/>
    <w:rsid w:val="00D62751"/>
    <w:rsid w:val="00D75227"/>
    <w:rsid w:val="00D859FA"/>
    <w:rsid w:val="00D90B3A"/>
    <w:rsid w:val="00DB66FF"/>
    <w:rsid w:val="00DD35D8"/>
    <w:rsid w:val="00DE2894"/>
    <w:rsid w:val="00DF437A"/>
    <w:rsid w:val="00E254D4"/>
    <w:rsid w:val="00E36D52"/>
    <w:rsid w:val="00E50B06"/>
    <w:rsid w:val="00E70AC3"/>
    <w:rsid w:val="00E72014"/>
    <w:rsid w:val="00E94BE0"/>
    <w:rsid w:val="00EA660D"/>
    <w:rsid w:val="00EB3102"/>
    <w:rsid w:val="00ED05D4"/>
    <w:rsid w:val="00ED4588"/>
    <w:rsid w:val="00EE080C"/>
    <w:rsid w:val="00EE4C17"/>
    <w:rsid w:val="00EE5D8F"/>
    <w:rsid w:val="00F0186C"/>
    <w:rsid w:val="00F23BFD"/>
    <w:rsid w:val="00F25311"/>
    <w:rsid w:val="00F261BE"/>
    <w:rsid w:val="00F369ED"/>
    <w:rsid w:val="00F37066"/>
    <w:rsid w:val="00F416F1"/>
    <w:rsid w:val="00F541CC"/>
    <w:rsid w:val="00F72221"/>
    <w:rsid w:val="00F935A8"/>
    <w:rsid w:val="00FA6C77"/>
    <w:rsid w:val="00FD5121"/>
    <w:rsid w:val="00FF0E08"/>
    <w:rsid w:val="00FF24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DF8F6DF"/>
  <w15:chartTrackingRefBased/>
  <w15:docId w15:val="{08738C4F-3CB9-486D-8FEC-02BA5BF93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D35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D35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D35D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D35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D35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D35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D35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D35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D35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D35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D35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D35D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D35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D35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D35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D35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D35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D35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D35D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D35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35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D35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D35D8"/>
    <w:pPr>
      <w:spacing w:before="160" w:after="160"/>
      <w:jc w:val="center"/>
    </w:pPr>
    <w:rPr>
      <w:i/>
      <w:iCs/>
      <w:color w:val="404040" w:themeColor="text1" w:themeTint="BF"/>
    </w:rPr>
  </w:style>
  <w:style w:type="character" w:customStyle="1" w:styleId="a8">
    <w:name w:val="引用文 (文字)"/>
    <w:basedOn w:val="a0"/>
    <w:link w:val="a7"/>
    <w:uiPriority w:val="29"/>
    <w:rsid w:val="00DD35D8"/>
    <w:rPr>
      <w:i/>
      <w:iCs/>
      <w:color w:val="404040" w:themeColor="text1" w:themeTint="BF"/>
    </w:rPr>
  </w:style>
  <w:style w:type="paragraph" w:styleId="a9">
    <w:name w:val="List Paragraph"/>
    <w:basedOn w:val="a"/>
    <w:uiPriority w:val="34"/>
    <w:qFormat/>
    <w:rsid w:val="00DD35D8"/>
    <w:pPr>
      <w:ind w:left="720"/>
      <w:contextualSpacing/>
    </w:pPr>
  </w:style>
  <w:style w:type="character" w:styleId="21">
    <w:name w:val="Intense Emphasis"/>
    <w:basedOn w:val="a0"/>
    <w:uiPriority w:val="21"/>
    <w:qFormat/>
    <w:rsid w:val="00DD35D8"/>
    <w:rPr>
      <w:i/>
      <w:iCs/>
      <w:color w:val="2F5496" w:themeColor="accent1" w:themeShade="BF"/>
    </w:rPr>
  </w:style>
  <w:style w:type="paragraph" w:styleId="22">
    <w:name w:val="Intense Quote"/>
    <w:basedOn w:val="a"/>
    <w:next w:val="a"/>
    <w:link w:val="23"/>
    <w:uiPriority w:val="30"/>
    <w:qFormat/>
    <w:rsid w:val="00DD35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D35D8"/>
    <w:rPr>
      <w:i/>
      <w:iCs/>
      <w:color w:val="2F5496" w:themeColor="accent1" w:themeShade="BF"/>
    </w:rPr>
  </w:style>
  <w:style w:type="character" w:styleId="24">
    <w:name w:val="Intense Reference"/>
    <w:basedOn w:val="a0"/>
    <w:uiPriority w:val="32"/>
    <w:qFormat/>
    <w:rsid w:val="00DD35D8"/>
    <w:rPr>
      <w:b/>
      <w:bCs/>
      <w:smallCaps/>
      <w:color w:val="2F5496" w:themeColor="accent1" w:themeShade="BF"/>
      <w:spacing w:val="5"/>
    </w:rPr>
  </w:style>
  <w:style w:type="paragraph" w:styleId="aa">
    <w:name w:val="header"/>
    <w:basedOn w:val="a"/>
    <w:link w:val="ab"/>
    <w:uiPriority w:val="99"/>
    <w:unhideWhenUsed/>
    <w:rsid w:val="00DD35D8"/>
    <w:pPr>
      <w:tabs>
        <w:tab w:val="center" w:pos="4252"/>
        <w:tab w:val="right" w:pos="8504"/>
      </w:tabs>
      <w:snapToGrid w:val="0"/>
    </w:pPr>
  </w:style>
  <w:style w:type="character" w:customStyle="1" w:styleId="ab">
    <w:name w:val="ヘッダー (文字)"/>
    <w:basedOn w:val="a0"/>
    <w:link w:val="aa"/>
    <w:uiPriority w:val="99"/>
    <w:rsid w:val="00DD35D8"/>
  </w:style>
  <w:style w:type="paragraph" w:styleId="ac">
    <w:name w:val="footer"/>
    <w:basedOn w:val="a"/>
    <w:link w:val="ad"/>
    <w:uiPriority w:val="99"/>
    <w:unhideWhenUsed/>
    <w:rsid w:val="00DD35D8"/>
    <w:pPr>
      <w:tabs>
        <w:tab w:val="center" w:pos="4252"/>
        <w:tab w:val="right" w:pos="8504"/>
      </w:tabs>
      <w:snapToGrid w:val="0"/>
    </w:pPr>
  </w:style>
  <w:style w:type="character" w:customStyle="1" w:styleId="ad">
    <w:name w:val="フッター (文字)"/>
    <w:basedOn w:val="a0"/>
    <w:link w:val="ac"/>
    <w:uiPriority w:val="99"/>
    <w:rsid w:val="00DD35D8"/>
  </w:style>
  <w:style w:type="character" w:styleId="ae">
    <w:name w:val="Hyperlink"/>
    <w:basedOn w:val="a0"/>
    <w:uiPriority w:val="99"/>
    <w:unhideWhenUsed/>
    <w:rsid w:val="001203E8"/>
    <w:rPr>
      <w:color w:val="0563C1" w:themeColor="hyperlink"/>
      <w:u w:val="single"/>
    </w:rPr>
  </w:style>
  <w:style w:type="character" w:styleId="af">
    <w:name w:val="Unresolved Mention"/>
    <w:basedOn w:val="a0"/>
    <w:uiPriority w:val="99"/>
    <w:semiHidden/>
    <w:unhideWhenUsed/>
    <w:rsid w:val="001203E8"/>
    <w:rPr>
      <w:color w:val="605E5C"/>
      <w:shd w:val="clear" w:color="auto" w:fill="E1DFDD"/>
    </w:rPr>
  </w:style>
  <w:style w:type="paragraph" w:styleId="af0">
    <w:name w:val="footnote text"/>
    <w:basedOn w:val="a"/>
    <w:link w:val="af1"/>
    <w:uiPriority w:val="99"/>
    <w:semiHidden/>
    <w:unhideWhenUsed/>
    <w:rsid w:val="00B71852"/>
    <w:pPr>
      <w:snapToGrid w:val="0"/>
      <w:jc w:val="left"/>
    </w:pPr>
  </w:style>
  <w:style w:type="character" w:customStyle="1" w:styleId="af1">
    <w:name w:val="脚注文字列 (文字)"/>
    <w:basedOn w:val="a0"/>
    <w:link w:val="af0"/>
    <w:uiPriority w:val="99"/>
    <w:semiHidden/>
    <w:rsid w:val="00B71852"/>
  </w:style>
  <w:style w:type="character" w:styleId="af2">
    <w:name w:val="footnote reference"/>
    <w:basedOn w:val="a0"/>
    <w:uiPriority w:val="99"/>
    <w:semiHidden/>
    <w:unhideWhenUsed/>
    <w:rsid w:val="00B71852"/>
    <w:rPr>
      <w:vertAlign w:val="superscript"/>
    </w:rPr>
  </w:style>
  <w:style w:type="paragraph" w:styleId="af3">
    <w:name w:val="Date"/>
    <w:basedOn w:val="a"/>
    <w:next w:val="a"/>
    <w:link w:val="af4"/>
    <w:uiPriority w:val="99"/>
    <w:semiHidden/>
    <w:unhideWhenUsed/>
    <w:rsid w:val="00F261BE"/>
  </w:style>
  <w:style w:type="character" w:customStyle="1" w:styleId="af4">
    <w:name w:val="日付 (文字)"/>
    <w:basedOn w:val="a0"/>
    <w:link w:val="af3"/>
    <w:uiPriority w:val="99"/>
    <w:semiHidden/>
    <w:rsid w:val="00F26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13D48-DB6E-4202-8BFA-B4A1A8653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661</Words>
  <Characters>3772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久夫 佐藤</dc:creator>
  <cp:keywords/>
  <dc:description/>
  <cp:lastModifiedBy>久夫 佐藤</cp:lastModifiedBy>
  <cp:revision>2</cp:revision>
  <dcterms:created xsi:type="dcterms:W3CDTF">2026-07-08T03:09:00Z</dcterms:created>
  <dcterms:modified xsi:type="dcterms:W3CDTF">2026-07-08T03:09:00Z</dcterms:modified>
</cp:coreProperties>
</file>