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4AA56" w14:textId="77777777" w:rsidR="00D97ADE" w:rsidRPr="00D97ADE" w:rsidRDefault="005777D8" w:rsidP="005C4581">
      <w:pPr>
        <w:rPr>
          <w:rFonts w:ascii="BIZ UDゴシック" w:eastAsia="BIZ UDゴシック" w:hAnsi="BIZ UDゴシック"/>
          <w:b/>
          <w:bCs/>
          <w:sz w:val="24"/>
          <w:szCs w:val="24"/>
          <w:lang w:eastAsia="ja-JP"/>
        </w:rPr>
      </w:pPr>
      <w:r w:rsidRPr="005C4581">
        <w:rPr>
          <w:rFonts w:ascii="BIZ UDゴシック" w:eastAsia="BIZ UDゴシック" w:hAnsi="BIZ UDゴシック" w:hint="eastAsia"/>
          <w:szCs w:val="21"/>
          <w:lang w:eastAsia="ja-JP"/>
        </w:rPr>
        <w:t xml:space="preserve">120　</w:t>
      </w:r>
      <w:r w:rsidR="00B24027" w:rsidRPr="00D97ADE">
        <w:rPr>
          <w:rFonts w:ascii="BIZ UDゴシック" w:eastAsia="BIZ UDゴシック" w:hAnsi="BIZ UDゴシック"/>
          <w:b/>
          <w:bCs/>
          <w:sz w:val="24"/>
          <w:szCs w:val="24"/>
        </w:rPr>
        <w:t>国連人権高等弁務官事務所（OHCHR）</w:t>
      </w:r>
      <w:r w:rsidR="00D97ADE" w:rsidRPr="00D97ADE">
        <w:rPr>
          <w:rFonts w:ascii="BIZ UDゴシック" w:eastAsia="BIZ UDゴシック" w:hAnsi="BIZ UDゴシック" w:hint="eastAsia"/>
          <w:b/>
          <w:bCs/>
          <w:sz w:val="24"/>
          <w:szCs w:val="24"/>
          <w:lang w:eastAsia="ja-JP"/>
        </w:rPr>
        <w:t>への</w:t>
      </w:r>
    </w:p>
    <w:p w14:paraId="2F4DDD17" w14:textId="77777777" w:rsidR="00D97ADE" w:rsidRPr="00D97ADE" w:rsidRDefault="00B24027" w:rsidP="00D97ADE">
      <w:pPr>
        <w:ind w:firstLineChars="200" w:firstLine="480"/>
        <w:rPr>
          <w:rFonts w:ascii="BIZ UDゴシック" w:eastAsia="BIZ UDゴシック" w:hAnsi="BIZ UDゴシック"/>
          <w:b/>
          <w:bCs/>
          <w:sz w:val="24"/>
          <w:szCs w:val="24"/>
          <w:lang w:eastAsia="ja-JP"/>
        </w:rPr>
      </w:pPr>
      <w:r w:rsidRPr="00D97ADE">
        <w:rPr>
          <w:rFonts w:ascii="BIZ UDゴシック" w:eastAsia="BIZ UDゴシック" w:hAnsi="BIZ UDゴシック"/>
          <w:b/>
          <w:bCs/>
          <w:sz w:val="24"/>
          <w:szCs w:val="24"/>
        </w:rPr>
        <w:t>「高齢者の人権に関する法的拘束力のある文書」の</w:t>
      </w:r>
    </w:p>
    <w:p w14:paraId="5DECB856" w14:textId="77777777" w:rsidR="00D97ADE" w:rsidRPr="00D97ADE" w:rsidRDefault="00B24027" w:rsidP="00D97ADE">
      <w:pPr>
        <w:ind w:firstLineChars="300" w:firstLine="720"/>
        <w:rPr>
          <w:rFonts w:ascii="BIZ UDゴシック" w:eastAsia="BIZ UDゴシック" w:hAnsi="BIZ UDゴシック"/>
          <w:b/>
          <w:bCs/>
          <w:sz w:val="24"/>
          <w:szCs w:val="24"/>
          <w:lang w:eastAsia="ja-JP"/>
        </w:rPr>
      </w:pPr>
      <w:r w:rsidRPr="00D97ADE">
        <w:rPr>
          <w:rFonts w:ascii="BIZ UDゴシック" w:eastAsia="BIZ UDゴシック" w:hAnsi="BIZ UDゴシック"/>
          <w:b/>
          <w:bCs/>
          <w:sz w:val="24"/>
          <w:szCs w:val="24"/>
        </w:rPr>
        <w:t>一般的な枠組み、構成、および指針原則に関する</w:t>
      </w:r>
    </w:p>
    <w:p w14:paraId="7D3D85B2" w14:textId="5DFC56A1" w:rsidR="00B24027" w:rsidRPr="005C4581" w:rsidRDefault="00B24027" w:rsidP="00D97ADE">
      <w:pPr>
        <w:ind w:firstLineChars="300" w:firstLine="720"/>
        <w:rPr>
          <w:rFonts w:ascii="BIZ UDゴシック" w:eastAsia="BIZ UDゴシック" w:hAnsi="BIZ UDゴシック"/>
          <w:szCs w:val="21"/>
        </w:rPr>
      </w:pPr>
      <w:r w:rsidRPr="00D97ADE">
        <w:rPr>
          <w:rFonts w:ascii="BIZ UDゴシック" w:eastAsia="BIZ UDゴシック" w:hAnsi="BIZ UDゴシック"/>
          <w:b/>
          <w:bCs/>
          <w:sz w:val="24"/>
          <w:szCs w:val="24"/>
        </w:rPr>
        <w:t>共同提出文書</w:t>
      </w:r>
    </w:p>
    <w:p w14:paraId="09E2DCEB" w14:textId="77777777" w:rsidR="00561051" w:rsidRDefault="00B24027" w:rsidP="005C4581">
      <w:pPr>
        <w:pStyle w:val="Web"/>
        <w:ind w:firstLineChars="100" w:firstLine="210"/>
        <w:rPr>
          <w:rFonts w:ascii="BIZ UDゴシック" w:eastAsia="BIZ UDゴシック" w:hAnsi="BIZ UDゴシック"/>
          <w:i/>
          <w:iCs/>
          <w:sz w:val="21"/>
          <w:szCs w:val="21"/>
        </w:rPr>
      </w:pPr>
      <w:r w:rsidRPr="005C4581">
        <w:rPr>
          <w:rFonts w:ascii="BIZ UDゴシック" w:eastAsia="BIZ UDゴシック" w:hAnsi="BIZ UDゴシック"/>
          <w:i/>
          <w:iCs/>
          <w:sz w:val="21"/>
          <w:szCs w:val="21"/>
        </w:rPr>
        <w:t>本報告書は、</w:t>
      </w:r>
    </w:p>
    <w:p w14:paraId="7E7CB63D" w14:textId="77777777" w:rsidR="00561051" w:rsidRDefault="00B24027" w:rsidP="00561051">
      <w:pPr>
        <w:pStyle w:val="Web"/>
        <w:spacing w:before="0" w:beforeAutospacing="0" w:after="0" w:afterAutospacing="0"/>
        <w:ind w:firstLineChars="100" w:firstLine="210"/>
        <w:rPr>
          <w:rFonts w:ascii="BIZ UDゴシック" w:eastAsia="BIZ UDゴシック" w:hAnsi="BIZ UDゴシック"/>
          <w:i/>
          <w:iCs/>
          <w:sz w:val="21"/>
          <w:szCs w:val="21"/>
        </w:rPr>
      </w:pPr>
      <w:r w:rsidRPr="005C4581">
        <w:rPr>
          <w:rFonts w:ascii="BIZ UDゴシック" w:eastAsia="BIZ UDゴシック" w:hAnsi="BIZ UDゴシック"/>
          <w:b/>
          <w:bCs/>
          <w:i/>
          <w:iCs/>
          <w:sz w:val="21"/>
          <w:szCs w:val="21"/>
        </w:rPr>
        <w:t>カナダ国際長寿センター（International Longevity Centre of Canada）</w:t>
      </w:r>
      <w:r w:rsidRPr="005C4581">
        <w:rPr>
          <w:rFonts w:ascii="BIZ UDゴシック" w:eastAsia="BIZ UDゴシック" w:hAnsi="BIZ UDゴシック"/>
          <w:i/>
          <w:iCs/>
          <w:sz w:val="21"/>
          <w:szCs w:val="21"/>
        </w:rPr>
        <w:t>（2022年よりECOSOC（国連経済社会理事会）の認定資格を有する、高齢者</w:t>
      </w:r>
      <w:r w:rsidR="00D97ADE">
        <w:rPr>
          <w:rFonts w:ascii="BIZ UDゴシック" w:eastAsia="BIZ UDゴシック" w:hAnsi="BIZ UDゴシック" w:hint="eastAsia"/>
          <w:i/>
          <w:iCs/>
          <w:sz w:val="21"/>
          <w:szCs w:val="21"/>
        </w:rPr>
        <w:t>に的を絞った</w:t>
      </w:r>
      <w:r w:rsidRPr="005C4581">
        <w:rPr>
          <w:rFonts w:ascii="BIZ UDゴシック" w:eastAsia="BIZ UDゴシック" w:hAnsi="BIZ UDゴシック"/>
          <w:i/>
          <w:iCs/>
          <w:sz w:val="21"/>
          <w:szCs w:val="21"/>
        </w:rPr>
        <w:t>人権擁護団体）および</w:t>
      </w:r>
    </w:p>
    <w:p w14:paraId="66EC455C" w14:textId="77777777" w:rsidR="00561051" w:rsidRDefault="00B24027" w:rsidP="00561051">
      <w:pPr>
        <w:pStyle w:val="Web"/>
        <w:spacing w:before="0" w:beforeAutospacing="0" w:after="0" w:afterAutospacing="0"/>
        <w:ind w:firstLineChars="100" w:firstLine="210"/>
        <w:rPr>
          <w:rFonts w:ascii="BIZ UDゴシック" w:eastAsia="BIZ UDゴシック" w:hAnsi="BIZ UDゴシック"/>
          <w:i/>
          <w:iCs/>
          <w:sz w:val="21"/>
          <w:szCs w:val="21"/>
        </w:rPr>
      </w:pPr>
      <w:r w:rsidRPr="005C4581">
        <w:rPr>
          <w:rFonts w:ascii="BIZ UDゴシック" w:eastAsia="BIZ UDゴシック" w:hAnsi="BIZ UDゴシック"/>
          <w:b/>
          <w:bCs/>
          <w:i/>
          <w:iCs/>
          <w:sz w:val="21"/>
          <w:szCs w:val="21"/>
        </w:rPr>
        <w:t>ヘルプエイジ・カナダ（HelpAge Canada）</w:t>
      </w:r>
      <w:r w:rsidRPr="005C4581">
        <w:rPr>
          <w:rFonts w:ascii="BIZ UDゴシック" w:eastAsia="BIZ UDゴシック" w:hAnsi="BIZ UDゴシック"/>
          <w:i/>
          <w:iCs/>
          <w:sz w:val="21"/>
          <w:szCs w:val="21"/>
        </w:rPr>
        <w:t>（地域団体と連携し、高齢者の公平性と福祉の向上に取り組む団体）によって提出されたものである。さらに、以下の主要なカナダの非政府組織からも支持を受けている：</w:t>
      </w:r>
    </w:p>
    <w:p w14:paraId="3C3EE60A" w14:textId="11B76D24" w:rsidR="00B24027" w:rsidRPr="005C4581" w:rsidRDefault="00B24027" w:rsidP="00561051">
      <w:pPr>
        <w:pStyle w:val="Web"/>
        <w:spacing w:before="0" w:beforeAutospacing="0" w:after="0" w:afterAutospacing="0"/>
        <w:ind w:firstLineChars="100" w:firstLine="210"/>
        <w:rPr>
          <w:rFonts w:ascii="BIZ UDゴシック" w:eastAsia="BIZ UDゴシック" w:hAnsi="BIZ UDゴシック"/>
          <w:sz w:val="21"/>
          <w:szCs w:val="21"/>
        </w:rPr>
      </w:pPr>
      <w:r w:rsidRPr="005C4581">
        <w:rPr>
          <w:rFonts w:ascii="BIZ UDゴシック" w:eastAsia="BIZ UDゴシック" w:hAnsi="BIZ UDゴシック"/>
          <w:b/>
          <w:bCs/>
          <w:i/>
          <w:iCs/>
          <w:sz w:val="21"/>
          <w:szCs w:val="21"/>
        </w:rPr>
        <w:t>カナダ高齢者虐待防止ネットワーク、CanAge</w:t>
      </w:r>
      <w:r w:rsidRPr="005C4581">
        <w:rPr>
          <w:rFonts w:ascii="BIZ UDゴシック" w:eastAsia="BIZ UDゴシック" w:hAnsi="BIZ UDゴシック"/>
          <w:i/>
          <w:iCs/>
          <w:sz w:val="21"/>
          <w:szCs w:val="21"/>
        </w:rPr>
        <w:t>、</w:t>
      </w:r>
      <w:r w:rsidRPr="005C4581">
        <w:rPr>
          <w:rFonts w:ascii="BIZ UDゴシック" w:eastAsia="BIZ UDゴシック" w:hAnsi="BIZ UDゴシック"/>
          <w:b/>
          <w:bCs/>
          <w:i/>
          <w:iCs/>
          <w:sz w:val="21"/>
          <w:szCs w:val="21"/>
        </w:rPr>
        <w:t>ブリティッシュコロンビア州高齢者団体協議会、オンタリオ州高齢者虐待防止協会、国立老化研究所、および全国年金受給者連盟。</w:t>
      </w:r>
    </w:p>
    <w:p w14:paraId="540BE885" w14:textId="437A1B64" w:rsidR="00B24027" w:rsidRPr="005C4581" w:rsidRDefault="00B24027" w:rsidP="005C4581">
      <w:pPr>
        <w:pStyle w:val="Web"/>
        <w:ind w:firstLineChars="100" w:firstLine="210"/>
        <w:rPr>
          <w:rFonts w:ascii="ＭＳ 明朝" w:eastAsia="ＭＳ 明朝" w:hAnsi="ＭＳ 明朝"/>
          <w:sz w:val="21"/>
          <w:szCs w:val="21"/>
        </w:rPr>
      </w:pPr>
      <w:r w:rsidRPr="005C4581">
        <w:rPr>
          <w:rFonts w:ascii="ＭＳ 明朝" w:eastAsia="ＭＳ 明朝" w:hAnsi="ＭＳ 明朝"/>
          <w:sz w:val="21"/>
          <w:szCs w:val="21"/>
        </w:rPr>
        <w:t>本稿は、高齢者の人権に特化した法的拘束力のある文書（LBI）の枠組みおよび指針原則に関する、国連人権高等弁務官事務所（OHCHR）からの意見募集への回答である。政府間作業部会（IGWG）内での最近の議論を参考にしつつ、本提出文書は、そのような文書の必要性と実用的な設計を強調することを目的としている</w:t>
      </w:r>
      <w:hyperlink r:id="rId6" w:history="1">
        <w:r w:rsidRPr="005C4581">
          <w:rPr>
            <w:rStyle w:val="aa"/>
            <w:rFonts w:ascii="ＭＳ 明朝" w:eastAsia="ＭＳ 明朝" w:hAnsi="ＭＳ 明朝"/>
            <w:sz w:val="21"/>
            <w:szCs w:val="21"/>
            <w:vertAlign w:val="superscript"/>
          </w:rPr>
          <w:t>1</w:t>
        </w:r>
      </w:hyperlink>
      <w:r w:rsidRPr="005C4581">
        <w:rPr>
          <w:rFonts w:ascii="ＭＳ 明朝" w:eastAsia="ＭＳ 明朝" w:hAnsi="ＭＳ 明朝"/>
          <w:sz w:val="21"/>
          <w:szCs w:val="21"/>
        </w:rPr>
        <w:t>。</w:t>
      </w:r>
    </w:p>
    <w:p w14:paraId="67E41CD1" w14:textId="2EC97DF2" w:rsidR="00B24027" w:rsidRPr="005C4581" w:rsidRDefault="00561051" w:rsidP="00B24027">
      <w:pPr>
        <w:pStyle w:val="Web"/>
        <w:rPr>
          <w:rFonts w:ascii="BIZ UDゴシック" w:eastAsia="BIZ UDゴシック" w:hAnsi="BIZ UDゴシック"/>
          <w:sz w:val="21"/>
          <w:szCs w:val="21"/>
        </w:rPr>
      </w:pPr>
      <w:r w:rsidRPr="005C4581">
        <w:rPr>
          <w:rFonts w:ascii="BIZ UDゴシック" w:eastAsia="BIZ UDゴシック" w:hAnsi="BIZ UDゴシック" w:hint="eastAsia"/>
          <w:b/>
          <w:bCs/>
          <w:sz w:val="21"/>
          <w:szCs w:val="21"/>
        </w:rPr>
        <w:t>１</w:t>
      </w:r>
      <w:r w:rsidR="00B24027" w:rsidRPr="005C4581">
        <w:rPr>
          <w:rFonts w:ascii="BIZ UDゴシック" w:eastAsia="BIZ UDゴシック" w:hAnsi="BIZ UDゴシック"/>
          <w:b/>
          <w:bCs/>
          <w:sz w:val="21"/>
          <w:szCs w:val="21"/>
        </w:rPr>
        <w:t xml:space="preserve">. </w:t>
      </w:r>
      <w:r w:rsidR="00B24027" w:rsidRPr="005C4581">
        <w:rPr>
          <w:rFonts w:ascii="BIZ UDゴシック" w:eastAsia="BIZ UDゴシック" w:hAnsi="BIZ UDゴシック"/>
          <w:sz w:val="21"/>
          <w:szCs w:val="21"/>
        </w:rPr>
        <w:t>基礎となるアプローチ</w:t>
      </w:r>
    </w:p>
    <w:p w14:paraId="35326A59" w14:textId="32B94EFB" w:rsidR="00B24027" w:rsidRPr="005C4581" w:rsidRDefault="00B24027" w:rsidP="005C4581">
      <w:pPr>
        <w:pStyle w:val="Web"/>
        <w:ind w:firstLineChars="100" w:firstLine="210"/>
        <w:rPr>
          <w:rFonts w:ascii="ＭＳ 明朝" w:eastAsia="ＭＳ 明朝" w:hAnsi="ＭＳ 明朝"/>
          <w:sz w:val="21"/>
          <w:szCs w:val="21"/>
        </w:rPr>
      </w:pPr>
      <w:r w:rsidRPr="005C4581">
        <w:rPr>
          <w:rFonts w:ascii="ＭＳ 明朝" w:eastAsia="ＭＳ 明朝" w:hAnsi="ＭＳ 明朝"/>
          <w:sz w:val="21"/>
          <w:szCs w:val="21"/>
        </w:rPr>
        <w:t>提案されるLBIは、すべての権利の普遍性と相互関連性を強調し、国際人権システムに確固として根ざしたものでなければならない。既存の条約は理論上はすべての人を対象としているが、高齢者の特定のニーズや権利は、しばしば見過ごされたり、一貫性なく保護されたりしている。新たな文書は、高齢期に特に関連する権利を再定義または明確化することで、こうした</w:t>
      </w:r>
      <w:r w:rsidR="00D97ADE">
        <w:rPr>
          <w:rFonts w:ascii="ＭＳ 明朝" w:eastAsia="ＭＳ 明朝" w:hAnsi="ＭＳ 明朝" w:hint="eastAsia"/>
          <w:sz w:val="21"/>
          <w:szCs w:val="21"/>
        </w:rPr>
        <w:t>欠陥</w:t>
      </w:r>
      <w:r w:rsidRPr="005C4581">
        <w:rPr>
          <w:rFonts w:ascii="ＭＳ 明朝" w:eastAsia="ＭＳ 明朝" w:hAnsi="ＭＳ 明朝"/>
          <w:sz w:val="21"/>
          <w:szCs w:val="21"/>
        </w:rPr>
        <w:t>に対処しなければならない。権利への障壁の根底にあることが多いエイジズム（年齢差別）については、</w:t>
      </w:r>
      <w:r w:rsidR="00D97ADE">
        <w:rPr>
          <w:rFonts w:ascii="ＭＳ 明朝" w:eastAsia="ＭＳ 明朝" w:hAnsi="ＭＳ 明朝" w:hint="eastAsia"/>
          <w:sz w:val="21"/>
          <w:szCs w:val="21"/>
        </w:rPr>
        <w:t>明確</w:t>
      </w:r>
      <w:r w:rsidRPr="005C4581">
        <w:rPr>
          <w:rFonts w:ascii="ＭＳ 明朝" w:eastAsia="ＭＳ 明朝" w:hAnsi="ＭＳ 明朝"/>
          <w:sz w:val="21"/>
          <w:szCs w:val="21"/>
        </w:rPr>
        <w:t>に説明し、法的に容認できないものとすべきである。</w:t>
      </w:r>
    </w:p>
    <w:p w14:paraId="6A26ABCD" w14:textId="3EE3AD71" w:rsidR="00B24027" w:rsidRPr="005C4581" w:rsidRDefault="00006CB3" w:rsidP="005C4581">
      <w:pPr>
        <w:pStyle w:val="Web"/>
        <w:ind w:firstLineChars="100" w:firstLine="210"/>
        <w:rPr>
          <w:rFonts w:ascii="ＭＳ 明朝" w:eastAsia="ＭＳ 明朝" w:hAnsi="ＭＳ 明朝"/>
          <w:sz w:val="21"/>
          <w:szCs w:val="21"/>
        </w:rPr>
      </w:pPr>
      <w:r>
        <w:rPr>
          <w:rFonts w:ascii="ＭＳ 明朝" w:eastAsia="ＭＳ 明朝" w:hAnsi="ＭＳ 明朝" w:hint="eastAsia"/>
          <w:sz w:val="21"/>
          <w:szCs w:val="21"/>
        </w:rPr>
        <w:t>LBIの</w:t>
      </w:r>
      <w:r w:rsidR="00B24027" w:rsidRPr="005C4581">
        <w:rPr>
          <w:rFonts w:ascii="ＭＳ 明朝" w:eastAsia="ＭＳ 明朝" w:hAnsi="ＭＳ 明朝"/>
          <w:sz w:val="21"/>
          <w:szCs w:val="21"/>
        </w:rPr>
        <w:t>中心的な目的は、高齢者を単なるケアの受け手ではなく、権利の対等な保有者として認識することである。高齢者の権利は、市民的、政治的、経済的、社会的、文化的分野に及び、提案されるLBIを通じて保護される必要がある。これは、カナダの高齢者が経験した以下のような権利侵害の事例からも明らかである：</w:t>
      </w:r>
    </w:p>
    <w:p w14:paraId="6899BEA6" w14:textId="5B6A3733" w:rsidR="00B24027" w:rsidRPr="005C4581" w:rsidRDefault="00B24027" w:rsidP="00561051">
      <w:pPr>
        <w:pStyle w:val="Web"/>
        <w:spacing w:before="0" w:beforeAutospacing="0" w:after="0" w:afterAutospacing="0" w:line="276" w:lineRule="auto"/>
        <w:ind w:leftChars="202" w:left="424"/>
        <w:rPr>
          <w:rFonts w:ascii="ＭＳ 明朝" w:eastAsia="ＭＳ 明朝" w:hAnsi="ＭＳ 明朝"/>
          <w:sz w:val="21"/>
          <w:szCs w:val="21"/>
        </w:rPr>
      </w:pPr>
      <w:r w:rsidRPr="005C4581">
        <w:rPr>
          <w:rFonts w:ascii="ＭＳ 明朝" w:eastAsia="ＭＳ 明朝" w:hAnsi="ＭＳ 明朝"/>
          <w:sz w:val="21"/>
          <w:szCs w:val="21"/>
        </w:rPr>
        <w:t xml:space="preserve">・ </w:t>
      </w:r>
      <w:r w:rsidR="00D97ADE" w:rsidRPr="005C4581">
        <w:rPr>
          <w:rFonts w:ascii="ＭＳ 明朝" w:eastAsia="ＭＳ 明朝" w:hAnsi="ＭＳ 明朝"/>
          <w:sz w:val="21"/>
          <w:szCs w:val="21"/>
        </w:rPr>
        <w:t>長期</w:t>
      </w:r>
      <w:r w:rsidR="00D97ADE">
        <w:rPr>
          <w:rFonts w:ascii="ＭＳ 明朝" w:eastAsia="ＭＳ 明朝" w:hAnsi="ＭＳ 明朝" w:hint="eastAsia"/>
          <w:sz w:val="21"/>
          <w:szCs w:val="21"/>
        </w:rPr>
        <w:t>ケア</w:t>
      </w:r>
      <w:r w:rsidR="00D97ADE" w:rsidRPr="005C4581">
        <w:rPr>
          <w:rFonts w:ascii="ＭＳ 明朝" w:eastAsia="ＭＳ 明朝" w:hAnsi="ＭＳ 明朝"/>
          <w:sz w:val="21"/>
          <w:szCs w:val="21"/>
        </w:rPr>
        <w:t>制度。</w:t>
      </w:r>
      <w:r w:rsidR="00D97ADE">
        <w:rPr>
          <w:rFonts w:ascii="ＭＳ 明朝" w:eastAsia="ＭＳ 明朝" w:hAnsi="ＭＳ 明朝" w:hint="eastAsia"/>
          <w:sz w:val="21"/>
          <w:szCs w:val="21"/>
        </w:rPr>
        <w:t>これは</w:t>
      </w:r>
      <w:r w:rsidRPr="005C4581">
        <w:rPr>
          <w:rFonts w:ascii="ＭＳ 明朝" w:eastAsia="ＭＳ 明朝" w:hAnsi="ＭＳ 明朝"/>
          <w:sz w:val="21"/>
          <w:szCs w:val="21"/>
        </w:rPr>
        <w:t>30年以上にわたり複数の報告書で不十分であることが指摘されてきた</w:t>
      </w:r>
      <w:r w:rsidR="00D97ADE">
        <w:rPr>
          <w:rFonts w:ascii="ＭＳ 明朝" w:eastAsia="ＭＳ 明朝" w:hAnsi="ＭＳ 明朝" w:hint="eastAsia"/>
          <w:sz w:val="21"/>
          <w:szCs w:val="21"/>
        </w:rPr>
        <w:t>。</w:t>
      </w:r>
      <w:r w:rsidRPr="005C4581">
        <w:rPr>
          <w:rFonts w:ascii="ＭＳ 明朝" w:eastAsia="ＭＳ 明朝" w:hAnsi="ＭＳ 明朝"/>
          <w:sz w:val="21"/>
          <w:szCs w:val="21"/>
        </w:rPr>
        <w:t>COVID-19による恐ろしい死亡率が発生した後でさえ、制度的な対応はほとんど、あるいは全く行われていない。</w:t>
      </w:r>
    </w:p>
    <w:p w14:paraId="6D33C4B6" w14:textId="2C1857AA" w:rsidR="00B24027" w:rsidRPr="005C4581" w:rsidRDefault="00B24027" w:rsidP="00561051">
      <w:pPr>
        <w:pStyle w:val="Web"/>
        <w:spacing w:before="0" w:beforeAutospacing="0" w:after="0" w:afterAutospacing="0" w:line="276" w:lineRule="auto"/>
        <w:ind w:leftChars="202" w:left="424"/>
        <w:rPr>
          <w:rFonts w:ascii="ＭＳ 明朝" w:eastAsia="ＭＳ 明朝" w:hAnsi="ＭＳ 明朝"/>
          <w:sz w:val="21"/>
          <w:szCs w:val="21"/>
        </w:rPr>
      </w:pPr>
      <w:r w:rsidRPr="005C4581">
        <w:rPr>
          <w:rFonts w:ascii="ＭＳ 明朝" w:eastAsia="ＭＳ 明朝" w:hAnsi="ＭＳ 明朝"/>
          <w:sz w:val="21"/>
          <w:szCs w:val="21"/>
        </w:rPr>
        <w:t>・ 2021年のブリティッシュコロンビア州における熱波（ヒートドーム）時の高齢者死亡率（79％）</w:t>
      </w:r>
      <w:r w:rsidR="00006CB3">
        <w:rPr>
          <w:rFonts w:ascii="ＭＳ 明朝" w:eastAsia="ＭＳ 明朝" w:hAnsi="ＭＳ 明朝" w:hint="eastAsia"/>
          <w:sz w:val="21"/>
          <w:szCs w:val="21"/>
        </w:rPr>
        <w:t>は</w:t>
      </w:r>
      <w:r w:rsidRPr="005C4581">
        <w:rPr>
          <w:rFonts w:ascii="ＭＳ 明朝" w:eastAsia="ＭＳ 明朝" w:hAnsi="ＭＳ 明朝"/>
          <w:sz w:val="21"/>
          <w:szCs w:val="21"/>
        </w:rPr>
        <w:t>不必要に高かった。これは、緊急事態において高齢者に焦点を当てる必要性を明確に示している。</w:t>
      </w:r>
    </w:p>
    <w:p w14:paraId="760E7539" w14:textId="3CE7E9E0" w:rsidR="00B24027" w:rsidRPr="005C4581" w:rsidRDefault="00B24027" w:rsidP="00561051">
      <w:pPr>
        <w:pStyle w:val="Web"/>
        <w:spacing w:before="0" w:beforeAutospacing="0" w:after="0" w:afterAutospacing="0" w:line="276" w:lineRule="auto"/>
        <w:ind w:leftChars="202" w:left="424"/>
        <w:rPr>
          <w:rFonts w:ascii="ＭＳ 明朝" w:eastAsia="ＭＳ 明朝" w:hAnsi="ＭＳ 明朝"/>
          <w:sz w:val="21"/>
          <w:szCs w:val="21"/>
        </w:rPr>
      </w:pPr>
      <w:r w:rsidRPr="005C4581">
        <w:rPr>
          <w:rFonts w:ascii="ＭＳ 明朝" w:eastAsia="ＭＳ 明朝" w:hAnsi="ＭＳ 明朝"/>
          <w:sz w:val="21"/>
          <w:szCs w:val="21"/>
        </w:rPr>
        <w:t>・ 高齢者のホームレスの増加。これは、高齢者には</w:t>
      </w:r>
      <w:r w:rsidR="00D97ADE">
        <w:rPr>
          <w:rFonts w:ascii="ＭＳ 明朝" w:eastAsia="ＭＳ 明朝" w:hAnsi="ＭＳ 明朝" w:hint="eastAsia"/>
          <w:sz w:val="21"/>
          <w:szCs w:val="21"/>
        </w:rPr>
        <w:t>役立たない</w:t>
      </w:r>
      <w:r w:rsidRPr="005C4581">
        <w:rPr>
          <w:rFonts w:ascii="ＭＳ 明朝" w:eastAsia="ＭＳ 明朝" w:hAnsi="ＭＳ 明朝"/>
          <w:sz w:val="21"/>
          <w:szCs w:val="21"/>
        </w:rPr>
        <w:t>従来のシェルターに優先して、特別な配慮を必要とする。</w:t>
      </w:r>
    </w:p>
    <w:p w14:paraId="23B3F655" w14:textId="27B75B76" w:rsidR="00B24027" w:rsidRPr="005C4581" w:rsidRDefault="00B24027" w:rsidP="00561051">
      <w:pPr>
        <w:pStyle w:val="Web"/>
        <w:spacing w:before="0" w:beforeAutospacing="0" w:after="0" w:afterAutospacing="0" w:line="276" w:lineRule="auto"/>
        <w:ind w:leftChars="202" w:left="424"/>
        <w:rPr>
          <w:rFonts w:ascii="ＭＳ 明朝" w:eastAsia="ＭＳ 明朝" w:hAnsi="ＭＳ 明朝"/>
          <w:sz w:val="21"/>
          <w:szCs w:val="21"/>
        </w:rPr>
      </w:pPr>
      <w:r w:rsidRPr="005C4581">
        <w:rPr>
          <w:rFonts w:ascii="ＭＳ 明朝" w:eastAsia="ＭＳ 明朝" w:hAnsi="ＭＳ 明朝"/>
          <w:sz w:val="21"/>
          <w:szCs w:val="21"/>
        </w:rPr>
        <w:lastRenderedPageBreak/>
        <w:t>・ 高齢者虐待、ネグレクト、搾取、家庭内暴力、不当な扱いといった複雑な事案が増加している</w:t>
      </w:r>
      <w:r w:rsidR="00D97ADE">
        <w:rPr>
          <w:rFonts w:ascii="ＭＳ 明朝" w:eastAsia="ＭＳ 明朝" w:hAnsi="ＭＳ 明朝" w:hint="eastAsia"/>
          <w:sz w:val="21"/>
          <w:szCs w:val="21"/>
        </w:rPr>
        <w:t>。しかし</w:t>
      </w:r>
      <w:r w:rsidRPr="005C4581">
        <w:rPr>
          <w:rFonts w:ascii="ＭＳ 明朝" w:eastAsia="ＭＳ 明朝" w:hAnsi="ＭＳ 明朝"/>
          <w:sz w:val="21"/>
          <w:szCs w:val="21"/>
        </w:rPr>
        <w:t>、高齢者のニーズを支える適切なリソースがなく、効果的に介入する能力も欠</w:t>
      </w:r>
      <w:r w:rsidR="00006CB3">
        <w:rPr>
          <w:rFonts w:ascii="ＭＳ 明朝" w:eastAsia="ＭＳ 明朝" w:hAnsi="ＭＳ 明朝" w:hint="eastAsia"/>
          <w:sz w:val="21"/>
          <w:szCs w:val="21"/>
        </w:rPr>
        <w:t>け</w:t>
      </w:r>
      <w:r w:rsidRPr="005C4581">
        <w:rPr>
          <w:rFonts w:ascii="ＭＳ 明朝" w:eastAsia="ＭＳ 明朝" w:hAnsi="ＭＳ 明朝"/>
          <w:sz w:val="21"/>
          <w:szCs w:val="21"/>
        </w:rPr>
        <w:t>ている。</w:t>
      </w:r>
    </w:p>
    <w:p w14:paraId="49FDE0A3" w14:textId="49FEA497" w:rsidR="00B24027" w:rsidRPr="005C4581" w:rsidRDefault="00B24027" w:rsidP="00561051">
      <w:pPr>
        <w:pStyle w:val="Web"/>
        <w:spacing w:before="0" w:beforeAutospacing="0" w:after="0" w:afterAutospacing="0" w:line="276" w:lineRule="auto"/>
        <w:ind w:leftChars="202" w:left="424"/>
        <w:rPr>
          <w:rFonts w:ascii="ＭＳ 明朝" w:eastAsia="ＭＳ 明朝" w:hAnsi="ＭＳ 明朝"/>
          <w:sz w:val="21"/>
          <w:szCs w:val="21"/>
        </w:rPr>
      </w:pPr>
      <w:r w:rsidRPr="005C4581">
        <w:rPr>
          <w:rFonts w:ascii="ＭＳ 明朝" w:eastAsia="ＭＳ 明朝" w:hAnsi="ＭＳ 明朝"/>
          <w:sz w:val="21"/>
          <w:szCs w:val="21"/>
        </w:rPr>
        <w:t>・ 不公正な雇用慣行、不平等な医療とアクセ</w:t>
      </w:r>
      <w:r w:rsidR="00D97ADE">
        <w:rPr>
          <w:rFonts w:ascii="ＭＳ 明朝" w:eastAsia="ＭＳ 明朝" w:hAnsi="ＭＳ 明朝" w:hint="eastAsia"/>
          <w:sz w:val="21"/>
          <w:szCs w:val="21"/>
        </w:rPr>
        <w:t>シビリテイ</w:t>
      </w:r>
      <w:r w:rsidRPr="005C4581">
        <w:rPr>
          <w:rFonts w:ascii="ＭＳ 明朝" w:eastAsia="ＭＳ 明朝" w:hAnsi="ＭＳ 明朝"/>
          <w:sz w:val="21"/>
          <w:szCs w:val="21"/>
        </w:rPr>
        <w:t>、そして固定観念によって強化された政策</w:t>
      </w:r>
      <w:r w:rsidR="00D97ADE">
        <w:rPr>
          <w:rFonts w:ascii="ＭＳ 明朝" w:eastAsia="ＭＳ 明朝" w:hAnsi="ＭＳ 明朝" w:hint="eastAsia"/>
          <w:sz w:val="21"/>
          <w:szCs w:val="21"/>
        </w:rPr>
        <w:t>、</w:t>
      </w:r>
      <w:r w:rsidR="00D97ADE" w:rsidRPr="005C4581">
        <w:rPr>
          <w:rFonts w:ascii="ＭＳ 明朝" w:eastAsia="ＭＳ 明朝" w:hAnsi="ＭＳ 明朝"/>
          <w:sz w:val="21"/>
          <w:szCs w:val="21"/>
        </w:rPr>
        <w:t>テクノロジーからの排除</w:t>
      </w:r>
      <w:r w:rsidRPr="005C4581">
        <w:rPr>
          <w:rFonts w:ascii="ＭＳ 明朝" w:eastAsia="ＭＳ 明朝" w:hAnsi="ＭＳ 明朝"/>
          <w:sz w:val="21"/>
          <w:szCs w:val="21"/>
        </w:rPr>
        <w:t>などが挙げられる。</w:t>
      </w:r>
    </w:p>
    <w:p w14:paraId="2B9FAB2D" w14:textId="77777777" w:rsidR="00B24027" w:rsidRPr="005C4581" w:rsidRDefault="00B24027" w:rsidP="005C4581">
      <w:pPr>
        <w:pStyle w:val="Web"/>
        <w:ind w:firstLineChars="100" w:firstLine="210"/>
        <w:rPr>
          <w:rFonts w:ascii="ＭＳ 明朝" w:eastAsia="ＭＳ 明朝" w:hAnsi="ＭＳ 明朝"/>
          <w:sz w:val="21"/>
          <w:szCs w:val="21"/>
        </w:rPr>
      </w:pPr>
      <w:r w:rsidRPr="005C4581">
        <w:rPr>
          <w:rFonts w:ascii="ＭＳ 明朝" w:eastAsia="ＭＳ 明朝" w:hAnsi="ＭＳ 明朝"/>
          <w:sz w:val="21"/>
          <w:szCs w:val="21"/>
        </w:rPr>
        <w:t>LBIは、こうした慣行が人権侵害であることを明確にし、各国政府に拘束力のある措置を講じるよう求める必要がある。交渉プロセスへの高齢者およびその組織による有意義な参画は不可欠である</w:t>
      </w:r>
      <w:hyperlink r:id="rId7" w:history="1">
        <w:r w:rsidRPr="005C4581">
          <w:rPr>
            <w:rStyle w:val="aa"/>
            <w:rFonts w:ascii="ＭＳ 明朝" w:eastAsia="ＭＳ 明朝" w:hAnsi="ＭＳ 明朝"/>
            <w:sz w:val="21"/>
            <w:szCs w:val="21"/>
            <w:vertAlign w:val="superscript"/>
          </w:rPr>
          <w:t>1</w:t>
        </w:r>
      </w:hyperlink>
      <w:r w:rsidRPr="005C4581">
        <w:rPr>
          <w:rFonts w:ascii="ＭＳ 明朝" w:eastAsia="ＭＳ 明朝" w:hAnsi="ＭＳ 明朝"/>
          <w:sz w:val="21"/>
          <w:szCs w:val="21"/>
        </w:rPr>
        <w:t>。</w:t>
      </w:r>
    </w:p>
    <w:p w14:paraId="2776AEA6" w14:textId="7857D0AA" w:rsidR="00B24027" w:rsidRPr="005C4581" w:rsidRDefault="00561051" w:rsidP="00B24027">
      <w:pPr>
        <w:pStyle w:val="Web"/>
        <w:rPr>
          <w:rFonts w:ascii="BIZ UDゴシック" w:eastAsia="BIZ UDゴシック" w:hAnsi="BIZ UDゴシック"/>
          <w:sz w:val="21"/>
          <w:szCs w:val="21"/>
        </w:rPr>
      </w:pPr>
      <w:r w:rsidRPr="005C4581">
        <w:rPr>
          <w:rFonts w:ascii="BIZ UDゴシック" w:eastAsia="BIZ UDゴシック" w:hAnsi="BIZ UDゴシック" w:hint="eastAsia"/>
          <w:b/>
          <w:bCs/>
          <w:sz w:val="21"/>
          <w:szCs w:val="21"/>
        </w:rPr>
        <w:t>２</w:t>
      </w:r>
      <w:r w:rsidR="00B24027" w:rsidRPr="005C4581">
        <w:rPr>
          <w:rFonts w:ascii="BIZ UDゴシック" w:eastAsia="BIZ UDゴシック" w:hAnsi="BIZ UDゴシック"/>
          <w:b/>
          <w:bCs/>
          <w:sz w:val="21"/>
          <w:szCs w:val="21"/>
        </w:rPr>
        <w:t xml:space="preserve">. </w:t>
      </w:r>
      <w:r w:rsidR="00B24027" w:rsidRPr="005C4581">
        <w:rPr>
          <w:rFonts w:ascii="BIZ UDゴシック" w:eastAsia="BIZ UDゴシック" w:hAnsi="BIZ UDゴシック"/>
          <w:sz w:val="21"/>
          <w:szCs w:val="21"/>
        </w:rPr>
        <w:t>指針となる原則</w:t>
      </w:r>
    </w:p>
    <w:p w14:paraId="0F16CCDB" w14:textId="77777777" w:rsidR="00B24027" w:rsidRPr="005C4581" w:rsidRDefault="00B24027" w:rsidP="005C4581">
      <w:pPr>
        <w:pStyle w:val="Web"/>
        <w:ind w:firstLineChars="100" w:firstLine="210"/>
        <w:rPr>
          <w:rFonts w:ascii="ＭＳ 明朝" w:eastAsia="ＭＳ 明朝" w:hAnsi="ＭＳ 明朝"/>
          <w:sz w:val="21"/>
          <w:szCs w:val="21"/>
        </w:rPr>
      </w:pPr>
      <w:r w:rsidRPr="005C4581">
        <w:rPr>
          <w:rFonts w:ascii="ＭＳ 明朝" w:eastAsia="ＭＳ 明朝" w:hAnsi="ＭＳ 明朝"/>
          <w:sz w:val="21"/>
          <w:szCs w:val="21"/>
        </w:rPr>
        <w:t>LBIが実効性を発揮するためには、その解釈と実施を導く明確かつ普遍的な原則に裏付けられなければならない。これには以下が含まれるべきである：</w:t>
      </w:r>
    </w:p>
    <w:p w14:paraId="78BDAA06" w14:textId="6D44865A" w:rsidR="00B24027" w:rsidRPr="005C4581" w:rsidRDefault="00B24027" w:rsidP="00561051">
      <w:pPr>
        <w:pStyle w:val="Web"/>
        <w:spacing w:before="0" w:beforeAutospacing="0" w:after="0" w:afterAutospacing="0"/>
        <w:ind w:leftChars="202" w:left="424"/>
        <w:rPr>
          <w:rFonts w:ascii="ＭＳ 明朝" w:eastAsia="ＭＳ 明朝" w:hAnsi="ＭＳ 明朝"/>
          <w:sz w:val="21"/>
          <w:szCs w:val="21"/>
        </w:rPr>
      </w:pPr>
      <w:r w:rsidRPr="005C4581">
        <w:rPr>
          <w:rFonts w:ascii="ＭＳ 明朝" w:eastAsia="ＭＳ 明朝" w:hAnsi="ＭＳ 明朝"/>
          <w:sz w:val="21"/>
          <w:szCs w:val="21"/>
        </w:rPr>
        <w:t>・ 平等と</w:t>
      </w:r>
      <w:r w:rsidR="00D97ADE">
        <w:rPr>
          <w:rFonts w:ascii="ＭＳ 明朝" w:eastAsia="ＭＳ 明朝" w:hAnsi="ＭＳ 明朝" w:hint="eastAsia"/>
          <w:sz w:val="21"/>
          <w:szCs w:val="21"/>
        </w:rPr>
        <w:t>無</w:t>
      </w:r>
      <w:r w:rsidRPr="005C4581">
        <w:rPr>
          <w:rFonts w:ascii="ＭＳ 明朝" w:eastAsia="ＭＳ 明朝" w:hAnsi="ＭＳ 明朝"/>
          <w:sz w:val="21"/>
          <w:szCs w:val="21"/>
        </w:rPr>
        <w:t>差別</w:t>
      </w:r>
    </w:p>
    <w:p w14:paraId="1F30986D" w14:textId="528B4A03" w:rsidR="00B24027" w:rsidRPr="005C4581" w:rsidRDefault="00B24027" w:rsidP="00561051">
      <w:pPr>
        <w:pStyle w:val="Web"/>
        <w:spacing w:before="0" w:beforeAutospacing="0" w:after="0" w:afterAutospacing="0"/>
        <w:ind w:leftChars="202" w:left="424"/>
        <w:rPr>
          <w:rFonts w:ascii="ＭＳ 明朝" w:eastAsia="ＭＳ 明朝" w:hAnsi="ＭＳ 明朝"/>
          <w:sz w:val="21"/>
          <w:szCs w:val="21"/>
        </w:rPr>
      </w:pPr>
      <w:r w:rsidRPr="005C4581">
        <w:rPr>
          <w:rFonts w:ascii="ＭＳ 明朝" w:eastAsia="ＭＳ 明朝" w:hAnsi="ＭＳ 明朝"/>
          <w:sz w:val="21"/>
          <w:szCs w:val="21"/>
        </w:rPr>
        <w:t>・ 自律と</w:t>
      </w:r>
      <w:r w:rsidR="00D97ADE">
        <w:rPr>
          <w:rFonts w:ascii="ＭＳ 明朝" w:eastAsia="ＭＳ 明朝" w:hAnsi="ＭＳ 明朝" w:hint="eastAsia"/>
          <w:sz w:val="21"/>
          <w:szCs w:val="21"/>
        </w:rPr>
        <w:t>独立</w:t>
      </w:r>
    </w:p>
    <w:p w14:paraId="265444F9" w14:textId="77777777" w:rsidR="00B24027" w:rsidRPr="005C4581" w:rsidRDefault="00B24027" w:rsidP="00561051">
      <w:pPr>
        <w:pStyle w:val="Web"/>
        <w:spacing w:before="0" w:beforeAutospacing="0" w:after="0" w:afterAutospacing="0"/>
        <w:ind w:leftChars="202" w:left="424"/>
        <w:rPr>
          <w:rFonts w:ascii="ＭＳ 明朝" w:eastAsia="ＭＳ 明朝" w:hAnsi="ＭＳ 明朝"/>
          <w:sz w:val="21"/>
          <w:szCs w:val="21"/>
        </w:rPr>
      </w:pPr>
      <w:r w:rsidRPr="005C4581">
        <w:rPr>
          <w:rFonts w:ascii="ＭＳ 明朝" w:eastAsia="ＭＳ 明朝" w:hAnsi="ＭＳ 明朝"/>
          <w:sz w:val="21"/>
          <w:szCs w:val="21"/>
        </w:rPr>
        <w:t>・ 有意義な参加</w:t>
      </w:r>
    </w:p>
    <w:p w14:paraId="09E6C0DA" w14:textId="77777777" w:rsidR="00B24027" w:rsidRPr="005C4581" w:rsidRDefault="00B24027" w:rsidP="00561051">
      <w:pPr>
        <w:pStyle w:val="Web"/>
        <w:spacing w:before="0" w:beforeAutospacing="0" w:after="0" w:afterAutospacing="0"/>
        <w:ind w:leftChars="202" w:left="424"/>
        <w:rPr>
          <w:rFonts w:ascii="ＭＳ 明朝" w:eastAsia="ＭＳ 明朝" w:hAnsi="ＭＳ 明朝"/>
          <w:sz w:val="21"/>
          <w:szCs w:val="21"/>
        </w:rPr>
      </w:pPr>
      <w:r w:rsidRPr="005C4581">
        <w:rPr>
          <w:rFonts w:ascii="ＭＳ 明朝" w:eastAsia="ＭＳ 明朝" w:hAnsi="ＭＳ 明朝"/>
          <w:sz w:val="21"/>
          <w:szCs w:val="21"/>
        </w:rPr>
        <w:t>・ 経済的脆弱性に対処するための所得保障</w:t>
      </w:r>
    </w:p>
    <w:p w14:paraId="74812E1A" w14:textId="44A32DBB" w:rsidR="00B24027" w:rsidRPr="005C4581" w:rsidRDefault="00B24027" w:rsidP="00561051">
      <w:pPr>
        <w:pStyle w:val="Web"/>
        <w:spacing w:before="0" w:beforeAutospacing="0" w:after="0" w:afterAutospacing="0"/>
        <w:ind w:leftChars="202" w:left="424"/>
        <w:rPr>
          <w:rFonts w:ascii="ＭＳ 明朝" w:eastAsia="ＭＳ 明朝" w:hAnsi="ＭＳ 明朝"/>
          <w:sz w:val="21"/>
          <w:szCs w:val="21"/>
        </w:rPr>
      </w:pPr>
      <w:r w:rsidRPr="005C4581">
        <w:rPr>
          <w:rFonts w:ascii="ＭＳ 明朝" w:eastAsia="ＭＳ 明朝" w:hAnsi="ＭＳ 明朝"/>
          <w:sz w:val="21"/>
          <w:szCs w:val="21"/>
        </w:rPr>
        <w:t>・ 多様性、尊厳、包摂の尊重</w:t>
      </w:r>
    </w:p>
    <w:p w14:paraId="1AD2A385" w14:textId="77777777" w:rsidR="00B24027" w:rsidRPr="005C4581" w:rsidRDefault="00B24027" w:rsidP="00561051">
      <w:pPr>
        <w:pStyle w:val="Web"/>
        <w:spacing w:before="0" w:beforeAutospacing="0" w:after="0" w:afterAutospacing="0"/>
        <w:ind w:leftChars="202" w:left="424"/>
        <w:rPr>
          <w:rFonts w:ascii="ＭＳ 明朝" w:eastAsia="ＭＳ 明朝" w:hAnsi="ＭＳ 明朝"/>
          <w:sz w:val="21"/>
          <w:szCs w:val="21"/>
        </w:rPr>
      </w:pPr>
      <w:r w:rsidRPr="005C4581">
        <w:rPr>
          <w:rFonts w:ascii="ＭＳ 明朝" w:eastAsia="ＭＳ 明朝" w:hAnsi="ＭＳ 明朝"/>
          <w:sz w:val="21"/>
          <w:szCs w:val="21"/>
        </w:rPr>
        <w:t>・ ジェンダー平等</w:t>
      </w:r>
    </w:p>
    <w:p w14:paraId="1DD7D366" w14:textId="77777777" w:rsidR="00B24027" w:rsidRPr="005C4581" w:rsidRDefault="00B24027" w:rsidP="00561051">
      <w:pPr>
        <w:pStyle w:val="Web"/>
        <w:spacing w:before="0" w:beforeAutospacing="0" w:after="0" w:afterAutospacing="0"/>
        <w:ind w:leftChars="202" w:left="424"/>
        <w:rPr>
          <w:rFonts w:ascii="ＭＳ 明朝" w:eastAsia="ＭＳ 明朝" w:hAnsi="ＭＳ 明朝"/>
          <w:sz w:val="21"/>
          <w:szCs w:val="21"/>
        </w:rPr>
      </w:pPr>
      <w:r w:rsidRPr="005C4581">
        <w:rPr>
          <w:rFonts w:ascii="ＭＳ 明朝" w:eastAsia="ＭＳ 明朝" w:hAnsi="ＭＳ 明朝"/>
          <w:sz w:val="21"/>
          <w:szCs w:val="21"/>
        </w:rPr>
        <w:t>・ 交差性</w:t>
      </w:r>
    </w:p>
    <w:p w14:paraId="7BD5BEBA" w14:textId="77777777" w:rsidR="00B24027" w:rsidRPr="005C4581" w:rsidRDefault="00B24027" w:rsidP="00561051">
      <w:pPr>
        <w:pStyle w:val="Web"/>
        <w:spacing w:before="0" w:beforeAutospacing="0" w:after="0" w:afterAutospacing="0"/>
        <w:ind w:leftChars="202" w:left="424"/>
        <w:rPr>
          <w:rFonts w:ascii="ＭＳ 明朝" w:eastAsia="ＭＳ 明朝" w:hAnsi="ＭＳ 明朝"/>
          <w:sz w:val="21"/>
          <w:szCs w:val="21"/>
        </w:rPr>
      </w:pPr>
      <w:r w:rsidRPr="005C4581">
        <w:rPr>
          <w:rFonts w:ascii="ＭＳ 明朝" w:eastAsia="ＭＳ 明朝" w:hAnsi="ＭＳ 明朝"/>
          <w:sz w:val="21"/>
          <w:szCs w:val="21"/>
        </w:rPr>
        <w:t>・ アクセシビリティ</w:t>
      </w:r>
    </w:p>
    <w:p w14:paraId="5202DB22" w14:textId="77777777" w:rsidR="00B24027" w:rsidRPr="005C4581" w:rsidRDefault="00B24027" w:rsidP="00561051">
      <w:pPr>
        <w:pStyle w:val="Web"/>
        <w:spacing w:before="0" w:beforeAutospacing="0" w:after="0" w:afterAutospacing="0"/>
        <w:ind w:leftChars="202" w:left="424"/>
        <w:rPr>
          <w:rFonts w:ascii="ＭＳ 明朝" w:eastAsia="ＭＳ 明朝" w:hAnsi="ＭＳ 明朝"/>
          <w:sz w:val="21"/>
          <w:szCs w:val="21"/>
        </w:rPr>
      </w:pPr>
      <w:r w:rsidRPr="005C4581">
        <w:rPr>
          <w:rFonts w:ascii="ＭＳ 明朝" w:eastAsia="ＭＳ 明朝" w:hAnsi="ＭＳ 明朝"/>
          <w:sz w:val="21"/>
          <w:szCs w:val="21"/>
        </w:rPr>
        <w:t>・ 既存の人権基準との整合性</w:t>
      </w:r>
    </w:p>
    <w:p w14:paraId="529D810A" w14:textId="0946F095" w:rsidR="00B24027" w:rsidRPr="005C4581" w:rsidRDefault="00B24027" w:rsidP="00561051">
      <w:pPr>
        <w:pStyle w:val="Web"/>
        <w:spacing w:before="0" w:beforeAutospacing="0" w:after="0" w:afterAutospacing="0"/>
        <w:ind w:leftChars="202" w:left="424"/>
        <w:rPr>
          <w:rFonts w:ascii="ＭＳ 明朝" w:eastAsia="ＭＳ 明朝" w:hAnsi="ＭＳ 明朝"/>
          <w:sz w:val="21"/>
          <w:szCs w:val="21"/>
        </w:rPr>
      </w:pPr>
      <w:r w:rsidRPr="005C4581">
        <w:rPr>
          <w:rFonts w:ascii="ＭＳ 明朝" w:eastAsia="ＭＳ 明朝" w:hAnsi="ＭＳ 明朝"/>
          <w:sz w:val="21"/>
          <w:szCs w:val="21"/>
        </w:rPr>
        <w:t xml:space="preserve">・ </w:t>
      </w:r>
      <w:r w:rsidR="00D97ADE">
        <w:rPr>
          <w:rFonts w:ascii="ＭＳ 明朝" w:eastAsia="ＭＳ 明朝" w:hAnsi="ＭＳ 明朝" w:hint="eastAsia"/>
          <w:sz w:val="21"/>
          <w:szCs w:val="21"/>
        </w:rPr>
        <w:t>分類</w:t>
      </w:r>
      <w:r w:rsidRPr="005C4581">
        <w:rPr>
          <w:rFonts w:ascii="ＭＳ 明朝" w:eastAsia="ＭＳ 明朝" w:hAnsi="ＭＳ 明朝"/>
          <w:sz w:val="21"/>
          <w:szCs w:val="21"/>
        </w:rPr>
        <w:t>されたデータ収集と説明責任</w:t>
      </w:r>
    </w:p>
    <w:p w14:paraId="7FD1F18D" w14:textId="342C9C5E" w:rsidR="00561051" w:rsidRPr="005C4581" w:rsidRDefault="00B24027" w:rsidP="00561051">
      <w:pPr>
        <w:pStyle w:val="Web"/>
        <w:spacing w:before="0" w:beforeAutospacing="0" w:after="0" w:afterAutospacing="0"/>
        <w:ind w:leftChars="202" w:left="424"/>
        <w:rPr>
          <w:rFonts w:ascii="ＭＳ 明朝" w:eastAsia="ＭＳ 明朝" w:hAnsi="ＭＳ 明朝"/>
          <w:sz w:val="21"/>
          <w:szCs w:val="21"/>
        </w:rPr>
      </w:pPr>
      <w:r w:rsidRPr="005C4581">
        <w:rPr>
          <w:rFonts w:ascii="ＭＳ 明朝" w:eastAsia="ＭＳ 明朝" w:hAnsi="ＭＳ 明朝"/>
          <w:sz w:val="21"/>
          <w:szCs w:val="21"/>
        </w:rPr>
        <w:t>・ 認知症への配慮と障害の包摂</w:t>
      </w:r>
    </w:p>
    <w:p w14:paraId="77E25590" w14:textId="77777777" w:rsidR="00B24027" w:rsidRPr="005C4581" w:rsidRDefault="00B24027" w:rsidP="005C4581">
      <w:pPr>
        <w:pStyle w:val="Web"/>
        <w:ind w:firstLineChars="100" w:firstLine="210"/>
        <w:rPr>
          <w:rFonts w:ascii="ＭＳ 明朝" w:eastAsia="ＭＳ 明朝" w:hAnsi="ＭＳ 明朝"/>
          <w:sz w:val="21"/>
          <w:szCs w:val="21"/>
        </w:rPr>
      </w:pPr>
      <w:r w:rsidRPr="005C4581">
        <w:rPr>
          <w:rFonts w:ascii="ＭＳ 明朝" w:eastAsia="ＭＳ 明朝" w:hAnsi="ＭＳ 明朝"/>
          <w:sz w:val="21"/>
          <w:szCs w:val="21"/>
        </w:rPr>
        <w:t>本枠組みは、「高齢者」を恣意的な年齢基準ではなく、社会的構築物として再定義すべきである。以下の課題に対処するためには、明確な原則が必要である：</w:t>
      </w:r>
    </w:p>
    <w:p w14:paraId="40F9693A" w14:textId="719A4F7C" w:rsidR="00B24027" w:rsidRPr="005C4581" w:rsidRDefault="00B24027" w:rsidP="00561051">
      <w:pPr>
        <w:pStyle w:val="Web"/>
        <w:spacing w:before="0" w:beforeAutospacing="0" w:after="0" w:afterAutospacing="0" w:line="276" w:lineRule="auto"/>
        <w:ind w:leftChars="202" w:left="424"/>
        <w:rPr>
          <w:rFonts w:ascii="ＭＳ 明朝" w:eastAsia="ＭＳ 明朝" w:hAnsi="ＭＳ 明朝"/>
          <w:sz w:val="21"/>
          <w:szCs w:val="21"/>
        </w:rPr>
      </w:pPr>
      <w:r w:rsidRPr="005C4581">
        <w:rPr>
          <w:rFonts w:ascii="ＭＳ 明朝" w:eastAsia="ＭＳ 明朝" w:hAnsi="ＭＳ 明朝"/>
          <w:sz w:val="21"/>
          <w:szCs w:val="21"/>
        </w:rPr>
        <w:t>・ 強制退職や雇用・教育からの排除といった、</w:t>
      </w:r>
      <w:r w:rsidR="00D97ADE">
        <w:rPr>
          <w:rFonts w:ascii="ＭＳ 明朝" w:eastAsia="ＭＳ 明朝" w:hAnsi="ＭＳ 明朝" w:hint="eastAsia"/>
          <w:sz w:val="21"/>
          <w:szCs w:val="21"/>
        </w:rPr>
        <w:t>エイジズム(</w:t>
      </w:r>
      <w:r w:rsidRPr="005C4581">
        <w:rPr>
          <w:rFonts w:ascii="ＭＳ 明朝" w:eastAsia="ＭＳ 明朝" w:hAnsi="ＭＳ 明朝"/>
          <w:sz w:val="21"/>
          <w:szCs w:val="21"/>
        </w:rPr>
        <w:t>年齢差別</w:t>
      </w:r>
      <w:r w:rsidR="00D97ADE">
        <w:rPr>
          <w:rFonts w:ascii="ＭＳ 明朝" w:eastAsia="ＭＳ 明朝" w:hAnsi="ＭＳ 明朝" w:hint="eastAsia"/>
          <w:sz w:val="21"/>
          <w:szCs w:val="21"/>
        </w:rPr>
        <w:t>)</w:t>
      </w:r>
      <w:r w:rsidRPr="005C4581">
        <w:rPr>
          <w:rFonts w:ascii="ＭＳ 明朝" w:eastAsia="ＭＳ 明朝" w:hAnsi="ＭＳ 明朝"/>
          <w:sz w:val="21"/>
          <w:szCs w:val="21"/>
        </w:rPr>
        <w:t>や差別。</w:t>
      </w:r>
    </w:p>
    <w:p w14:paraId="3B46AFE9" w14:textId="3200D56A" w:rsidR="00B24027" w:rsidRPr="005C4581" w:rsidRDefault="00B24027" w:rsidP="00561051">
      <w:pPr>
        <w:pStyle w:val="Web"/>
        <w:spacing w:before="0" w:beforeAutospacing="0" w:after="0" w:afterAutospacing="0" w:line="276" w:lineRule="auto"/>
        <w:ind w:leftChars="202" w:left="424"/>
        <w:rPr>
          <w:rFonts w:ascii="ＭＳ 明朝" w:eastAsia="ＭＳ 明朝" w:hAnsi="ＭＳ 明朝"/>
          <w:sz w:val="21"/>
          <w:szCs w:val="21"/>
        </w:rPr>
      </w:pPr>
      <w:r w:rsidRPr="005C4581">
        <w:rPr>
          <w:rFonts w:ascii="ＭＳ 明朝" w:eastAsia="ＭＳ 明朝" w:hAnsi="ＭＳ 明朝"/>
          <w:sz w:val="21"/>
          <w:szCs w:val="21"/>
        </w:rPr>
        <w:t>・ 自律と法的能力。高齢者の同意なしに、その人への決定がなされないことを確保する。</w:t>
      </w:r>
    </w:p>
    <w:p w14:paraId="21D74F52" w14:textId="77777777" w:rsidR="00B24027" w:rsidRPr="005C4581" w:rsidRDefault="00B24027" w:rsidP="00561051">
      <w:pPr>
        <w:pStyle w:val="Web"/>
        <w:spacing w:before="0" w:beforeAutospacing="0" w:after="0" w:afterAutospacing="0" w:line="276" w:lineRule="auto"/>
        <w:ind w:leftChars="202" w:left="424"/>
        <w:rPr>
          <w:rFonts w:ascii="ＭＳ 明朝" w:eastAsia="ＭＳ 明朝" w:hAnsi="ＭＳ 明朝"/>
          <w:sz w:val="21"/>
          <w:szCs w:val="21"/>
        </w:rPr>
      </w:pPr>
      <w:r w:rsidRPr="005C4581">
        <w:rPr>
          <w:rFonts w:ascii="ＭＳ 明朝" w:eastAsia="ＭＳ 明朝" w:hAnsi="ＭＳ 明朝"/>
          <w:sz w:val="21"/>
          <w:szCs w:val="21"/>
        </w:rPr>
        <w:t>・ 虐待、ネグレクト、搾取、不当な扱い、および家庭内暴力を含む暴力からの保護。これには、予防と救済のための戦略が含まれる。</w:t>
      </w:r>
    </w:p>
    <w:p w14:paraId="5C0AAFD0" w14:textId="77777777" w:rsidR="00B24027" w:rsidRPr="005C4581" w:rsidRDefault="00B24027" w:rsidP="00561051">
      <w:pPr>
        <w:pStyle w:val="Web"/>
        <w:spacing w:before="0" w:beforeAutospacing="0" w:after="0" w:afterAutospacing="0" w:line="276" w:lineRule="auto"/>
        <w:ind w:leftChars="202" w:left="424"/>
        <w:rPr>
          <w:rFonts w:ascii="ＭＳ 明朝" w:eastAsia="ＭＳ 明朝" w:hAnsi="ＭＳ 明朝"/>
          <w:sz w:val="21"/>
          <w:szCs w:val="21"/>
        </w:rPr>
      </w:pPr>
      <w:r w:rsidRPr="005C4581">
        <w:rPr>
          <w:rFonts w:ascii="ＭＳ 明朝" w:eastAsia="ＭＳ 明朝" w:hAnsi="ＭＳ 明朝"/>
          <w:sz w:val="21"/>
          <w:szCs w:val="21"/>
        </w:rPr>
        <w:t>・ 参加。高齢者の生活に影響を与える政策、プログラム、制度を含め、高齢者に影響を及ぼすすべての決定について、高齢者に意見を聞くことを確保すること。</w:t>
      </w:r>
    </w:p>
    <w:p w14:paraId="2107B327" w14:textId="42D70164" w:rsidR="00B24027" w:rsidRPr="005C4581" w:rsidRDefault="00B24027" w:rsidP="005C4581">
      <w:pPr>
        <w:pStyle w:val="Web"/>
        <w:ind w:firstLineChars="100" w:firstLine="210"/>
        <w:rPr>
          <w:rFonts w:ascii="ＭＳ 明朝" w:eastAsia="ＭＳ 明朝" w:hAnsi="ＭＳ 明朝"/>
          <w:sz w:val="21"/>
          <w:szCs w:val="21"/>
        </w:rPr>
      </w:pPr>
      <w:r w:rsidRPr="005C4581">
        <w:rPr>
          <w:rFonts w:ascii="ＭＳ 明朝" w:eastAsia="ＭＳ 明朝" w:hAnsi="ＭＳ 明朝"/>
          <w:sz w:val="21"/>
          <w:szCs w:val="21"/>
        </w:rPr>
        <w:t>現行の条約はこれらの分野に言及しているものの、高齢期への明確な言及が欠如していることから、不備が生じている。新たなLBIは、権利を再確認するとともに、複数の不利な状況に直面している人を含め、高齢者への権利の適用を明確化しなければならない</w:t>
      </w:r>
      <w:hyperlink r:id="rId8" w:history="1">
        <w:r w:rsidR="00561051" w:rsidRPr="005C4581">
          <w:rPr>
            <w:rStyle w:val="aa"/>
            <w:rFonts w:ascii="ＭＳ 明朝" w:eastAsia="ＭＳ 明朝" w:hAnsi="ＭＳ 明朝"/>
            <w:sz w:val="21"/>
            <w:szCs w:val="21"/>
            <w:vertAlign w:val="superscript"/>
          </w:rPr>
          <w:t>1</w:t>
        </w:r>
      </w:hyperlink>
      <w:r w:rsidRPr="005C4581">
        <w:rPr>
          <w:rFonts w:ascii="ＭＳ 明朝" w:eastAsia="ＭＳ 明朝" w:hAnsi="ＭＳ 明朝"/>
          <w:sz w:val="21"/>
          <w:szCs w:val="21"/>
        </w:rPr>
        <w:t>。</w:t>
      </w:r>
    </w:p>
    <w:p w14:paraId="5C040D25" w14:textId="0144BD55" w:rsidR="00B24027" w:rsidRPr="005C4581" w:rsidRDefault="00561051" w:rsidP="00B24027">
      <w:pPr>
        <w:pStyle w:val="Web"/>
        <w:rPr>
          <w:rFonts w:ascii="BIZ UDゴシック" w:eastAsia="BIZ UDゴシック" w:hAnsi="BIZ UDゴシック"/>
          <w:sz w:val="21"/>
          <w:szCs w:val="21"/>
        </w:rPr>
      </w:pPr>
      <w:r>
        <w:rPr>
          <w:rFonts w:ascii="BIZ UDゴシック" w:eastAsia="BIZ UDゴシック" w:hAnsi="BIZ UDゴシック" w:hint="eastAsia"/>
          <w:b/>
          <w:bCs/>
          <w:sz w:val="21"/>
          <w:szCs w:val="21"/>
        </w:rPr>
        <w:t>⒊</w:t>
      </w:r>
      <w:r w:rsidR="00B24027" w:rsidRPr="005C4581">
        <w:rPr>
          <w:rFonts w:ascii="BIZ UDゴシック" w:eastAsia="BIZ UDゴシック" w:hAnsi="BIZ UDゴシック"/>
          <w:b/>
          <w:bCs/>
          <w:sz w:val="21"/>
          <w:szCs w:val="21"/>
        </w:rPr>
        <w:t xml:space="preserve"> </w:t>
      </w:r>
      <w:r w:rsidR="00B24027" w:rsidRPr="005C4581">
        <w:rPr>
          <w:rFonts w:ascii="BIZ UDゴシック" w:eastAsia="BIZ UDゴシック" w:hAnsi="BIZ UDゴシック"/>
          <w:sz w:val="21"/>
          <w:szCs w:val="21"/>
        </w:rPr>
        <w:t>構成要素</w:t>
      </w:r>
    </w:p>
    <w:p w14:paraId="227939DB" w14:textId="1ACDD1CC" w:rsidR="00B24027" w:rsidRPr="005C4581" w:rsidRDefault="00B24027" w:rsidP="005C4581">
      <w:pPr>
        <w:pStyle w:val="Web"/>
        <w:ind w:leftChars="202" w:left="424" w:firstLineChars="100" w:firstLine="210"/>
        <w:rPr>
          <w:rFonts w:ascii="ＭＳ 明朝" w:eastAsia="ＭＳ 明朝" w:hAnsi="ＭＳ 明朝"/>
          <w:sz w:val="21"/>
          <w:szCs w:val="21"/>
        </w:rPr>
      </w:pPr>
      <w:r w:rsidRPr="005C4581">
        <w:rPr>
          <w:rFonts w:ascii="ＭＳ 明朝" w:eastAsia="ＭＳ 明朝" w:hAnsi="ＭＳ 明朝"/>
          <w:sz w:val="21"/>
          <w:szCs w:val="21"/>
        </w:rPr>
        <w:lastRenderedPageBreak/>
        <w:t>法的明確性と実効性を確保するためには、条約の構成が適切であることが不可欠である。LBIは他の国連条約を模範とし、</w:t>
      </w:r>
      <w:r w:rsidR="00D97ADE">
        <w:rPr>
          <w:rFonts w:ascii="ＭＳ 明朝" w:eastAsia="ＭＳ 明朝" w:hAnsi="ＭＳ 明朝" w:hint="eastAsia"/>
          <w:sz w:val="21"/>
          <w:szCs w:val="21"/>
        </w:rPr>
        <w:t>わかり</w:t>
      </w:r>
      <w:r w:rsidRPr="005C4581">
        <w:rPr>
          <w:rFonts w:ascii="ＭＳ 明朝" w:eastAsia="ＭＳ 明朝" w:hAnsi="ＭＳ 明朝"/>
          <w:sz w:val="21"/>
          <w:szCs w:val="21"/>
        </w:rPr>
        <w:t>やすい版</w:t>
      </w:r>
      <w:r w:rsidR="00D97ADE">
        <w:rPr>
          <w:rFonts w:ascii="ＭＳ 明朝" w:eastAsia="ＭＳ 明朝" w:hAnsi="ＭＳ 明朝" w:hint="eastAsia"/>
          <w:sz w:val="21"/>
          <w:szCs w:val="21"/>
        </w:rPr>
        <w:t>（</w:t>
      </w:r>
      <w:r w:rsidR="00D97ADE" w:rsidRPr="00D97ADE">
        <w:rPr>
          <w:rFonts w:ascii="ＭＳ 明朝" w:eastAsia="ＭＳ 明朝" w:hAnsi="ＭＳ 明朝"/>
          <w:sz w:val="21"/>
          <w:szCs w:val="21"/>
        </w:rPr>
        <w:t>easy-to-read version</w:t>
      </w:r>
      <w:r w:rsidR="00D97ADE">
        <w:rPr>
          <w:rFonts w:ascii="ＭＳ 明朝" w:eastAsia="ＭＳ 明朝" w:hAnsi="ＭＳ 明朝" w:hint="eastAsia"/>
          <w:sz w:val="21"/>
          <w:szCs w:val="21"/>
        </w:rPr>
        <w:t>）</w:t>
      </w:r>
      <w:r w:rsidRPr="005C4581">
        <w:rPr>
          <w:rFonts w:ascii="ＭＳ 明朝" w:eastAsia="ＭＳ 明朝" w:hAnsi="ＭＳ 明朝"/>
          <w:sz w:val="21"/>
          <w:szCs w:val="21"/>
        </w:rPr>
        <w:t>を含め、様々な形式で利用可能であるべきである。主な構成要素は以下の通りである：</w:t>
      </w:r>
    </w:p>
    <w:p w14:paraId="1FAD523D" w14:textId="7CC80F01" w:rsidR="00B24027" w:rsidRPr="005C4581" w:rsidRDefault="00006CB3" w:rsidP="00561051">
      <w:pPr>
        <w:pStyle w:val="Web"/>
        <w:spacing w:before="0" w:beforeAutospacing="0" w:after="0" w:afterAutospacing="0" w:line="276" w:lineRule="auto"/>
        <w:ind w:leftChars="202" w:left="424"/>
        <w:rPr>
          <w:rFonts w:ascii="ＭＳ 明朝" w:eastAsia="ＭＳ 明朝" w:hAnsi="ＭＳ 明朝"/>
          <w:sz w:val="21"/>
          <w:szCs w:val="21"/>
        </w:rPr>
      </w:pPr>
      <w:r w:rsidRPr="005C4581">
        <w:rPr>
          <w:rFonts w:ascii="ＭＳ 明朝" w:eastAsia="ＭＳ 明朝" w:hAnsi="ＭＳ 明朝"/>
          <w:sz w:val="21"/>
          <w:szCs w:val="21"/>
        </w:rPr>
        <w:t>・</w:t>
      </w:r>
      <w:r w:rsidR="00B24027" w:rsidRPr="005C4581">
        <w:rPr>
          <w:rFonts w:ascii="ＭＳ 明朝" w:eastAsia="ＭＳ 明朝" w:hAnsi="ＭＳ 明朝"/>
          <w:sz w:val="21"/>
          <w:szCs w:val="21"/>
        </w:rPr>
        <w:t xml:space="preserve"> </w:t>
      </w:r>
      <w:r w:rsidR="00B24027" w:rsidRPr="005C4581">
        <w:rPr>
          <w:rFonts w:ascii="ＭＳ 明朝" w:eastAsia="ＭＳ 明朝" w:hAnsi="ＭＳ 明朝"/>
          <w:b/>
          <w:bCs/>
          <w:sz w:val="21"/>
          <w:szCs w:val="21"/>
        </w:rPr>
        <w:t>前文：</w:t>
      </w:r>
      <w:r w:rsidR="00B24027" w:rsidRPr="005C4581">
        <w:rPr>
          <w:rFonts w:ascii="ＭＳ 明朝" w:eastAsia="ＭＳ 明朝" w:hAnsi="ＭＳ 明朝"/>
          <w:sz w:val="21"/>
          <w:szCs w:val="21"/>
        </w:rPr>
        <w:t xml:space="preserve"> 根強い</w:t>
      </w:r>
      <w:r w:rsidR="00D97ADE">
        <w:rPr>
          <w:rFonts w:ascii="ＭＳ 明朝" w:eastAsia="ＭＳ 明朝" w:hAnsi="ＭＳ 明朝" w:hint="eastAsia"/>
          <w:sz w:val="21"/>
          <w:szCs w:val="21"/>
        </w:rPr>
        <w:t>エイジズム</w:t>
      </w:r>
      <w:r w:rsidR="00B24027" w:rsidRPr="005C4581">
        <w:rPr>
          <w:rFonts w:ascii="ＭＳ 明朝" w:eastAsia="ＭＳ 明朝" w:hAnsi="ＭＳ 明朝"/>
          <w:sz w:val="21"/>
          <w:szCs w:val="21"/>
        </w:rPr>
        <w:t>、人口動態の変化、および高齢者の貢献を認識する。</w:t>
      </w:r>
    </w:p>
    <w:p w14:paraId="5738B32B" w14:textId="6401ACA9" w:rsidR="00B24027" w:rsidRPr="005C4581" w:rsidRDefault="00006CB3" w:rsidP="00561051">
      <w:pPr>
        <w:pStyle w:val="Web"/>
        <w:spacing w:before="0" w:beforeAutospacing="0" w:after="0" w:afterAutospacing="0" w:line="276" w:lineRule="auto"/>
        <w:ind w:leftChars="202" w:left="424"/>
        <w:rPr>
          <w:rFonts w:ascii="ＭＳ 明朝" w:eastAsia="ＭＳ 明朝" w:hAnsi="ＭＳ 明朝"/>
          <w:sz w:val="21"/>
          <w:szCs w:val="21"/>
        </w:rPr>
      </w:pPr>
      <w:r w:rsidRPr="005C4581">
        <w:rPr>
          <w:rFonts w:ascii="ＭＳ 明朝" w:eastAsia="ＭＳ 明朝" w:hAnsi="ＭＳ 明朝"/>
          <w:sz w:val="21"/>
          <w:szCs w:val="21"/>
        </w:rPr>
        <w:t>・</w:t>
      </w:r>
      <w:r>
        <w:rPr>
          <w:rFonts w:ascii="ＭＳ 明朝" w:eastAsia="ＭＳ 明朝" w:hAnsi="ＭＳ 明朝" w:hint="eastAsia"/>
          <w:sz w:val="21"/>
          <w:szCs w:val="21"/>
        </w:rPr>
        <w:t xml:space="preserve"> </w:t>
      </w:r>
      <w:r w:rsidR="00B24027" w:rsidRPr="005C4581">
        <w:rPr>
          <w:rFonts w:ascii="ＭＳ 明朝" w:eastAsia="ＭＳ 明朝" w:hAnsi="ＭＳ 明朝"/>
          <w:b/>
          <w:bCs/>
          <w:sz w:val="21"/>
          <w:szCs w:val="21"/>
        </w:rPr>
        <w:t>目的および適用範囲：</w:t>
      </w:r>
      <w:r w:rsidR="00B24027" w:rsidRPr="005C4581">
        <w:rPr>
          <w:rFonts w:ascii="ＭＳ 明朝" w:eastAsia="ＭＳ 明朝" w:hAnsi="ＭＳ 明朝"/>
          <w:sz w:val="21"/>
          <w:szCs w:val="21"/>
        </w:rPr>
        <w:t xml:space="preserve"> 高齢者が人権を十分に享受できるよう促進・保護する。</w:t>
      </w:r>
    </w:p>
    <w:p w14:paraId="353E5DA0" w14:textId="77777777" w:rsidR="00B24027" w:rsidRPr="005C4581" w:rsidRDefault="00B24027" w:rsidP="00561051">
      <w:pPr>
        <w:pStyle w:val="Web"/>
        <w:spacing w:before="0" w:beforeAutospacing="0" w:after="0" w:afterAutospacing="0" w:line="276" w:lineRule="auto"/>
        <w:ind w:leftChars="202" w:left="424"/>
        <w:rPr>
          <w:rFonts w:ascii="ＭＳ 明朝" w:eastAsia="ＭＳ 明朝" w:hAnsi="ＭＳ 明朝"/>
          <w:sz w:val="21"/>
          <w:szCs w:val="21"/>
        </w:rPr>
      </w:pPr>
      <w:r w:rsidRPr="005C4581">
        <w:rPr>
          <w:rFonts w:ascii="ＭＳ 明朝" w:eastAsia="ＭＳ 明朝" w:hAnsi="ＭＳ 明朝"/>
          <w:sz w:val="21"/>
          <w:szCs w:val="21"/>
        </w:rPr>
        <w:t xml:space="preserve">・ </w:t>
      </w:r>
      <w:r w:rsidRPr="005C4581">
        <w:rPr>
          <w:rFonts w:ascii="ＭＳ 明朝" w:eastAsia="ＭＳ 明朝" w:hAnsi="ＭＳ 明朝"/>
          <w:b/>
          <w:bCs/>
          <w:sz w:val="21"/>
          <w:szCs w:val="21"/>
        </w:rPr>
        <w:t>定義：</w:t>
      </w:r>
      <w:r w:rsidRPr="005C4581">
        <w:rPr>
          <w:rFonts w:ascii="ＭＳ 明朝" w:eastAsia="ＭＳ 明朝" w:hAnsi="ＭＳ 明朝"/>
          <w:sz w:val="21"/>
          <w:szCs w:val="21"/>
        </w:rPr>
        <w:t xml:space="preserve"> 限定的な解釈を防ぐための明確な用語。</w:t>
      </w:r>
    </w:p>
    <w:p w14:paraId="349A9745" w14:textId="77777777" w:rsidR="00B24027" w:rsidRPr="005C4581" w:rsidRDefault="00B24027" w:rsidP="00561051">
      <w:pPr>
        <w:pStyle w:val="Web"/>
        <w:spacing w:before="0" w:beforeAutospacing="0" w:after="0" w:afterAutospacing="0" w:line="276" w:lineRule="auto"/>
        <w:ind w:leftChars="202" w:left="424"/>
        <w:rPr>
          <w:rFonts w:ascii="ＭＳ 明朝" w:eastAsia="ＭＳ 明朝" w:hAnsi="ＭＳ 明朝"/>
          <w:sz w:val="21"/>
          <w:szCs w:val="21"/>
        </w:rPr>
      </w:pPr>
      <w:r w:rsidRPr="005C4581">
        <w:rPr>
          <w:rFonts w:ascii="ＭＳ 明朝" w:eastAsia="ＭＳ 明朝" w:hAnsi="ＭＳ 明朝"/>
          <w:sz w:val="21"/>
          <w:szCs w:val="21"/>
        </w:rPr>
        <w:t xml:space="preserve">・ </w:t>
      </w:r>
      <w:r w:rsidRPr="005C4581">
        <w:rPr>
          <w:rFonts w:ascii="ＭＳ 明朝" w:eastAsia="ＭＳ 明朝" w:hAnsi="ＭＳ 明朝"/>
          <w:b/>
          <w:bCs/>
          <w:sz w:val="21"/>
          <w:szCs w:val="21"/>
        </w:rPr>
        <w:t>一般原則：</w:t>
      </w:r>
      <w:r w:rsidRPr="005C4581">
        <w:rPr>
          <w:rFonts w:ascii="ＭＳ 明朝" w:eastAsia="ＭＳ 明朝" w:hAnsi="ＭＳ 明朝"/>
          <w:sz w:val="21"/>
          <w:szCs w:val="21"/>
        </w:rPr>
        <w:t xml:space="preserve"> 上記で概説した通り。</w:t>
      </w:r>
    </w:p>
    <w:p w14:paraId="29AA0B3C" w14:textId="78E4E76F" w:rsidR="00B24027" w:rsidRPr="005C4581" w:rsidRDefault="00B24027" w:rsidP="00561051">
      <w:pPr>
        <w:pStyle w:val="Web"/>
        <w:spacing w:before="0" w:beforeAutospacing="0" w:after="0" w:afterAutospacing="0" w:line="276" w:lineRule="auto"/>
        <w:ind w:leftChars="202" w:left="424"/>
        <w:rPr>
          <w:rFonts w:ascii="ＭＳ 明朝" w:eastAsia="ＭＳ 明朝" w:hAnsi="ＭＳ 明朝"/>
          <w:sz w:val="21"/>
          <w:szCs w:val="21"/>
        </w:rPr>
      </w:pPr>
      <w:r w:rsidRPr="005C4581">
        <w:rPr>
          <w:rFonts w:ascii="ＭＳ 明朝" w:eastAsia="ＭＳ 明朝" w:hAnsi="ＭＳ 明朝"/>
          <w:sz w:val="21"/>
          <w:szCs w:val="21"/>
        </w:rPr>
        <w:t xml:space="preserve">・ </w:t>
      </w:r>
      <w:r w:rsidRPr="005C4581">
        <w:rPr>
          <w:rFonts w:ascii="ＭＳ 明朝" w:eastAsia="ＭＳ 明朝" w:hAnsi="ＭＳ 明朝"/>
          <w:b/>
          <w:bCs/>
          <w:sz w:val="21"/>
          <w:szCs w:val="21"/>
        </w:rPr>
        <w:t>一般的義務：</w:t>
      </w:r>
      <w:r w:rsidRPr="005C4581">
        <w:rPr>
          <w:rFonts w:ascii="ＭＳ 明朝" w:eastAsia="ＭＳ 明朝" w:hAnsi="ＭＳ 明朝"/>
          <w:sz w:val="21"/>
          <w:szCs w:val="21"/>
        </w:rPr>
        <w:t xml:space="preserve"> 各国に差別的な法律や慣行を見直し、改正することを義務付ける。</w:t>
      </w:r>
    </w:p>
    <w:p w14:paraId="7B7DB61D" w14:textId="1F48351E" w:rsidR="00B24027" w:rsidRPr="005C4581" w:rsidRDefault="00B24027" w:rsidP="00561051">
      <w:pPr>
        <w:pStyle w:val="Web"/>
        <w:spacing w:before="0" w:beforeAutospacing="0" w:after="0" w:afterAutospacing="0" w:line="276" w:lineRule="auto"/>
        <w:ind w:leftChars="202" w:left="424"/>
        <w:rPr>
          <w:rFonts w:ascii="ＭＳ 明朝" w:eastAsia="ＭＳ 明朝" w:hAnsi="ＭＳ 明朝"/>
          <w:sz w:val="21"/>
          <w:szCs w:val="21"/>
        </w:rPr>
      </w:pPr>
      <w:r w:rsidRPr="005C4581">
        <w:rPr>
          <w:rFonts w:ascii="ＭＳ 明朝" w:eastAsia="ＭＳ 明朝" w:hAnsi="ＭＳ 明朝"/>
          <w:sz w:val="21"/>
          <w:szCs w:val="21"/>
        </w:rPr>
        <w:t xml:space="preserve">・ </w:t>
      </w:r>
      <w:r w:rsidRPr="005C4581">
        <w:rPr>
          <w:rFonts w:ascii="ＭＳ 明朝" w:eastAsia="ＭＳ 明朝" w:hAnsi="ＭＳ 明朝"/>
          <w:b/>
          <w:bCs/>
          <w:sz w:val="21"/>
          <w:szCs w:val="21"/>
        </w:rPr>
        <w:t>実質的権利：</w:t>
      </w:r>
      <w:r w:rsidRPr="005C4581">
        <w:rPr>
          <w:rFonts w:ascii="ＭＳ 明朝" w:eastAsia="ＭＳ 明朝" w:hAnsi="ＭＳ 明朝"/>
          <w:sz w:val="21"/>
          <w:szCs w:val="21"/>
        </w:rPr>
        <w:t xml:space="preserve"> 暴力、虐待、ネグレクト、搾取、不当な扱いからの自由、ケアや技術への平等なアクセス、</w:t>
      </w:r>
      <w:r w:rsidR="00D97ADE">
        <w:rPr>
          <w:rFonts w:ascii="ＭＳ 明朝" w:eastAsia="ＭＳ 明朝" w:hAnsi="ＭＳ 明朝" w:hint="eastAsia"/>
          <w:sz w:val="21"/>
          <w:szCs w:val="21"/>
        </w:rPr>
        <w:t>独立</w:t>
      </w:r>
      <w:r w:rsidRPr="005C4581">
        <w:rPr>
          <w:rFonts w:ascii="ＭＳ 明朝" w:eastAsia="ＭＳ 明朝" w:hAnsi="ＭＳ 明朝"/>
          <w:sz w:val="21"/>
          <w:szCs w:val="21"/>
        </w:rPr>
        <w:t>した生活、社会的保護、生涯教育、司法へのアクセス</w:t>
      </w:r>
      <w:r w:rsidR="00D97ADE">
        <w:rPr>
          <w:rFonts w:ascii="ＭＳ 明朝" w:eastAsia="ＭＳ 明朝" w:hAnsi="ＭＳ 明朝" w:hint="eastAsia"/>
          <w:sz w:val="21"/>
          <w:szCs w:val="21"/>
        </w:rPr>
        <w:t>などの</w:t>
      </w:r>
      <w:r w:rsidRPr="005C4581">
        <w:rPr>
          <w:rFonts w:ascii="ＭＳ 明朝" w:eastAsia="ＭＳ 明朝" w:hAnsi="ＭＳ 明朝"/>
          <w:sz w:val="21"/>
          <w:szCs w:val="21"/>
        </w:rPr>
        <w:t>分野における義務を明確化する。</w:t>
      </w:r>
    </w:p>
    <w:p w14:paraId="20C07504" w14:textId="7B05701F" w:rsidR="00B24027" w:rsidRPr="005C4581" w:rsidRDefault="00B24027" w:rsidP="00561051">
      <w:pPr>
        <w:pStyle w:val="Web"/>
        <w:spacing w:before="0" w:beforeAutospacing="0" w:after="0" w:afterAutospacing="0" w:line="276" w:lineRule="auto"/>
        <w:ind w:leftChars="202" w:left="424"/>
        <w:rPr>
          <w:rFonts w:ascii="ＭＳ 明朝" w:eastAsia="ＭＳ 明朝" w:hAnsi="ＭＳ 明朝"/>
          <w:sz w:val="21"/>
          <w:szCs w:val="21"/>
        </w:rPr>
      </w:pPr>
      <w:r w:rsidRPr="005C4581">
        <w:rPr>
          <w:rFonts w:ascii="ＭＳ 明朝" w:eastAsia="ＭＳ 明朝" w:hAnsi="ＭＳ 明朝"/>
          <w:sz w:val="21"/>
          <w:szCs w:val="21"/>
        </w:rPr>
        <w:t xml:space="preserve">・ </w:t>
      </w:r>
      <w:r w:rsidRPr="005C4581">
        <w:rPr>
          <w:rFonts w:ascii="ＭＳ 明朝" w:eastAsia="ＭＳ 明朝" w:hAnsi="ＭＳ 明朝"/>
          <w:b/>
          <w:bCs/>
          <w:sz w:val="21"/>
          <w:szCs w:val="21"/>
        </w:rPr>
        <w:t>実施と監視：</w:t>
      </w:r>
      <w:r w:rsidRPr="005C4581">
        <w:rPr>
          <w:rFonts w:ascii="ＭＳ 明朝" w:eastAsia="ＭＳ 明朝" w:hAnsi="ＭＳ 明朝"/>
          <w:sz w:val="21"/>
          <w:szCs w:val="21"/>
        </w:rPr>
        <w:t xml:space="preserve"> 高齢者の積極的な参加と国家による定期的な報告を伴う条約</w:t>
      </w:r>
      <w:r w:rsidR="00D97ADE">
        <w:rPr>
          <w:rFonts w:ascii="ＭＳ 明朝" w:eastAsia="ＭＳ 明朝" w:hAnsi="ＭＳ 明朝" w:hint="eastAsia"/>
          <w:sz w:val="21"/>
          <w:szCs w:val="21"/>
        </w:rPr>
        <w:t>体</w:t>
      </w:r>
      <w:r w:rsidRPr="005C4581">
        <w:rPr>
          <w:rFonts w:ascii="ＭＳ 明朝" w:eastAsia="ＭＳ 明朝" w:hAnsi="ＭＳ 明朝"/>
          <w:sz w:val="21"/>
          <w:szCs w:val="21"/>
        </w:rPr>
        <w:t>委員会を通じて、説明責任を確保する。</w:t>
      </w:r>
    </w:p>
    <w:p w14:paraId="1255E54F" w14:textId="77777777" w:rsidR="00B24027" w:rsidRPr="005C4581" w:rsidRDefault="00B24027" w:rsidP="00561051">
      <w:pPr>
        <w:pStyle w:val="Web"/>
        <w:spacing w:before="0" w:beforeAutospacing="0" w:after="0" w:afterAutospacing="0" w:line="276" w:lineRule="auto"/>
        <w:ind w:leftChars="202" w:left="424"/>
        <w:rPr>
          <w:rFonts w:ascii="ＭＳ 明朝" w:eastAsia="ＭＳ 明朝" w:hAnsi="ＭＳ 明朝"/>
          <w:sz w:val="21"/>
          <w:szCs w:val="21"/>
        </w:rPr>
      </w:pPr>
      <w:r w:rsidRPr="005C4581">
        <w:rPr>
          <w:rFonts w:ascii="ＭＳ 明朝" w:eastAsia="ＭＳ 明朝" w:hAnsi="ＭＳ 明朝"/>
          <w:sz w:val="21"/>
          <w:szCs w:val="21"/>
        </w:rPr>
        <w:t xml:space="preserve">・ </w:t>
      </w:r>
      <w:r w:rsidRPr="005C4581">
        <w:rPr>
          <w:rFonts w:ascii="ＭＳ 明朝" w:eastAsia="ＭＳ 明朝" w:hAnsi="ＭＳ 明朝"/>
          <w:b/>
          <w:bCs/>
          <w:sz w:val="21"/>
          <w:szCs w:val="21"/>
        </w:rPr>
        <w:t>運営上の事項：</w:t>
      </w:r>
      <w:r w:rsidRPr="005C4581">
        <w:rPr>
          <w:rFonts w:ascii="ＭＳ 明朝" w:eastAsia="ＭＳ 明朝" w:hAnsi="ＭＳ 明朝"/>
          <w:sz w:val="21"/>
          <w:szCs w:val="21"/>
        </w:rPr>
        <w:t xml:space="preserve"> 委員会および締約国会議のためのガイドラインを策定する。</w:t>
      </w:r>
    </w:p>
    <w:p w14:paraId="044ACCC9" w14:textId="77777777" w:rsidR="00B24027" w:rsidRPr="005C4581" w:rsidRDefault="00B24027" w:rsidP="005C4581">
      <w:pPr>
        <w:pStyle w:val="Web"/>
        <w:ind w:firstLineChars="100" w:firstLine="210"/>
        <w:rPr>
          <w:rFonts w:ascii="ＭＳ 明朝" w:eastAsia="ＭＳ 明朝" w:hAnsi="ＭＳ 明朝"/>
          <w:sz w:val="21"/>
          <w:szCs w:val="21"/>
        </w:rPr>
      </w:pPr>
      <w:r w:rsidRPr="005C4581">
        <w:rPr>
          <w:rFonts w:ascii="ＭＳ 明朝" w:eastAsia="ＭＳ 明朝" w:hAnsi="ＭＳ 明朝"/>
          <w:sz w:val="21"/>
          <w:szCs w:val="21"/>
        </w:rPr>
        <w:t>最近の議論で強調されているように、この枠組みは可視性、一貫性、説明責任を強化し、LBIを実践的な実施ツールとするものである</w:t>
      </w:r>
      <w:hyperlink r:id="rId9" w:history="1">
        <w:r w:rsidRPr="005C4581">
          <w:rPr>
            <w:rStyle w:val="aa"/>
            <w:rFonts w:ascii="ＭＳ 明朝" w:eastAsia="ＭＳ 明朝" w:hAnsi="ＭＳ 明朝"/>
            <w:sz w:val="21"/>
            <w:szCs w:val="21"/>
            <w:vertAlign w:val="superscript"/>
          </w:rPr>
          <w:t>1</w:t>
        </w:r>
      </w:hyperlink>
      <w:r w:rsidRPr="005C4581">
        <w:rPr>
          <w:rFonts w:ascii="ＭＳ 明朝" w:eastAsia="ＭＳ 明朝" w:hAnsi="ＭＳ 明朝"/>
          <w:sz w:val="21"/>
          <w:szCs w:val="21"/>
          <w:vertAlign w:val="superscript"/>
        </w:rPr>
        <w:t>。</w:t>
      </w:r>
    </w:p>
    <w:p w14:paraId="449F00A1" w14:textId="08E0D670" w:rsidR="00B24027" w:rsidRPr="005C4581" w:rsidRDefault="00561051" w:rsidP="00B24027">
      <w:pPr>
        <w:pStyle w:val="Web"/>
        <w:rPr>
          <w:rFonts w:ascii="BIZ UDゴシック" w:eastAsia="BIZ UDゴシック" w:hAnsi="BIZ UDゴシック"/>
          <w:sz w:val="21"/>
          <w:szCs w:val="21"/>
        </w:rPr>
      </w:pPr>
      <w:r>
        <w:rPr>
          <w:rFonts w:ascii="BIZ UDゴシック" w:eastAsia="BIZ UDゴシック" w:hAnsi="BIZ UDゴシック" w:hint="eastAsia"/>
          <w:b/>
          <w:bCs/>
          <w:sz w:val="21"/>
          <w:szCs w:val="21"/>
        </w:rPr>
        <w:t>４</w:t>
      </w:r>
      <w:r w:rsidR="00B24027" w:rsidRPr="005C4581">
        <w:rPr>
          <w:rFonts w:ascii="BIZ UDゴシック" w:eastAsia="BIZ UDゴシック" w:hAnsi="BIZ UDゴシック"/>
          <w:b/>
          <w:bCs/>
          <w:sz w:val="21"/>
          <w:szCs w:val="21"/>
        </w:rPr>
        <w:t xml:space="preserve">. </w:t>
      </w:r>
      <w:r w:rsidR="00B24027" w:rsidRPr="005C4581">
        <w:rPr>
          <w:rFonts w:ascii="BIZ UDゴシック" w:eastAsia="BIZ UDゴシック" w:hAnsi="BIZ UDゴシック"/>
          <w:sz w:val="21"/>
          <w:szCs w:val="21"/>
        </w:rPr>
        <w:t>結び</w:t>
      </w:r>
    </w:p>
    <w:p w14:paraId="01AB985B" w14:textId="008F76D4" w:rsidR="005777D8" w:rsidRPr="00D6371A" w:rsidRDefault="00B24027" w:rsidP="00006CB3">
      <w:pPr>
        <w:pStyle w:val="Web"/>
        <w:ind w:firstLineChars="100" w:firstLine="210"/>
        <w:rPr>
          <w:rFonts w:ascii="ＭＳ 明朝" w:eastAsia="ＭＳ 明朝" w:hAnsi="ＭＳ 明朝"/>
          <w:sz w:val="21"/>
          <w:szCs w:val="21"/>
        </w:rPr>
      </w:pPr>
      <w:r w:rsidRPr="005C4581">
        <w:rPr>
          <w:rFonts w:ascii="ＭＳ 明朝" w:eastAsia="ＭＳ 明朝" w:hAnsi="ＭＳ 明朝"/>
          <w:sz w:val="21"/>
          <w:szCs w:val="21"/>
        </w:rPr>
        <w:t>高齢者自身およびその生活の質に影響を及ぼすあらゆる意思決定に高齢者を参画させ、明確な原則、運用指針、効果的な実施を備えた、高齢者向けの強固な人権枠組みは、長年にわたる格差を解消し、高齢者がすべての人権を完全に享受する権利を確固たるものにするために不可欠である</w:t>
      </w:r>
      <w:hyperlink r:id="rId10" w:history="1">
        <w:r w:rsidRPr="005C4581">
          <w:rPr>
            <w:rStyle w:val="aa"/>
            <w:rFonts w:ascii="ＭＳ 明朝" w:eastAsia="ＭＳ 明朝" w:hAnsi="ＭＳ 明朝"/>
            <w:sz w:val="21"/>
            <w:szCs w:val="21"/>
            <w:vertAlign w:val="superscript"/>
          </w:rPr>
          <w:t>1</w:t>
        </w:r>
      </w:hyperlink>
      <w:r w:rsidRPr="005C4581">
        <w:rPr>
          <w:rFonts w:ascii="ＭＳ 明朝" w:eastAsia="ＭＳ 明朝" w:hAnsi="ＭＳ 明朝"/>
          <w:sz w:val="21"/>
          <w:szCs w:val="21"/>
          <w:vertAlign w:val="superscript"/>
        </w:rPr>
        <w:t>。</w:t>
      </w:r>
    </w:p>
    <w:p w14:paraId="2A75819A" w14:textId="23AFECC6" w:rsidR="00D6371A" w:rsidRPr="00D6371A" w:rsidRDefault="00D6371A" w:rsidP="00D6371A">
      <w:pPr>
        <w:pStyle w:val="Web"/>
        <w:ind w:firstLineChars="100" w:firstLine="210"/>
        <w:jc w:val="right"/>
        <w:rPr>
          <w:rFonts w:ascii="ＭＳ 明朝" w:eastAsia="ＭＳ 明朝" w:hAnsi="ＭＳ 明朝" w:hint="eastAsia"/>
          <w:sz w:val="21"/>
          <w:szCs w:val="21"/>
        </w:rPr>
      </w:pPr>
      <w:r w:rsidRPr="00D6371A">
        <w:rPr>
          <w:rFonts w:ascii="ＭＳ 明朝" w:eastAsia="ＭＳ 明朝" w:hAnsi="ＭＳ 明朝" w:hint="eastAsia"/>
          <w:sz w:val="21"/>
          <w:szCs w:val="21"/>
        </w:rPr>
        <w:t>（翻訳・佐藤久夫、　　　　　　　）</w:t>
      </w:r>
    </w:p>
    <w:sectPr w:rsidR="00D6371A" w:rsidRPr="00D6371A" w:rsidSect="006A05DC">
      <w:footerReference w:type="even" r:id="rId11"/>
      <w:footerReference w:type="default" r:id="rId12"/>
      <w:footerReference w:type="first" r:id="rId13"/>
      <w:pgSz w:w="11907" w:h="16840" w:code="9"/>
      <w:pgMar w:top="1985" w:right="1701" w:bottom="1701" w:left="1701" w:header="851" w:footer="567" w:gutter="0"/>
      <w:cols w:space="425"/>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8166E" w14:textId="77777777" w:rsidR="005C4581" w:rsidRDefault="005C4581" w:rsidP="005C4581">
      <w:r>
        <w:separator/>
      </w:r>
    </w:p>
  </w:endnote>
  <w:endnote w:type="continuationSeparator" w:id="0">
    <w:p w14:paraId="66C62550" w14:textId="77777777" w:rsidR="005C4581" w:rsidRDefault="005C4581" w:rsidP="005C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751547"/>
      <w:docPartObj>
        <w:docPartGallery w:val="Page Numbers (Bottom of Page)"/>
        <w:docPartUnique/>
      </w:docPartObj>
    </w:sdtPr>
    <w:sdtEndPr/>
    <w:sdtContent>
      <w:p w14:paraId="4A61DBFC" w14:textId="09C3C9FA" w:rsidR="005C4581" w:rsidRDefault="005C4581">
        <w:pPr>
          <w:pStyle w:val="ad"/>
        </w:pPr>
        <w:r>
          <w:fldChar w:fldCharType="begin"/>
        </w:r>
        <w:r>
          <w:instrText>PAGE   \* MERGEFORMAT</w:instrText>
        </w:r>
        <w:r>
          <w:fldChar w:fldCharType="separate"/>
        </w:r>
        <w:r>
          <w:rPr>
            <w:lang w:val="ja-JP" w:eastAsia="ja-JP"/>
          </w:rPr>
          <w:t>2</w:t>
        </w:r>
        <w:r>
          <w:fldChar w:fldCharType="end"/>
        </w:r>
      </w:p>
    </w:sdtContent>
  </w:sdt>
  <w:p w14:paraId="718A4C80" w14:textId="77777777" w:rsidR="005C4581" w:rsidRDefault="005C4581">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134504"/>
      <w:docPartObj>
        <w:docPartGallery w:val="Page Numbers (Bottom of Page)"/>
        <w:docPartUnique/>
      </w:docPartObj>
    </w:sdtPr>
    <w:sdtEndPr/>
    <w:sdtContent>
      <w:p w14:paraId="42B75BC3" w14:textId="5CB40838" w:rsidR="005C4581" w:rsidRDefault="005C4581">
        <w:pPr>
          <w:pStyle w:val="ad"/>
        </w:pPr>
        <w:r>
          <w:fldChar w:fldCharType="begin"/>
        </w:r>
        <w:r>
          <w:instrText>PAGE   \* MERGEFORMAT</w:instrText>
        </w:r>
        <w:r>
          <w:fldChar w:fldCharType="separate"/>
        </w:r>
        <w:r>
          <w:rPr>
            <w:lang w:val="ja-JP" w:eastAsia="ja-JP"/>
          </w:rPr>
          <w:t>2</w:t>
        </w:r>
        <w:r>
          <w:fldChar w:fldCharType="end"/>
        </w:r>
      </w:p>
    </w:sdtContent>
  </w:sdt>
  <w:p w14:paraId="4F7EAC21" w14:textId="77777777" w:rsidR="005C4581" w:rsidRDefault="005C4581">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4805172"/>
      <w:docPartObj>
        <w:docPartGallery w:val="Page Numbers (Bottom of Page)"/>
        <w:docPartUnique/>
      </w:docPartObj>
    </w:sdtPr>
    <w:sdtEndPr/>
    <w:sdtContent>
      <w:p w14:paraId="1972139E" w14:textId="3C293A76" w:rsidR="00D97ADE" w:rsidRDefault="00D97ADE">
        <w:pPr>
          <w:pStyle w:val="ad"/>
        </w:pPr>
        <w:r>
          <w:fldChar w:fldCharType="begin"/>
        </w:r>
        <w:r>
          <w:instrText>PAGE   \* MERGEFORMAT</w:instrText>
        </w:r>
        <w:r>
          <w:fldChar w:fldCharType="separate"/>
        </w:r>
        <w:r>
          <w:rPr>
            <w:lang w:val="ja-JP" w:eastAsia="ja-JP"/>
          </w:rPr>
          <w:t>2</w:t>
        </w:r>
        <w:r>
          <w:fldChar w:fldCharType="end"/>
        </w:r>
      </w:p>
    </w:sdtContent>
  </w:sdt>
  <w:p w14:paraId="78BD83B1" w14:textId="77777777" w:rsidR="00D97ADE" w:rsidRDefault="00D97AD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2F39A" w14:textId="77777777" w:rsidR="005C4581" w:rsidRDefault="005C4581" w:rsidP="005C4581">
      <w:r>
        <w:separator/>
      </w:r>
    </w:p>
  </w:footnote>
  <w:footnote w:type="continuationSeparator" w:id="0">
    <w:p w14:paraId="03970292" w14:textId="77777777" w:rsidR="005C4581" w:rsidRDefault="005C4581" w:rsidP="005C45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evenAndOddHeaders/>
  <w:drawingGridHorizontalSpacing w:val="100"/>
  <w:drawingGridVerticalSpacing w:val="136"/>
  <w:displayHorizontalDrawingGridEvery w:val="2"/>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7D8"/>
    <w:rsid w:val="00006CB3"/>
    <w:rsid w:val="000B2AFD"/>
    <w:rsid w:val="00152B39"/>
    <w:rsid w:val="003126F0"/>
    <w:rsid w:val="003A6E34"/>
    <w:rsid w:val="00561051"/>
    <w:rsid w:val="005777D8"/>
    <w:rsid w:val="005C4581"/>
    <w:rsid w:val="006153EA"/>
    <w:rsid w:val="00692D7C"/>
    <w:rsid w:val="006A05DC"/>
    <w:rsid w:val="00AF582A"/>
    <w:rsid w:val="00B24027"/>
    <w:rsid w:val="00B37471"/>
    <w:rsid w:val="00D6371A"/>
    <w:rsid w:val="00D97ADE"/>
    <w:rsid w:val="00DB66FF"/>
    <w:rsid w:val="00EA7D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994424C"/>
  <w15:chartTrackingRefBased/>
  <w15:docId w15:val="{3BB7785D-A5F6-40B0-9D01-8381388D8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777D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777D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777D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777D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777D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777D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777D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777D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777D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777D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777D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777D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777D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777D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777D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777D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777D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777D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777D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777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777D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777D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777D8"/>
    <w:pPr>
      <w:spacing w:before="160" w:after="160"/>
      <w:jc w:val="center"/>
    </w:pPr>
    <w:rPr>
      <w:i/>
      <w:iCs/>
      <w:color w:val="404040" w:themeColor="text1" w:themeTint="BF"/>
    </w:rPr>
  </w:style>
  <w:style w:type="character" w:customStyle="1" w:styleId="a8">
    <w:name w:val="引用文 (文字)"/>
    <w:basedOn w:val="a0"/>
    <w:link w:val="a7"/>
    <w:uiPriority w:val="29"/>
    <w:rsid w:val="005777D8"/>
    <w:rPr>
      <w:i/>
      <w:iCs/>
      <w:color w:val="404040" w:themeColor="text1" w:themeTint="BF"/>
    </w:rPr>
  </w:style>
  <w:style w:type="paragraph" w:styleId="a9">
    <w:name w:val="List Paragraph"/>
    <w:basedOn w:val="a"/>
    <w:uiPriority w:val="34"/>
    <w:qFormat/>
    <w:rsid w:val="005777D8"/>
    <w:pPr>
      <w:ind w:left="720"/>
      <w:contextualSpacing/>
    </w:pPr>
  </w:style>
  <w:style w:type="character" w:styleId="21">
    <w:name w:val="Intense Emphasis"/>
    <w:basedOn w:val="a0"/>
    <w:uiPriority w:val="21"/>
    <w:qFormat/>
    <w:rsid w:val="005777D8"/>
    <w:rPr>
      <w:i/>
      <w:iCs/>
      <w:color w:val="2F5496" w:themeColor="accent1" w:themeShade="BF"/>
    </w:rPr>
  </w:style>
  <w:style w:type="paragraph" w:styleId="22">
    <w:name w:val="Intense Quote"/>
    <w:basedOn w:val="a"/>
    <w:next w:val="a"/>
    <w:link w:val="23"/>
    <w:uiPriority w:val="30"/>
    <w:qFormat/>
    <w:rsid w:val="005777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5777D8"/>
    <w:rPr>
      <w:i/>
      <w:iCs/>
      <w:color w:val="2F5496" w:themeColor="accent1" w:themeShade="BF"/>
    </w:rPr>
  </w:style>
  <w:style w:type="character" w:styleId="24">
    <w:name w:val="Intense Reference"/>
    <w:basedOn w:val="a0"/>
    <w:uiPriority w:val="32"/>
    <w:qFormat/>
    <w:rsid w:val="005777D8"/>
    <w:rPr>
      <w:b/>
      <w:bCs/>
      <w:smallCaps/>
      <w:color w:val="2F5496" w:themeColor="accent1" w:themeShade="BF"/>
      <w:spacing w:val="5"/>
    </w:rPr>
  </w:style>
  <w:style w:type="paragraph" w:styleId="Web">
    <w:name w:val="Normal (Web)"/>
    <w:basedOn w:val="a"/>
    <w:uiPriority w:val="99"/>
    <w:unhideWhenUsed/>
    <w:rsid w:val="00B24027"/>
    <w:pPr>
      <w:widowControl/>
      <w:spacing w:before="100" w:beforeAutospacing="1" w:after="100" w:afterAutospacing="1"/>
      <w:jc w:val="left"/>
    </w:pPr>
    <w:rPr>
      <w:rFonts w:ascii="ＭＳ Ｐゴシック" w:eastAsia="ＭＳ Ｐゴシック" w:hAnsi="ＭＳ Ｐゴシック" w:cs="ＭＳ Ｐゴシック"/>
      <w:kern w:val="0"/>
      <w:sz w:val="24"/>
      <w:szCs w:val="24"/>
      <w:lang w:val="en-US" w:eastAsia="ja-JP"/>
      <w14:ligatures w14:val="none"/>
    </w:rPr>
  </w:style>
  <w:style w:type="character" w:styleId="aa">
    <w:name w:val="Hyperlink"/>
    <w:basedOn w:val="a0"/>
    <w:uiPriority w:val="99"/>
    <w:semiHidden/>
    <w:unhideWhenUsed/>
    <w:rsid w:val="00B24027"/>
    <w:rPr>
      <w:color w:val="0000FF"/>
      <w:u w:val="single"/>
    </w:rPr>
  </w:style>
  <w:style w:type="paragraph" w:styleId="ab">
    <w:name w:val="header"/>
    <w:basedOn w:val="a"/>
    <w:link w:val="ac"/>
    <w:uiPriority w:val="99"/>
    <w:unhideWhenUsed/>
    <w:rsid w:val="005C4581"/>
    <w:pPr>
      <w:tabs>
        <w:tab w:val="center" w:pos="4252"/>
        <w:tab w:val="right" w:pos="8504"/>
      </w:tabs>
      <w:snapToGrid w:val="0"/>
    </w:pPr>
  </w:style>
  <w:style w:type="character" w:customStyle="1" w:styleId="ac">
    <w:name w:val="ヘッダー (文字)"/>
    <w:basedOn w:val="a0"/>
    <w:link w:val="ab"/>
    <w:uiPriority w:val="99"/>
    <w:rsid w:val="005C4581"/>
  </w:style>
  <w:style w:type="paragraph" w:styleId="ad">
    <w:name w:val="footer"/>
    <w:basedOn w:val="a"/>
    <w:link w:val="ae"/>
    <w:uiPriority w:val="99"/>
    <w:unhideWhenUsed/>
    <w:rsid w:val="005C4581"/>
    <w:pPr>
      <w:tabs>
        <w:tab w:val="center" w:pos="4252"/>
        <w:tab w:val="right" w:pos="8504"/>
      </w:tabs>
      <w:snapToGrid w:val="0"/>
    </w:pPr>
  </w:style>
  <w:style w:type="character" w:customStyle="1" w:styleId="ae">
    <w:name w:val="フッター (文字)"/>
    <w:basedOn w:val="a0"/>
    <w:link w:val="ad"/>
    <w:uiPriority w:val="99"/>
    <w:rsid w:val="005C4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docs.live.net/F2F420B3DF026C3D/Documents/Document%20%281%29%20%2810%29.docx" TargetMode="Externa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d.docs.live.net/F2F420B3DF026C3D/Documents/Document%20%281%29%20%2810%29.docx"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docs.live.net/F2F420B3DF026C3D/Documents/Document%20%281%29%20%2810%29.docx"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d.docs.live.net/F2F420B3DF026C3D/Documents/Document%20%281%29%20%2810%29.docx" TargetMode="External"/><Relationship Id="rId4" Type="http://schemas.openxmlformats.org/officeDocument/2006/relationships/footnotes" Target="footnotes.xml"/><Relationship Id="rId9" Type="http://schemas.openxmlformats.org/officeDocument/2006/relationships/hyperlink" Target="https://d.docs.live.net/F2F420B3DF026C3D/Documents/Document%20%281%29%20%2810%29.docx"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488</Words>
  <Characters>2787</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久夫 佐藤</dc:creator>
  <cp:keywords/>
  <dc:description/>
  <cp:lastModifiedBy>久夫 佐藤</cp:lastModifiedBy>
  <cp:revision>2</cp:revision>
  <cp:lastPrinted>2026-05-26T13:09:00Z</cp:lastPrinted>
  <dcterms:created xsi:type="dcterms:W3CDTF">2026-07-08T03:17:00Z</dcterms:created>
  <dcterms:modified xsi:type="dcterms:W3CDTF">2026-07-08T03:17:00Z</dcterms:modified>
</cp:coreProperties>
</file>