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31CB" w14:textId="0984016A" w:rsidR="00E406C1" w:rsidRPr="00E406C1" w:rsidRDefault="00355170" w:rsidP="00E406C1">
      <w:pPr>
        <w:widowControl/>
        <w:spacing w:before="100" w:beforeAutospacing="1" w:after="100" w:afterAutospacing="1"/>
        <w:jc w:val="left"/>
        <w:rPr>
          <w:rFonts w:ascii="BIZ UDゴシック" w:eastAsia="BIZ UDゴシック" w:hAnsi="BIZ UDゴシック" w:cs="ＭＳ Ｐゴシック"/>
          <w:kern w:val="0"/>
          <w:szCs w:val="21"/>
          <w:lang w:val="en-US" w:eastAsia="ja-JP"/>
          <w14:ligatures w14:val="none"/>
        </w:rPr>
      </w:pPr>
      <w:r>
        <w:rPr>
          <w:rFonts w:ascii="BIZ UDゴシック" w:eastAsia="BIZ UDゴシック" w:hAnsi="BIZ UDゴシック" w:cs="ＭＳ Ｐゴシック" w:hint="eastAsia"/>
          <w:b/>
          <w:bCs/>
          <w:kern w:val="0"/>
          <w:szCs w:val="21"/>
          <w:lang w:val="en-US" w:eastAsia="ja-JP"/>
          <w14:ligatures w14:val="none"/>
        </w:rPr>
        <w:t xml:space="preserve">121　</w:t>
      </w:r>
      <w:r w:rsidR="00E406C1" w:rsidRPr="00E406C1">
        <w:rPr>
          <w:rFonts w:ascii="BIZ UDゴシック" w:eastAsia="BIZ UDゴシック" w:hAnsi="BIZ UDゴシック" w:cs="ＭＳ Ｐゴシック"/>
          <w:b/>
          <w:bCs/>
          <w:kern w:val="0"/>
          <w:szCs w:val="21"/>
          <w:lang w:val="en-US" w:eastAsia="ja-JP"/>
          <w14:ligatures w14:val="none"/>
        </w:rPr>
        <w:t>国連人権高等弁務官事務所（OHCHR）の意見募集</w:t>
      </w:r>
      <w:r>
        <w:rPr>
          <w:rFonts w:ascii="BIZ UDゴシック" w:eastAsia="BIZ UDゴシック" w:hAnsi="BIZ UDゴシック" w:cs="ＭＳ Ｐゴシック" w:hint="eastAsia"/>
          <w:b/>
          <w:bCs/>
          <w:kern w:val="0"/>
          <w:szCs w:val="21"/>
          <w:lang w:val="en-US" w:eastAsia="ja-JP"/>
          <w14:ligatures w14:val="none"/>
        </w:rPr>
        <w:t>への</w:t>
      </w:r>
      <w:r w:rsidR="00E406C1" w:rsidRPr="00E406C1">
        <w:rPr>
          <w:rFonts w:ascii="BIZ UDゴシック" w:eastAsia="BIZ UDゴシック" w:hAnsi="BIZ UDゴシック" w:cs="ＭＳ Ｐゴシック"/>
          <w:b/>
          <w:bCs/>
          <w:kern w:val="0"/>
          <w:szCs w:val="21"/>
          <w:lang w:val="en-US" w:eastAsia="ja-JP"/>
          <w14:ligatures w14:val="none"/>
        </w:rPr>
        <w:t>共同提出文書</w:t>
      </w:r>
    </w:p>
    <w:p w14:paraId="51FA0060" w14:textId="238D8EAF" w:rsidR="00E406C1" w:rsidRPr="00E406C1" w:rsidRDefault="00E406C1" w:rsidP="00E406C1">
      <w:pPr>
        <w:widowControl/>
        <w:spacing w:before="100" w:beforeAutospacing="1" w:after="100" w:afterAutospacing="1"/>
        <w:jc w:val="left"/>
        <w:rPr>
          <w:rFonts w:ascii="BIZ UDゴシック" w:eastAsia="BIZ UDゴシック" w:hAnsi="BIZ UDゴシック" w:cs="ＭＳ Ｐゴシック"/>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高齢者の人権に関する法的拘束力のある文書の</w:t>
      </w:r>
      <w:r w:rsidRPr="00E406C1">
        <w:rPr>
          <w:rFonts w:ascii="BIZ UDゴシック" w:eastAsia="BIZ UDゴシック" w:hAnsi="BIZ UDゴシック" w:cs="ＭＳ Ｐゴシック" w:hint="eastAsia"/>
          <w:b/>
          <w:bCs/>
          <w:kern w:val="0"/>
          <w:szCs w:val="21"/>
          <w:lang w:val="en-US" w:eastAsia="ja-JP"/>
          <w14:ligatures w14:val="none"/>
        </w:rPr>
        <w:t>全体的枠組み</w:t>
      </w:r>
      <w:r w:rsidRPr="00E406C1">
        <w:rPr>
          <w:rFonts w:ascii="BIZ UDゴシック" w:eastAsia="BIZ UDゴシック" w:hAnsi="BIZ UDゴシック" w:cs="ＭＳ Ｐゴシック"/>
          <w:b/>
          <w:bCs/>
          <w:kern w:val="0"/>
          <w:szCs w:val="21"/>
          <w:lang w:val="en-US" w:eastAsia="ja-JP"/>
          <w14:ligatures w14:val="none"/>
        </w:rPr>
        <w:t>、構成、および</w:t>
      </w:r>
      <w:r w:rsidR="00355170">
        <w:rPr>
          <w:rFonts w:ascii="BIZ UDゴシック" w:eastAsia="BIZ UDゴシック" w:hAnsi="BIZ UDゴシック" w:cs="ＭＳ Ｐゴシック" w:hint="eastAsia"/>
          <w:b/>
          <w:bCs/>
          <w:kern w:val="0"/>
          <w:szCs w:val="21"/>
          <w:lang w:val="en-US" w:eastAsia="ja-JP"/>
          <w14:ligatures w14:val="none"/>
        </w:rPr>
        <w:t>主要</w:t>
      </w:r>
      <w:r w:rsidRPr="00E406C1">
        <w:rPr>
          <w:rFonts w:ascii="BIZ UDゴシック" w:eastAsia="BIZ UDゴシック" w:hAnsi="BIZ UDゴシック" w:cs="ＭＳ Ｐゴシック"/>
          <w:b/>
          <w:bCs/>
          <w:kern w:val="0"/>
          <w:szCs w:val="21"/>
          <w:lang w:val="en-US" w:eastAsia="ja-JP"/>
          <w14:ligatures w14:val="none"/>
        </w:rPr>
        <w:t>指針</w:t>
      </w:r>
    </w:p>
    <w:p w14:paraId="001A73DE" w14:textId="77777777" w:rsidR="00E406C1" w:rsidRPr="00E406C1" w:rsidRDefault="00E406C1" w:rsidP="00E406C1">
      <w:pPr>
        <w:widowControl/>
        <w:spacing w:before="100" w:beforeAutospacing="1"/>
        <w:jc w:val="left"/>
        <w:outlineLvl w:val="0"/>
        <w:rPr>
          <w:rFonts w:ascii="BIZ UDゴシック" w:eastAsia="BIZ UDゴシック" w:hAnsi="BIZ UDゴシック" w:cs="ＭＳ Ｐゴシック"/>
          <w:b/>
          <w:bCs/>
          <w:kern w:val="36"/>
          <w:szCs w:val="21"/>
          <w:lang w:val="en-US" w:eastAsia="ja-JP"/>
          <w14:ligatures w14:val="none"/>
        </w:rPr>
      </w:pPr>
      <w:r w:rsidRPr="00E406C1">
        <w:rPr>
          <w:rFonts w:ascii="BIZ UDゴシック" w:eastAsia="BIZ UDゴシック" w:hAnsi="BIZ UDゴシック" w:cs="ＭＳ Ｐゴシック"/>
          <w:b/>
          <w:bCs/>
          <w:kern w:val="36"/>
          <w:szCs w:val="21"/>
          <w:lang w:val="en-US" w:eastAsia="ja-JP"/>
          <w14:ligatures w14:val="none"/>
        </w:rPr>
        <w:t>提出者：</w:t>
      </w:r>
    </w:p>
    <w:p w14:paraId="1F440569" w14:textId="77777777" w:rsidR="00355170" w:rsidRPr="00355170" w:rsidRDefault="00E406C1" w:rsidP="00355170">
      <w:pPr>
        <w:widowControl/>
        <w:spacing w:line="276" w:lineRule="auto"/>
        <w:ind w:leftChars="405" w:left="850"/>
        <w:jc w:val="left"/>
        <w:outlineLvl w:val="0"/>
        <w:rPr>
          <w:rFonts w:ascii="BIZ UDゴシック" w:eastAsia="BIZ UDゴシック" w:hAnsi="BIZ UDゴシック" w:cs="ＭＳ Ｐゴシック"/>
          <w:b/>
          <w:bCs/>
          <w:kern w:val="36"/>
          <w:sz w:val="24"/>
          <w:szCs w:val="24"/>
          <w:lang w:val="en-US" w:eastAsia="ja-JP"/>
          <w14:ligatures w14:val="none"/>
        </w:rPr>
      </w:pPr>
      <w:r w:rsidRPr="00E406C1">
        <w:rPr>
          <w:rFonts w:ascii="BIZ UDゴシック" w:eastAsia="BIZ UDゴシック" w:hAnsi="BIZ UDゴシック" w:cs="ＭＳ Ｐゴシック"/>
          <w:b/>
          <w:bCs/>
          <w:kern w:val="36"/>
          <w:sz w:val="24"/>
          <w:szCs w:val="24"/>
          <w:lang w:val="en-US" w:eastAsia="ja-JP"/>
          <w14:ligatures w14:val="none"/>
        </w:rPr>
        <w:t>国際長寿センター・グローバル</w:t>
      </w:r>
      <w:r w:rsidRPr="00355170">
        <w:rPr>
          <w:rFonts w:ascii="BIZ UDゴシック" w:eastAsia="BIZ UDゴシック" w:hAnsi="BIZ UDゴシック" w:cs="ＭＳ Ｐゴシック" w:hint="eastAsia"/>
          <w:b/>
          <w:bCs/>
          <w:kern w:val="36"/>
          <w:sz w:val="24"/>
          <w:szCs w:val="24"/>
          <w:lang w:val="en-US" w:eastAsia="ja-JP"/>
          <w14:ligatures w14:val="none"/>
        </w:rPr>
        <w:t>連合</w:t>
      </w:r>
      <w:r w:rsidRPr="00E406C1">
        <w:rPr>
          <w:rFonts w:ascii="BIZ UDゴシック" w:eastAsia="BIZ UDゴシック" w:hAnsi="BIZ UDゴシック" w:cs="ＭＳ Ｐゴシック"/>
          <w:b/>
          <w:bCs/>
          <w:kern w:val="36"/>
          <w:sz w:val="24"/>
          <w:szCs w:val="24"/>
          <w:lang w:val="en-US" w:eastAsia="ja-JP"/>
          <w14:ligatures w14:val="none"/>
        </w:rPr>
        <w:t>（ILC GA）</w:t>
      </w:r>
      <w:r w:rsidRPr="00355170">
        <w:rPr>
          <w:rFonts w:ascii="BIZ UDゴシック" w:eastAsia="BIZ UDゴシック" w:hAnsi="BIZ UDゴシック" w:cs="ＭＳ Ｐゴシック" w:hint="eastAsia"/>
          <w:b/>
          <w:bCs/>
          <w:kern w:val="36"/>
          <w:sz w:val="24"/>
          <w:szCs w:val="24"/>
          <w:lang w:val="en-US" w:eastAsia="ja-JP"/>
          <w14:ligatures w14:val="none"/>
        </w:rPr>
        <w:t>、</w:t>
      </w:r>
    </w:p>
    <w:p w14:paraId="30393553" w14:textId="77777777" w:rsidR="00355170" w:rsidRPr="00355170" w:rsidRDefault="00E406C1" w:rsidP="00355170">
      <w:pPr>
        <w:widowControl/>
        <w:spacing w:line="276" w:lineRule="auto"/>
        <w:ind w:leftChars="405" w:left="850"/>
        <w:jc w:val="left"/>
        <w:outlineLvl w:val="0"/>
        <w:rPr>
          <w:rFonts w:ascii="BIZ UDゴシック" w:eastAsia="BIZ UDゴシック" w:hAnsi="BIZ UDゴシック" w:cs="ＭＳ Ｐゴシック"/>
          <w:b/>
          <w:bCs/>
          <w:kern w:val="36"/>
          <w:sz w:val="24"/>
          <w:szCs w:val="24"/>
          <w:lang w:val="en-US" w:eastAsia="ja-JP"/>
          <w14:ligatures w14:val="none"/>
        </w:rPr>
      </w:pPr>
      <w:r w:rsidRPr="00E406C1">
        <w:rPr>
          <w:rFonts w:ascii="BIZ UDゴシック" w:eastAsia="BIZ UDゴシック" w:hAnsi="BIZ UDゴシック" w:cs="ＭＳ Ｐゴシック"/>
          <w:b/>
          <w:bCs/>
          <w:kern w:val="36"/>
          <w:sz w:val="24"/>
          <w:szCs w:val="24"/>
          <w:lang w:val="en-US" w:eastAsia="ja-JP"/>
          <w14:ligatures w14:val="none"/>
        </w:rPr>
        <w:t>高齢者虐待防止国際ネットワーク（INPEA）</w:t>
      </w:r>
      <w:r w:rsidRPr="00355170">
        <w:rPr>
          <w:rFonts w:ascii="BIZ UDゴシック" w:eastAsia="BIZ UDゴシック" w:hAnsi="BIZ UDゴシック" w:cs="ＭＳ Ｐゴシック" w:hint="eastAsia"/>
          <w:b/>
          <w:bCs/>
          <w:kern w:val="36"/>
          <w:sz w:val="24"/>
          <w:szCs w:val="24"/>
          <w:lang w:val="en-US" w:eastAsia="ja-JP"/>
          <w14:ligatures w14:val="none"/>
        </w:rPr>
        <w:t>および</w:t>
      </w:r>
    </w:p>
    <w:p w14:paraId="586C4222" w14:textId="696EF28D" w:rsidR="00355170" w:rsidRPr="00355170" w:rsidRDefault="00E406C1" w:rsidP="00355170">
      <w:pPr>
        <w:widowControl/>
        <w:spacing w:line="276" w:lineRule="auto"/>
        <w:ind w:leftChars="405" w:left="850"/>
        <w:jc w:val="left"/>
        <w:outlineLvl w:val="0"/>
        <w:rPr>
          <w:rFonts w:ascii="BIZ UDゴシック" w:eastAsia="BIZ UDゴシック" w:hAnsi="BIZ UDゴシック" w:cs="ＭＳ Ｐゴシック"/>
          <w:b/>
          <w:bCs/>
          <w:kern w:val="36"/>
          <w:sz w:val="24"/>
          <w:szCs w:val="24"/>
          <w:lang w:val="en-US" w:eastAsia="ja-JP"/>
          <w14:ligatures w14:val="none"/>
        </w:rPr>
      </w:pPr>
      <w:r w:rsidRPr="00E406C1">
        <w:rPr>
          <w:rFonts w:ascii="BIZ UDゴシック" w:eastAsia="BIZ UDゴシック" w:hAnsi="BIZ UDゴシック" w:cs="ＭＳ Ｐゴシック"/>
          <w:b/>
          <w:bCs/>
          <w:kern w:val="36"/>
          <w:sz w:val="24"/>
          <w:szCs w:val="24"/>
          <w:lang w:val="en-US" w:eastAsia="ja-JP"/>
          <w14:ligatures w14:val="none"/>
        </w:rPr>
        <w:t>経済社会理事会（ECOSOC）の協議資格を</w:t>
      </w:r>
      <w:r w:rsidRPr="00355170">
        <w:rPr>
          <w:rFonts w:ascii="BIZ UDゴシック" w:eastAsia="BIZ UDゴシック" w:hAnsi="BIZ UDゴシック" w:cs="ＭＳ Ｐゴシック" w:hint="eastAsia"/>
          <w:b/>
          <w:bCs/>
          <w:kern w:val="36"/>
          <w:sz w:val="24"/>
          <w:szCs w:val="24"/>
          <w:lang w:val="en-US" w:eastAsia="ja-JP"/>
          <w14:ligatures w14:val="none"/>
        </w:rPr>
        <w:t>もつ</w:t>
      </w:r>
      <w:r w:rsidRPr="00E406C1">
        <w:rPr>
          <w:rFonts w:ascii="BIZ UDゴシック" w:eastAsia="BIZ UDゴシック" w:hAnsi="BIZ UDゴシック" w:cs="ＭＳ Ｐゴシック"/>
          <w:b/>
          <w:bCs/>
          <w:kern w:val="36"/>
          <w:sz w:val="24"/>
          <w:szCs w:val="24"/>
          <w:lang w:val="en-US" w:eastAsia="ja-JP"/>
          <w14:ligatures w14:val="none"/>
        </w:rPr>
        <w:t>非政府組織（NGO）</w:t>
      </w:r>
    </w:p>
    <w:p w14:paraId="7EED5596" w14:textId="1DBF8C0B" w:rsidR="00E406C1" w:rsidRDefault="00E406C1" w:rsidP="00E406C1">
      <w:pPr>
        <w:widowControl/>
        <w:spacing w:before="100" w:beforeAutospacing="1" w:after="100" w:afterAutospacing="1"/>
        <w:jc w:val="left"/>
        <w:outlineLvl w:val="0"/>
        <w:rPr>
          <w:rFonts w:ascii="BIZ UDゴシック" w:eastAsia="BIZ UDゴシック" w:hAnsi="BIZ UDゴシック" w:cs="ＭＳ Ｐゴシック"/>
          <w:b/>
          <w:bCs/>
          <w:kern w:val="36"/>
          <w:szCs w:val="21"/>
          <w:lang w:val="en-US" w:eastAsia="ja-JP"/>
          <w14:ligatures w14:val="none"/>
        </w:rPr>
      </w:pPr>
      <w:r w:rsidRPr="00E406C1">
        <w:rPr>
          <w:rFonts w:ascii="BIZ UDゴシック" w:eastAsia="BIZ UDゴシック" w:hAnsi="BIZ UDゴシック" w:cs="ＭＳ Ｐゴシック"/>
          <w:b/>
          <w:bCs/>
          <w:kern w:val="36"/>
          <w:szCs w:val="21"/>
          <w:lang w:val="en-US" w:eastAsia="ja-JP"/>
          <w14:ligatures w14:val="none"/>
        </w:rPr>
        <w:t xml:space="preserve"> 2026年4月19日</w:t>
      </w:r>
    </w:p>
    <w:p w14:paraId="3507C567" w14:textId="77777777" w:rsidR="00355170" w:rsidRPr="00E406C1" w:rsidRDefault="00355170" w:rsidP="00E406C1">
      <w:pPr>
        <w:widowControl/>
        <w:spacing w:before="100" w:beforeAutospacing="1" w:after="100" w:afterAutospacing="1"/>
        <w:jc w:val="left"/>
        <w:outlineLvl w:val="0"/>
        <w:rPr>
          <w:rFonts w:ascii="BIZ UDゴシック" w:eastAsia="BIZ UDゴシック" w:hAnsi="BIZ UDゴシック" w:cs="ＭＳ Ｐゴシック" w:hint="eastAsia"/>
          <w:b/>
          <w:bCs/>
          <w:kern w:val="36"/>
          <w:szCs w:val="21"/>
          <w:lang w:val="en-US" w:eastAsia="ja-JP"/>
          <w14:ligatures w14:val="none"/>
        </w:rPr>
      </w:pPr>
    </w:p>
    <w:p w14:paraId="71F95F37" w14:textId="77777777" w:rsidR="00E406C1" w:rsidRPr="00E406C1" w:rsidRDefault="00E406C1" w:rsidP="00E406C1">
      <w:pPr>
        <w:widowControl/>
        <w:spacing w:before="100" w:beforeAutospacing="1" w:after="100" w:afterAutospacing="1"/>
        <w:jc w:val="left"/>
        <w:rPr>
          <w:rFonts w:ascii="BIZ UDゴシック" w:eastAsia="BIZ UDゴシック" w:hAnsi="BIZ UDゴシック" w:cs="ＭＳ Ｐゴシック"/>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背景</w:t>
      </w:r>
    </w:p>
    <w:p w14:paraId="06C6A769" w14:textId="15DFCDA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1990年に設立され、2012年よりECOSOC</w:t>
      </w:r>
      <w:r w:rsidR="00355170">
        <w:rPr>
          <w:rFonts w:ascii="ＭＳ 明朝" w:eastAsia="ＭＳ 明朝" w:hAnsi="ＭＳ 明朝" w:cs="ＭＳ Ｐゴシック" w:hint="eastAsia"/>
          <w:kern w:val="0"/>
          <w:szCs w:val="21"/>
          <w:lang w:val="en-US" w:eastAsia="ja-JP"/>
          <w14:ligatures w14:val="none"/>
        </w:rPr>
        <w:t>と</w:t>
      </w:r>
      <w:r w:rsidRPr="00E406C1">
        <w:rPr>
          <w:rFonts w:ascii="ＭＳ 明朝" w:eastAsia="ＭＳ 明朝" w:hAnsi="ＭＳ 明朝" w:cs="ＭＳ Ｐゴシック"/>
          <w:kern w:val="0"/>
          <w:szCs w:val="21"/>
          <w:lang w:val="en-US" w:eastAsia="ja-JP"/>
          <w14:ligatures w14:val="none"/>
        </w:rPr>
        <w:t>の協議資格を</w:t>
      </w:r>
      <w:r w:rsidR="00355170">
        <w:rPr>
          <w:rFonts w:ascii="ＭＳ 明朝" w:eastAsia="ＭＳ 明朝" w:hAnsi="ＭＳ 明朝" w:cs="ＭＳ Ｐゴシック" w:hint="eastAsia"/>
          <w:kern w:val="0"/>
          <w:szCs w:val="21"/>
          <w:lang w:val="en-US" w:eastAsia="ja-JP"/>
          <w14:ligatures w14:val="none"/>
        </w:rPr>
        <w:t>もつ</w:t>
      </w:r>
      <w:r w:rsidRPr="00E406C1">
        <w:rPr>
          <w:rFonts w:ascii="ＭＳ 明朝" w:eastAsia="ＭＳ 明朝" w:hAnsi="ＭＳ 明朝" w:cs="ＭＳ Ｐゴシック"/>
          <w:kern w:val="0"/>
          <w:szCs w:val="21"/>
          <w:lang w:val="en-US" w:eastAsia="ja-JP"/>
          <w14:ligatures w14:val="none"/>
        </w:rPr>
        <w:t>ILC GAは、社会が高齢化と人口高齢化に対処できるよう支援することに焦点を当て、社会における高齢者の主体性を強調する17の加盟組織からなるネットワークである。</w:t>
      </w:r>
      <w:r w:rsidR="00355170">
        <w:rPr>
          <w:rFonts w:ascii="ＭＳ 明朝" w:eastAsia="ＭＳ 明朝" w:hAnsi="ＭＳ 明朝" w:cs="ＭＳ Ｐゴシック" w:hint="eastAsia"/>
          <w:kern w:val="0"/>
          <w:szCs w:val="21"/>
          <w:lang w:val="en-US" w:eastAsia="ja-JP"/>
          <w14:ligatures w14:val="none"/>
        </w:rPr>
        <w:t>この連合</w:t>
      </w:r>
      <w:r w:rsidRPr="00E406C1">
        <w:rPr>
          <w:rFonts w:ascii="ＭＳ 明朝" w:eastAsia="ＭＳ 明朝" w:hAnsi="ＭＳ 明朝" w:cs="ＭＳ Ｐゴシック"/>
          <w:kern w:val="0"/>
          <w:szCs w:val="21"/>
          <w:lang w:val="en-US" w:eastAsia="ja-JP"/>
          <w14:ligatures w14:val="none"/>
        </w:rPr>
        <w:t>は、高齢者の</w:t>
      </w:r>
      <w:r w:rsidR="00355170">
        <w:rPr>
          <w:rFonts w:ascii="ＭＳ 明朝" w:eastAsia="ＭＳ 明朝" w:hAnsi="ＭＳ 明朝" w:cs="ＭＳ Ｐゴシック" w:hint="eastAsia"/>
          <w:kern w:val="0"/>
          <w:szCs w:val="21"/>
          <w:lang w:val="en-US" w:eastAsia="ja-JP"/>
          <w14:ligatures w14:val="none"/>
        </w:rPr>
        <w:t>ウェルビーイング</w:t>
      </w:r>
      <w:r w:rsidRPr="00E406C1">
        <w:rPr>
          <w:rFonts w:ascii="ＭＳ 明朝" w:eastAsia="ＭＳ 明朝" w:hAnsi="ＭＳ 明朝" w:cs="ＭＳ Ｐゴシック"/>
          <w:kern w:val="0"/>
          <w:szCs w:val="21"/>
          <w:lang w:val="en-US" w:eastAsia="ja-JP"/>
          <w14:ligatures w14:val="none"/>
        </w:rPr>
        <w:t>と人権を促進するためのアイデア、政策、プログラムの開発、ならびに調査研究や</w:t>
      </w:r>
      <w:r w:rsidR="00355170">
        <w:rPr>
          <w:rFonts w:ascii="ＭＳ 明朝" w:eastAsia="ＭＳ 明朝" w:hAnsi="ＭＳ 明朝" w:cs="ＭＳ Ｐゴシック" w:hint="eastAsia"/>
          <w:kern w:val="0"/>
          <w:szCs w:val="21"/>
          <w:lang w:val="en-US" w:eastAsia="ja-JP"/>
          <w14:ligatures w14:val="none"/>
        </w:rPr>
        <w:t>権利擁護</w:t>
      </w:r>
      <w:r w:rsidRPr="00E406C1">
        <w:rPr>
          <w:rFonts w:ascii="ＭＳ 明朝" w:eastAsia="ＭＳ 明朝" w:hAnsi="ＭＳ 明朝" w:cs="ＭＳ Ｐゴシック"/>
          <w:kern w:val="0"/>
          <w:szCs w:val="21"/>
          <w:lang w:val="en-US" w:eastAsia="ja-JP"/>
          <w14:ligatures w14:val="none"/>
        </w:rPr>
        <w:t>活動を行っている</w:t>
      </w:r>
      <w:r w:rsidR="00355170">
        <w:rPr>
          <w:rStyle w:val="af2"/>
          <w:rFonts w:ascii="ＭＳ 明朝" w:eastAsia="ＭＳ 明朝" w:hAnsi="ＭＳ 明朝" w:cs="ＭＳ Ｐゴシック"/>
          <w:kern w:val="0"/>
          <w:szCs w:val="21"/>
          <w:lang w:val="en-US" w:eastAsia="ja-JP"/>
          <w14:ligatures w14:val="none"/>
        </w:rPr>
        <w:footnoteReference w:id="1"/>
      </w:r>
      <w:r w:rsidRPr="00E406C1">
        <w:rPr>
          <w:rFonts w:ascii="ＭＳ 明朝" w:eastAsia="ＭＳ 明朝" w:hAnsi="ＭＳ 明朝" w:cs="ＭＳ Ｐゴシック"/>
          <w:kern w:val="0"/>
          <w:szCs w:val="21"/>
          <w:lang w:val="en-US" w:eastAsia="ja-JP"/>
          <w14:ligatures w14:val="none"/>
        </w:rPr>
        <w:t>。</w:t>
      </w:r>
    </w:p>
    <w:p w14:paraId="0E112650" w14:textId="45E1498C"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1997年に設立され、2003年よりECOSOCとの協議資格を有するINPEAは、高齢者に対する暴力、虐待、ネグレクト、搾取を主な焦点とする唯一の国際市民社会組織である。これには、こうした虐待の被害に遭う高齢女性のニーズと権利</w:t>
      </w:r>
      <w:r w:rsidR="00355170">
        <w:rPr>
          <w:rFonts w:ascii="ＭＳ 明朝" w:eastAsia="ＭＳ 明朝" w:hAnsi="ＭＳ 明朝" w:cs="ＭＳ Ｐゴシック" w:hint="eastAsia"/>
          <w:kern w:val="0"/>
          <w:szCs w:val="21"/>
          <w:lang w:val="en-US" w:eastAsia="ja-JP"/>
          <w14:ligatures w14:val="none"/>
        </w:rPr>
        <w:t>への</w:t>
      </w:r>
      <w:r w:rsidRPr="00E406C1">
        <w:rPr>
          <w:rFonts w:ascii="ＭＳ 明朝" w:eastAsia="ＭＳ 明朝" w:hAnsi="ＭＳ 明朝" w:cs="ＭＳ Ｐゴシック"/>
          <w:kern w:val="0"/>
          <w:szCs w:val="21"/>
          <w:lang w:val="en-US" w:eastAsia="ja-JP"/>
          <w14:ligatures w14:val="none"/>
        </w:rPr>
        <w:t>、強力かつ持続的な取り組みが含まれる。なぜなら、彼女たちはしばしば最も深刻な影響を受けるからである。INPEAは、2011年より国連の公式記念日となっている「世界高齢者虐待防止デー（WEAAD）」を制定した</w:t>
      </w:r>
      <w:r w:rsidR="00355170">
        <w:rPr>
          <w:rStyle w:val="af2"/>
          <w:rFonts w:ascii="ＭＳ 明朝" w:eastAsia="ＭＳ 明朝" w:hAnsi="ＭＳ 明朝" w:cs="ＭＳ Ｐゴシック"/>
          <w:kern w:val="0"/>
          <w:szCs w:val="21"/>
          <w:lang w:val="en-US" w:eastAsia="ja-JP"/>
          <w14:ligatures w14:val="none"/>
        </w:rPr>
        <w:footnoteReference w:id="2"/>
      </w:r>
      <w:r w:rsidRPr="00E406C1">
        <w:rPr>
          <w:rFonts w:ascii="ＭＳ 明朝" w:eastAsia="ＭＳ 明朝" w:hAnsi="ＭＳ 明朝" w:cs="ＭＳ Ｐゴシック"/>
          <w:kern w:val="0"/>
          <w:szCs w:val="21"/>
          <w:lang w:val="en-US" w:eastAsia="ja-JP"/>
          <w14:ligatures w14:val="none"/>
        </w:rPr>
        <w:t>。</w:t>
      </w:r>
    </w:p>
    <w:p w14:paraId="42F78342" w14:textId="6ECF5D71"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ILC GAとINPEAはともに、高齢者の権利のためのグローバル</w:t>
      </w:r>
      <w:r w:rsidR="00355170">
        <w:rPr>
          <w:rFonts w:ascii="ＭＳ 明朝" w:eastAsia="ＭＳ 明朝" w:hAnsi="ＭＳ 明朝" w:cs="ＭＳ Ｐゴシック" w:hint="eastAsia"/>
          <w:kern w:val="0"/>
          <w:szCs w:val="21"/>
          <w:lang w:val="en-US" w:eastAsia="ja-JP"/>
          <w14:ligatures w14:val="none"/>
        </w:rPr>
        <w:t>連合</w:t>
      </w:r>
      <w:r w:rsidRPr="00E406C1">
        <w:rPr>
          <w:rFonts w:ascii="ＭＳ 明朝" w:eastAsia="ＭＳ 明朝" w:hAnsi="ＭＳ 明朝" w:cs="ＭＳ Ｐゴシック"/>
          <w:kern w:val="0"/>
          <w:szCs w:val="21"/>
          <w:lang w:val="en-US" w:eastAsia="ja-JP"/>
          <w14:ligatures w14:val="none"/>
        </w:rPr>
        <w:t>（GAROP）の9つの創設メンバーの1つで</w:t>
      </w:r>
      <w:r w:rsidR="00355170">
        <w:rPr>
          <w:rFonts w:ascii="ＭＳ 明朝" w:eastAsia="ＭＳ 明朝" w:hAnsi="ＭＳ 明朝" w:cs="ＭＳ Ｐゴシック" w:hint="eastAsia"/>
          <w:kern w:val="0"/>
          <w:szCs w:val="21"/>
          <w:lang w:val="en-US" w:eastAsia="ja-JP"/>
          <w14:ligatures w14:val="none"/>
        </w:rPr>
        <w:t>ある</w:t>
      </w:r>
      <w:r w:rsidR="00355170">
        <w:rPr>
          <w:rStyle w:val="af2"/>
          <w:rFonts w:ascii="ＭＳ 明朝" w:eastAsia="ＭＳ 明朝" w:hAnsi="ＭＳ 明朝" w:cs="ＭＳ Ｐゴシック"/>
          <w:kern w:val="0"/>
          <w:szCs w:val="21"/>
          <w:lang w:val="en-US" w:eastAsia="ja-JP"/>
          <w14:ligatures w14:val="none"/>
        </w:rPr>
        <w:footnoteReference w:id="3"/>
      </w:r>
      <w:r w:rsidRPr="00E406C1">
        <w:rPr>
          <w:rFonts w:ascii="ＭＳ 明朝" w:eastAsia="ＭＳ 明朝" w:hAnsi="ＭＳ 明朝" w:cs="ＭＳ Ｐゴシック"/>
          <w:kern w:val="0"/>
          <w:szCs w:val="21"/>
          <w:lang w:val="en-US" w:eastAsia="ja-JP"/>
          <w14:ligatures w14:val="none"/>
        </w:rPr>
        <w:t>。</w:t>
      </w:r>
    </w:p>
    <w:p w14:paraId="2C735DA9" w14:textId="12F1B054"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本提出文書は、高齢者の人権に関する法的拘束力のある文書（LBI）の一般的な枠組み、構成、および指針原則に関</w:t>
      </w:r>
      <w:r w:rsidR="00355170">
        <w:rPr>
          <w:rFonts w:ascii="ＭＳ 明朝" w:eastAsia="ＭＳ 明朝" w:hAnsi="ＭＳ 明朝" w:cs="ＭＳ Ｐゴシック" w:hint="eastAsia"/>
          <w:kern w:val="0"/>
          <w:szCs w:val="21"/>
          <w:lang w:val="en-US" w:eastAsia="ja-JP"/>
          <w14:ligatures w14:val="none"/>
        </w:rPr>
        <w:t>して、</w:t>
      </w:r>
      <w:r w:rsidR="00355170" w:rsidRPr="00E406C1">
        <w:rPr>
          <w:rFonts w:ascii="ＭＳ 明朝" w:eastAsia="ＭＳ 明朝" w:hAnsi="ＭＳ 明朝" w:cs="ＭＳ Ｐゴシック"/>
          <w:kern w:val="0"/>
          <w:szCs w:val="21"/>
          <w:lang w:val="en-US" w:eastAsia="ja-JP"/>
          <w14:ligatures w14:val="none"/>
        </w:rPr>
        <w:t>国連人権高等弁務官事務所（OHCHR）が行った</w:t>
      </w:r>
      <w:r w:rsidRPr="00E406C1">
        <w:rPr>
          <w:rFonts w:ascii="ＭＳ 明朝" w:eastAsia="ＭＳ 明朝" w:hAnsi="ＭＳ 明朝" w:cs="ＭＳ Ｐゴシック"/>
          <w:kern w:val="0"/>
          <w:szCs w:val="21"/>
          <w:lang w:val="en-US" w:eastAsia="ja-JP"/>
          <w14:ligatures w14:val="none"/>
        </w:rPr>
        <w:t>意見募集に応えるものである。本稿は、人権理事会決議53/13に基づき、高齢者の人権に関する国際的な法的拘束力のある文書の策定を任務とする政府間作業部会（IGWG）のために2026年1月に作成されたGAROPの討議文書において提示された分析および提言を基にしている。</w:t>
      </w:r>
    </w:p>
    <w:p w14:paraId="60DCD856" w14:textId="71C3000B" w:rsidR="00E406C1" w:rsidRPr="00E406C1" w:rsidRDefault="00355170" w:rsidP="00E406C1">
      <w:pPr>
        <w:widowControl/>
        <w:spacing w:before="100" w:beforeAutospacing="1" w:after="100" w:afterAutospacing="1"/>
        <w:jc w:val="left"/>
        <w:outlineLvl w:val="0"/>
        <w:rPr>
          <w:rFonts w:ascii="BIZ UDゴシック" w:eastAsia="BIZ UDゴシック" w:hAnsi="BIZ UDゴシック" w:cs="ＭＳ Ｐゴシック"/>
          <w:b/>
          <w:bCs/>
          <w:kern w:val="36"/>
          <w:szCs w:val="21"/>
          <w:lang w:val="en-US" w:eastAsia="ja-JP"/>
          <w14:ligatures w14:val="none"/>
        </w:rPr>
      </w:pPr>
      <w:r w:rsidRPr="00E406C1">
        <w:rPr>
          <w:rFonts w:ascii="BIZ UDゴシック" w:eastAsia="BIZ UDゴシック" w:hAnsi="BIZ UDゴシック" w:cs="ＭＳ Ｐゴシック" w:hint="eastAsia"/>
          <w:b/>
          <w:bCs/>
          <w:kern w:val="36"/>
          <w:szCs w:val="21"/>
          <w:lang w:val="en-US" w:eastAsia="ja-JP"/>
          <w14:ligatures w14:val="none"/>
        </w:rPr>
        <w:lastRenderedPageBreak/>
        <w:t>１</w:t>
      </w:r>
      <w:r w:rsidR="00E406C1" w:rsidRPr="00E406C1">
        <w:rPr>
          <w:rFonts w:ascii="BIZ UDゴシック" w:eastAsia="BIZ UDゴシック" w:hAnsi="BIZ UDゴシック" w:cs="ＭＳ Ｐゴシック"/>
          <w:b/>
          <w:bCs/>
          <w:kern w:val="36"/>
          <w:szCs w:val="21"/>
          <w:lang w:val="en-US" w:eastAsia="ja-JP"/>
          <w14:ligatures w14:val="none"/>
        </w:rPr>
        <w:t>. 法的拘束力のある文書の包括的枠組み</w:t>
      </w:r>
    </w:p>
    <w:p w14:paraId="13644113" w14:textId="18D0E1F1"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法的拘束力のある文書（LBI）は、既存の人権枠組み</w:t>
      </w:r>
      <w:r w:rsidRPr="00E406C1">
        <w:rPr>
          <w:rFonts w:ascii="ＭＳ 明朝" w:eastAsia="ＭＳ 明朝" w:hAnsi="ＭＳ 明朝" w:cs="ＭＳ Ｐゴシック"/>
          <w:b/>
          <w:bCs/>
          <w:kern w:val="0"/>
          <w:szCs w:val="21"/>
          <w:lang w:val="en-US" w:eastAsia="ja-JP"/>
          <w14:ligatures w14:val="none"/>
        </w:rPr>
        <w:t>に</w:t>
      </w:r>
      <w:r w:rsidRPr="00E406C1">
        <w:rPr>
          <w:rFonts w:ascii="ＭＳ 明朝" w:eastAsia="ＭＳ 明朝" w:hAnsi="ＭＳ 明朝" w:cs="ＭＳ Ｐゴシック"/>
          <w:kern w:val="0"/>
          <w:szCs w:val="21"/>
          <w:lang w:val="en-US" w:eastAsia="ja-JP"/>
          <w14:ligatures w14:val="none"/>
        </w:rPr>
        <w:t>根ざし、すべての人権の普遍性、不可分性、相互依存性を再確認するとともに、これらの権利が高齢期においてどのように適用されるかを</w:t>
      </w:r>
      <w:r w:rsidR="00355170">
        <w:rPr>
          <w:rFonts w:ascii="ＭＳ 明朝" w:eastAsia="ＭＳ 明朝" w:hAnsi="ＭＳ 明朝" w:cs="ＭＳ Ｐゴシック" w:hint="eastAsia"/>
          <w:kern w:val="0"/>
          <w:szCs w:val="21"/>
          <w:lang w:val="en-US" w:eastAsia="ja-JP"/>
          <w14:ligatures w14:val="none"/>
        </w:rPr>
        <w:t>明確に示す</w:t>
      </w:r>
      <w:r w:rsidRPr="00E406C1">
        <w:rPr>
          <w:rFonts w:ascii="ＭＳ 明朝" w:eastAsia="ＭＳ 明朝" w:hAnsi="ＭＳ 明朝" w:cs="ＭＳ Ｐゴシック"/>
          <w:kern w:val="0"/>
          <w:szCs w:val="21"/>
          <w:lang w:val="en-US" w:eastAsia="ja-JP"/>
          <w14:ligatures w14:val="none"/>
        </w:rPr>
        <w:t>べきである。既存の人権条約が適用可能であるにもかかわらず、高齢者の権利は、しばしば十分に明文化されていなかったり、</w:t>
      </w:r>
      <w:r w:rsidR="00355170">
        <w:rPr>
          <w:rFonts w:ascii="ＭＳ 明朝" w:eastAsia="ＭＳ 明朝" w:hAnsi="ＭＳ 明朝" w:cs="ＭＳ Ｐゴシック" w:hint="eastAsia"/>
          <w:kern w:val="0"/>
          <w:szCs w:val="21"/>
          <w:lang w:val="en-US" w:eastAsia="ja-JP"/>
          <w14:ligatures w14:val="none"/>
        </w:rPr>
        <w:t>実践</w:t>
      </w:r>
      <w:r w:rsidRPr="00E406C1">
        <w:rPr>
          <w:rFonts w:ascii="ＭＳ 明朝" w:eastAsia="ＭＳ 明朝" w:hAnsi="ＭＳ 明朝" w:cs="ＭＳ Ｐゴシック"/>
          <w:kern w:val="0"/>
          <w:szCs w:val="21"/>
          <w:lang w:val="en-US" w:eastAsia="ja-JP"/>
          <w14:ligatures w14:val="none"/>
        </w:rPr>
        <w:t>において一貫して保護されていなかったりする。</w:t>
      </w:r>
    </w:p>
    <w:p w14:paraId="1F034656" w14:textId="66DDE334"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また、LBIは、高齢期に特に</w:t>
      </w:r>
      <w:r w:rsidR="00355170">
        <w:rPr>
          <w:rFonts w:ascii="ＭＳ 明朝" w:eastAsia="ＭＳ 明朝" w:hAnsi="ＭＳ 明朝" w:cs="ＭＳ Ｐゴシック" w:hint="eastAsia"/>
          <w:kern w:val="0"/>
          <w:szCs w:val="21"/>
          <w:lang w:val="en-US" w:eastAsia="ja-JP"/>
          <w14:ligatures w14:val="none"/>
        </w:rPr>
        <w:t>重要で</w:t>
      </w:r>
      <w:r w:rsidRPr="00E406C1">
        <w:rPr>
          <w:rFonts w:ascii="ＭＳ 明朝" w:eastAsia="ＭＳ 明朝" w:hAnsi="ＭＳ 明朝" w:cs="ＭＳ Ｐゴシック"/>
          <w:kern w:val="0"/>
          <w:szCs w:val="21"/>
          <w:lang w:val="en-US" w:eastAsia="ja-JP"/>
          <w14:ligatures w14:val="none"/>
        </w:rPr>
        <w:t>、かつ現行の枠組みに欠けている人権を解釈し、あるいは新たに策定すべきである。これにより、枠組みの不備を補い、現在および将来にわたって包括的な人権の枠組みを強化することができる。</w:t>
      </w:r>
    </w:p>
    <w:p w14:paraId="5BAE1341"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世界中の高齢者がすべての人権を享受することを妨げたり制限したりする障壁の根本原因としてのエイジズムの役割を明確に説明・明示し、法的に容認できないものとすべきである。</w:t>
      </w:r>
    </w:p>
    <w:p w14:paraId="40257F6D" w14:textId="40970E46"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LBIの中心的な目的の一つは、</w:t>
      </w:r>
      <w:r w:rsidRPr="00E406C1">
        <w:rPr>
          <w:rFonts w:ascii="ＭＳ 明朝" w:eastAsia="ＭＳ 明朝" w:hAnsi="ＭＳ 明朝" w:cs="ＭＳ Ｐゴシック"/>
          <w:b/>
          <w:bCs/>
          <w:kern w:val="0"/>
          <w:szCs w:val="21"/>
          <w:lang w:val="en-US" w:eastAsia="ja-JP"/>
          <w14:ligatures w14:val="none"/>
        </w:rPr>
        <w:t>高齢者が、</w:t>
      </w:r>
      <w:r w:rsidR="00355170" w:rsidRPr="00752960">
        <w:rPr>
          <w:rFonts w:ascii="ＭＳ 明朝" w:eastAsia="ＭＳ 明朝" w:hAnsi="ＭＳ 明朝" w:cs="ＭＳ Ｐゴシック" w:hint="eastAsia"/>
          <w:kern w:val="0"/>
          <w:szCs w:val="21"/>
          <w:lang w:val="en-US" w:eastAsia="ja-JP"/>
          <w14:ligatures w14:val="none"/>
        </w:rPr>
        <w:t>ケア</w:t>
      </w:r>
      <w:r w:rsidRPr="00E406C1">
        <w:rPr>
          <w:rFonts w:ascii="ＭＳ 明朝" w:eastAsia="ＭＳ 明朝" w:hAnsi="ＭＳ 明朝" w:cs="ＭＳ Ｐゴシック"/>
          <w:kern w:val="0"/>
          <w:szCs w:val="21"/>
          <w:lang w:val="en-US" w:eastAsia="ja-JP"/>
          <w14:ligatures w14:val="none"/>
        </w:rPr>
        <w:t>、社会支援、または保護といった考慮事項を超えて、他者と対等な立場</w:t>
      </w:r>
      <w:r w:rsidR="00752960" w:rsidRPr="00752960">
        <w:rPr>
          <w:rFonts w:ascii="ＭＳ 明朝" w:eastAsia="ＭＳ 明朝" w:hAnsi="ＭＳ 明朝" w:cs="ＭＳ Ｐゴシック" w:hint="eastAsia"/>
          <w:kern w:val="0"/>
          <w:szCs w:val="21"/>
          <w:lang w:val="en-US" w:eastAsia="ja-JP"/>
          <w14:ligatures w14:val="none"/>
        </w:rPr>
        <w:t>の</w:t>
      </w:r>
      <w:r w:rsidRPr="00E406C1">
        <w:rPr>
          <w:rFonts w:ascii="ＭＳ 明朝" w:eastAsia="ＭＳ 明朝" w:hAnsi="ＭＳ 明朝" w:cs="ＭＳ Ｐゴシック"/>
          <w:b/>
          <w:bCs/>
          <w:kern w:val="0"/>
          <w:szCs w:val="21"/>
          <w:lang w:val="en-US" w:eastAsia="ja-JP"/>
          <w14:ligatures w14:val="none"/>
        </w:rPr>
        <w:t>人権の保有者であること</w:t>
      </w:r>
      <w:r w:rsidRPr="00E406C1">
        <w:rPr>
          <w:rFonts w:ascii="ＭＳ 明朝" w:eastAsia="ＭＳ 明朝" w:hAnsi="ＭＳ 明朝" w:cs="ＭＳ Ｐゴシック"/>
          <w:kern w:val="0"/>
          <w:szCs w:val="21"/>
          <w:lang w:val="en-US" w:eastAsia="ja-JP"/>
          <w14:ligatures w14:val="none"/>
        </w:rPr>
        <w:t>を明示することであるべきである。</w:t>
      </w:r>
      <w:r w:rsidR="00355170">
        <w:rPr>
          <w:rFonts w:ascii="ＭＳ 明朝" w:eastAsia="ＭＳ 明朝" w:hAnsi="ＭＳ 明朝" w:cs="ＭＳ Ｐゴシック" w:hint="eastAsia"/>
          <w:kern w:val="0"/>
          <w:szCs w:val="21"/>
          <w:lang w:val="en-US" w:eastAsia="ja-JP"/>
          <w14:ligatures w14:val="none"/>
        </w:rPr>
        <w:t>ケア</w:t>
      </w:r>
      <w:r w:rsidRPr="00E406C1">
        <w:rPr>
          <w:rFonts w:ascii="ＭＳ 明朝" w:eastAsia="ＭＳ 明朝" w:hAnsi="ＭＳ 明朝" w:cs="ＭＳ Ｐゴシック"/>
          <w:kern w:val="0"/>
          <w:szCs w:val="21"/>
          <w:lang w:val="en-US" w:eastAsia="ja-JP"/>
          <w14:ligatures w14:val="none"/>
        </w:rPr>
        <w:t>や社会的保護は確かにすべての人に尊重され適用されなければならない権利である</w:t>
      </w:r>
      <w:r w:rsidR="00752960">
        <w:rPr>
          <w:rFonts w:ascii="ＭＳ 明朝" w:eastAsia="ＭＳ 明朝" w:hAnsi="ＭＳ 明朝" w:cs="ＭＳ Ｐゴシック" w:hint="eastAsia"/>
          <w:kern w:val="0"/>
          <w:szCs w:val="21"/>
          <w:lang w:val="en-US" w:eastAsia="ja-JP"/>
          <w14:ligatures w14:val="none"/>
        </w:rPr>
        <w:t>。一方、</w:t>
      </w:r>
      <w:r w:rsidRPr="00E406C1">
        <w:rPr>
          <w:rFonts w:ascii="ＭＳ 明朝" w:eastAsia="ＭＳ 明朝" w:hAnsi="ＭＳ 明朝" w:cs="ＭＳ Ｐゴシック"/>
          <w:kern w:val="0"/>
          <w:szCs w:val="21"/>
          <w:lang w:val="en-US" w:eastAsia="ja-JP"/>
          <w14:ligatures w14:val="none"/>
        </w:rPr>
        <w:t>高齢期における人権は、社会的、経済的、文化的権利および市民的・政治的権利の範囲内</w:t>
      </w:r>
      <w:r w:rsidR="00355170">
        <w:rPr>
          <w:rFonts w:ascii="ＭＳ 明朝" w:eastAsia="ＭＳ 明朝" w:hAnsi="ＭＳ 明朝" w:cs="ＭＳ Ｐゴシック" w:hint="eastAsia"/>
          <w:kern w:val="0"/>
          <w:szCs w:val="21"/>
          <w:lang w:val="en-US" w:eastAsia="ja-JP"/>
          <w14:ligatures w14:val="none"/>
        </w:rPr>
        <w:t>の</w:t>
      </w:r>
      <w:r w:rsidRPr="00E406C1">
        <w:rPr>
          <w:rFonts w:ascii="ＭＳ 明朝" w:eastAsia="ＭＳ 明朝" w:hAnsi="ＭＳ 明朝" w:cs="ＭＳ Ｐゴシック"/>
          <w:kern w:val="0"/>
          <w:szCs w:val="21"/>
          <w:lang w:val="en-US" w:eastAsia="ja-JP"/>
          <w14:ligatures w14:val="none"/>
        </w:rPr>
        <w:t>、幅広い権利を網羅している。</w:t>
      </w:r>
    </w:p>
    <w:p w14:paraId="79965821"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例えば：</w:t>
      </w:r>
    </w:p>
    <w:p w14:paraId="17BFDA89" w14:textId="77777777"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多くの状況において、特に公衆衛生上の緊急事態において、個別的な評価なしに、暦年齢を理由として、医療、リハビリテーション、あるいは救命治療へのアクセスが制限されたり、優先順位が下げられたりしている。これは、健康権が高齢者に対して平等な基準で一貫して適用されていないことを示している。</w:t>
      </w:r>
    </w:p>
    <w:p w14:paraId="362F66A7" w14:textId="53D8EA40"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高齢者は、より高いリスクに直面しているにもかかわらず、災害リスク軽減や人道支援計画からしばしば排除されており、これは権利に基づく保護の枠組みにお</w:t>
      </w:r>
      <w:r w:rsidR="00355170">
        <w:rPr>
          <w:rFonts w:ascii="ＭＳ 明朝" w:eastAsia="ＭＳ 明朝" w:hAnsi="ＭＳ 明朝" w:cs="ＭＳ Ｐゴシック" w:hint="eastAsia"/>
          <w:kern w:val="0"/>
          <w:szCs w:val="21"/>
          <w:lang w:val="en-US" w:eastAsia="ja-JP"/>
          <w14:ligatures w14:val="none"/>
        </w:rPr>
        <w:t>いて</w:t>
      </w:r>
      <w:r w:rsidRPr="00E406C1">
        <w:rPr>
          <w:rFonts w:ascii="ＭＳ 明朝" w:eastAsia="ＭＳ 明朝" w:hAnsi="ＭＳ 明朝" w:cs="ＭＳ Ｐゴシック"/>
          <w:kern w:val="0"/>
          <w:szCs w:val="21"/>
          <w:lang w:val="en-US" w:eastAsia="ja-JP"/>
          <w14:ligatures w14:val="none"/>
        </w:rPr>
        <w:t>高齢者</w:t>
      </w:r>
      <w:r w:rsidR="00355170">
        <w:rPr>
          <w:rFonts w:ascii="ＭＳ 明朝" w:eastAsia="ＭＳ 明朝" w:hAnsi="ＭＳ 明朝" w:cs="ＭＳ Ｐゴシック" w:hint="eastAsia"/>
          <w:kern w:val="0"/>
          <w:szCs w:val="21"/>
          <w:lang w:val="en-US" w:eastAsia="ja-JP"/>
          <w14:ligatures w14:val="none"/>
        </w:rPr>
        <w:t>が</w:t>
      </w:r>
      <w:r w:rsidRPr="00E406C1">
        <w:rPr>
          <w:rFonts w:ascii="ＭＳ 明朝" w:eastAsia="ＭＳ 明朝" w:hAnsi="ＭＳ 明朝" w:cs="ＭＳ Ｐゴシック"/>
          <w:kern w:val="0"/>
          <w:szCs w:val="21"/>
          <w:lang w:val="en-US" w:eastAsia="ja-JP"/>
          <w14:ligatures w14:val="none"/>
        </w:rPr>
        <w:t>「見えざる存在」</w:t>
      </w:r>
      <w:r w:rsidR="00355170">
        <w:rPr>
          <w:rFonts w:ascii="ＭＳ 明朝" w:eastAsia="ＭＳ 明朝" w:hAnsi="ＭＳ 明朝" w:cs="ＭＳ Ｐゴシック" w:hint="eastAsia"/>
          <w:kern w:val="0"/>
          <w:szCs w:val="21"/>
          <w:lang w:val="en-US" w:eastAsia="ja-JP"/>
          <w14:ligatures w14:val="none"/>
        </w:rPr>
        <w:t>であること</w:t>
      </w:r>
      <w:r w:rsidRPr="00E406C1">
        <w:rPr>
          <w:rFonts w:ascii="ＭＳ 明朝" w:eastAsia="ＭＳ 明朝" w:hAnsi="ＭＳ 明朝" w:cs="ＭＳ Ｐゴシック"/>
          <w:kern w:val="0"/>
          <w:szCs w:val="21"/>
          <w:lang w:val="en-US" w:eastAsia="ja-JP"/>
          <w14:ligatures w14:val="none"/>
        </w:rPr>
        <w:t>を浮き彫りにしている。</w:t>
      </w:r>
    </w:p>
    <w:p w14:paraId="5381E6F0" w14:textId="439F873F"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高齢化対策の政策は、高齢者の法的能力、自律、救済を受ける権利を認めるのではなく、福祉や慈善モデルに依存することが多く、依存という固定観念を強めている。</w:t>
      </w:r>
    </w:p>
    <w:p w14:paraId="39856FF6" w14:textId="34816B9C"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高齢者を設計や実施の段階に含めない新技術の開発は、高齢者の社会への完全な参加を妨げ、社会的排除や虐待のリスクを悪化させ</w:t>
      </w:r>
      <w:r w:rsidR="00355170">
        <w:rPr>
          <w:rFonts w:ascii="ＭＳ 明朝" w:eastAsia="ＭＳ 明朝" w:hAnsi="ＭＳ 明朝" w:cs="ＭＳ Ｐゴシック" w:hint="eastAsia"/>
          <w:kern w:val="0"/>
          <w:szCs w:val="21"/>
          <w:lang w:val="en-US" w:eastAsia="ja-JP"/>
          <w14:ligatures w14:val="none"/>
        </w:rPr>
        <w:t>てい</w:t>
      </w:r>
      <w:r w:rsidRPr="00E406C1">
        <w:rPr>
          <w:rFonts w:ascii="ＭＳ 明朝" w:eastAsia="ＭＳ 明朝" w:hAnsi="ＭＳ 明朝" w:cs="ＭＳ Ｐゴシック"/>
          <w:kern w:val="0"/>
          <w:szCs w:val="21"/>
          <w:lang w:val="en-US" w:eastAsia="ja-JP"/>
          <w14:ligatures w14:val="none"/>
        </w:rPr>
        <w:t>る。</w:t>
      </w:r>
    </w:p>
    <w:p w14:paraId="4F2503FD" w14:textId="22A3D0E6"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本枠組み（LBI）は、こうした慣行が単なる政策上の選択</w:t>
      </w:r>
      <w:r w:rsidR="00355170">
        <w:rPr>
          <w:rFonts w:ascii="ＭＳ 明朝" w:eastAsia="ＭＳ 明朝" w:hAnsi="ＭＳ 明朝" w:cs="ＭＳ Ｐゴシック" w:hint="eastAsia"/>
          <w:kern w:val="0"/>
          <w:szCs w:val="21"/>
          <w:lang w:val="en-US" w:eastAsia="ja-JP"/>
          <w14:ligatures w14:val="none"/>
        </w:rPr>
        <w:t>範囲</w:t>
      </w:r>
      <w:r w:rsidRPr="00E406C1">
        <w:rPr>
          <w:rFonts w:ascii="ＭＳ 明朝" w:eastAsia="ＭＳ 明朝" w:hAnsi="ＭＳ 明朝" w:cs="ＭＳ Ｐゴシック"/>
          <w:kern w:val="0"/>
          <w:szCs w:val="21"/>
          <w:lang w:val="en-US" w:eastAsia="ja-JP"/>
          <w14:ligatures w14:val="none"/>
        </w:rPr>
        <w:t>ではなく</w:t>
      </w:r>
      <w:r w:rsidR="00355170">
        <w:rPr>
          <w:rFonts w:ascii="ＭＳ 明朝" w:eastAsia="ＭＳ 明朝" w:hAnsi="ＭＳ 明朝" w:cs="ＭＳ Ｐゴシック" w:hint="eastAsia"/>
          <w:kern w:val="0"/>
          <w:szCs w:val="21"/>
          <w:lang w:val="en-US" w:eastAsia="ja-JP"/>
          <w14:ligatures w14:val="none"/>
        </w:rPr>
        <w:t>、</w:t>
      </w:r>
      <w:r w:rsidRPr="00E406C1">
        <w:rPr>
          <w:rFonts w:ascii="ＭＳ 明朝" w:eastAsia="ＭＳ 明朝" w:hAnsi="ＭＳ 明朝" w:cs="ＭＳ Ｐゴシック"/>
          <w:kern w:val="0"/>
          <w:szCs w:val="21"/>
          <w:lang w:val="en-US" w:eastAsia="ja-JP"/>
          <w14:ligatures w14:val="none"/>
        </w:rPr>
        <w:t>人権侵害を構成し得ること、また国家にはこれらに対処する法的拘束力のある義務があることを明確にするべきである。</w:t>
      </w:r>
    </w:p>
    <w:p w14:paraId="5A16CFA9"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本枠組みの包括的かつ極めて重要な要素は、あらゆる交渉プロセスにおける高齢者および彼らを代表する組織の積極的かつ有意義な参加であり、その声はLBIに明確に反映されるべきである。</w:t>
      </w:r>
    </w:p>
    <w:p w14:paraId="38295C90" w14:textId="2AA2BE5E" w:rsidR="00E406C1" w:rsidRPr="00E406C1" w:rsidRDefault="00355170" w:rsidP="00E406C1">
      <w:pPr>
        <w:widowControl/>
        <w:spacing w:before="100" w:beforeAutospacing="1" w:after="100" w:afterAutospacing="1"/>
        <w:jc w:val="left"/>
        <w:outlineLvl w:val="0"/>
        <w:rPr>
          <w:rFonts w:ascii="BIZ UDゴシック" w:eastAsia="BIZ UDゴシック" w:hAnsi="BIZ UDゴシック" w:cs="ＭＳ Ｐゴシック"/>
          <w:b/>
          <w:bCs/>
          <w:kern w:val="36"/>
          <w:szCs w:val="21"/>
          <w:lang w:val="en-US" w:eastAsia="ja-JP"/>
          <w14:ligatures w14:val="none"/>
        </w:rPr>
      </w:pPr>
      <w:r>
        <w:rPr>
          <w:rFonts w:ascii="BIZ UDゴシック" w:eastAsia="BIZ UDゴシック" w:hAnsi="BIZ UDゴシック" w:cs="ＭＳ Ｐゴシック" w:hint="eastAsia"/>
          <w:b/>
          <w:bCs/>
          <w:kern w:val="36"/>
          <w:szCs w:val="21"/>
          <w:lang w:val="en-US" w:eastAsia="ja-JP"/>
          <w14:ligatures w14:val="none"/>
        </w:rPr>
        <w:lastRenderedPageBreak/>
        <w:t>２</w:t>
      </w:r>
      <w:r w:rsidR="00E406C1" w:rsidRPr="00E406C1">
        <w:rPr>
          <w:rFonts w:ascii="BIZ UDゴシック" w:eastAsia="BIZ UDゴシック" w:hAnsi="BIZ UDゴシック" w:cs="ＭＳ Ｐゴシック"/>
          <w:b/>
          <w:bCs/>
          <w:kern w:val="36"/>
          <w:szCs w:val="21"/>
          <w:lang w:val="en-US" w:eastAsia="ja-JP"/>
          <w14:ligatures w14:val="none"/>
        </w:rPr>
        <w:t>. 本枠組みを支える中核的原則</w:t>
      </w:r>
    </w:p>
    <w:p w14:paraId="25D0D5CF"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本枠組みの有効性は、解釈、実施、および説明責任を導く一連の</w:t>
      </w:r>
      <w:r w:rsidRPr="00E406C1">
        <w:rPr>
          <w:rFonts w:ascii="ＭＳ 明朝" w:eastAsia="ＭＳ 明朝" w:hAnsi="ＭＳ 明朝" w:cs="ＭＳ Ｐゴシック"/>
          <w:b/>
          <w:bCs/>
          <w:kern w:val="0"/>
          <w:szCs w:val="21"/>
          <w:lang w:val="en-US" w:eastAsia="ja-JP"/>
          <w14:ligatures w14:val="none"/>
        </w:rPr>
        <w:t>明確に規定された一般原則</w:t>
      </w:r>
      <w:r w:rsidRPr="00E406C1">
        <w:rPr>
          <w:rFonts w:ascii="ＭＳ 明朝" w:eastAsia="ＭＳ 明朝" w:hAnsi="ＭＳ 明朝" w:cs="ＭＳ Ｐゴシック"/>
          <w:kern w:val="0"/>
          <w:szCs w:val="21"/>
          <w:lang w:val="en-US" w:eastAsia="ja-JP"/>
          <w14:ligatures w14:val="none"/>
        </w:rPr>
        <w:t>にかかっている。</w:t>
      </w:r>
    </w:p>
    <w:p w14:paraId="57A72357"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主要な原則には以下を含めるべきである：</w:t>
      </w:r>
    </w:p>
    <w:p w14:paraId="4203A2D6" w14:textId="3AC6EFB3"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平等と</w:t>
      </w:r>
      <w:r w:rsidR="00355170">
        <w:rPr>
          <w:rFonts w:ascii="ＭＳ 明朝" w:eastAsia="ＭＳ 明朝" w:hAnsi="ＭＳ 明朝" w:cs="ＭＳ Ｐゴシック" w:hint="eastAsia"/>
          <w:kern w:val="0"/>
          <w:szCs w:val="21"/>
          <w:lang w:val="en-US" w:eastAsia="ja-JP"/>
          <w14:ligatures w14:val="none"/>
        </w:rPr>
        <w:t>無</w:t>
      </w:r>
      <w:r w:rsidRPr="00E406C1">
        <w:rPr>
          <w:rFonts w:ascii="ＭＳ 明朝" w:eastAsia="ＭＳ 明朝" w:hAnsi="ＭＳ 明朝" w:cs="ＭＳ Ｐゴシック"/>
          <w:kern w:val="0"/>
          <w:szCs w:val="21"/>
          <w:lang w:val="en-US" w:eastAsia="ja-JP"/>
          <w14:ligatures w14:val="none"/>
        </w:rPr>
        <w:t>差別</w:t>
      </w:r>
    </w:p>
    <w:p w14:paraId="208ACA9B" w14:textId="42893332"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自律と</w:t>
      </w:r>
      <w:r w:rsidR="00355170">
        <w:rPr>
          <w:rFonts w:ascii="ＭＳ 明朝" w:eastAsia="ＭＳ 明朝" w:hAnsi="ＭＳ 明朝" w:cs="ＭＳ Ｐゴシック" w:hint="eastAsia"/>
          <w:kern w:val="0"/>
          <w:szCs w:val="21"/>
          <w:lang w:val="en-US" w:eastAsia="ja-JP"/>
          <w14:ligatures w14:val="none"/>
        </w:rPr>
        <w:t>独立</w:t>
      </w:r>
    </w:p>
    <w:p w14:paraId="078B4E24" w14:textId="77777777"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高齢者の完全かつ有意義な参加と関与</w:t>
      </w:r>
    </w:p>
    <w:p w14:paraId="0641668A" w14:textId="247DE320"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多様性、固有の尊厳、および包摂の尊重</w:t>
      </w:r>
    </w:p>
    <w:p w14:paraId="16077D19" w14:textId="77777777"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ジェンダー平等</w:t>
      </w:r>
    </w:p>
    <w:p w14:paraId="3856EE11" w14:textId="77777777"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交差性</w:t>
      </w:r>
    </w:p>
    <w:p w14:paraId="79F7CEAD" w14:textId="77777777"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アクセシビリティ</w:t>
      </w:r>
    </w:p>
    <w:p w14:paraId="32C0AE25" w14:textId="77777777" w:rsidR="00E406C1" w:rsidRP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既存の人権基準との整合性</w:t>
      </w:r>
    </w:p>
    <w:p w14:paraId="24E59F7A" w14:textId="2FB10D4C" w:rsidR="00E406C1" w:rsidRDefault="00E406C1" w:rsidP="00E406C1">
      <w:pPr>
        <w:widowControl/>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xml:space="preserve">• </w:t>
      </w:r>
      <w:r w:rsidR="00355170">
        <w:rPr>
          <w:rFonts w:ascii="ＭＳ 明朝" w:eastAsia="ＭＳ 明朝" w:hAnsi="ＭＳ 明朝" w:cs="ＭＳ Ｐゴシック" w:hint="eastAsia"/>
          <w:kern w:val="0"/>
          <w:szCs w:val="21"/>
          <w:lang w:val="en-US" w:eastAsia="ja-JP"/>
          <w14:ligatures w14:val="none"/>
        </w:rPr>
        <w:t>分類</w:t>
      </w:r>
      <w:r w:rsidRPr="00E406C1">
        <w:rPr>
          <w:rFonts w:ascii="ＭＳ 明朝" w:eastAsia="ＭＳ 明朝" w:hAnsi="ＭＳ 明朝" w:cs="ＭＳ Ｐゴシック"/>
          <w:kern w:val="0"/>
          <w:szCs w:val="21"/>
          <w:lang w:val="en-US" w:eastAsia="ja-JP"/>
          <w14:ligatures w14:val="none"/>
        </w:rPr>
        <w:t>されたデータ収集と説明責任</w:t>
      </w:r>
    </w:p>
    <w:p w14:paraId="75E829DB" w14:textId="77777777" w:rsidR="00E406C1" w:rsidRPr="00E406C1" w:rsidRDefault="00E406C1" w:rsidP="00E406C1">
      <w:pPr>
        <w:widowControl/>
        <w:jc w:val="left"/>
        <w:rPr>
          <w:rFonts w:ascii="ＭＳ 明朝" w:eastAsia="ＭＳ 明朝" w:hAnsi="ＭＳ 明朝" w:cs="ＭＳ Ｐゴシック" w:hint="eastAsia"/>
          <w:kern w:val="0"/>
          <w:szCs w:val="21"/>
          <w:lang w:val="en-US" w:eastAsia="ja-JP"/>
          <w14:ligatures w14:val="none"/>
        </w:rPr>
      </w:pPr>
    </w:p>
    <w:p w14:paraId="1823E397" w14:textId="1DC16EEB"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LBIは、高齢化および高齢者に関する</w:t>
      </w:r>
      <w:r w:rsidR="00F602D3">
        <w:rPr>
          <w:rFonts w:ascii="ＭＳ 明朝" w:eastAsia="ＭＳ 明朝" w:hAnsi="ＭＳ 明朝" w:cs="ＭＳ Ｐゴシック" w:hint="eastAsia"/>
          <w:kern w:val="0"/>
          <w:szCs w:val="21"/>
          <w:lang w:val="en-US" w:eastAsia="ja-JP"/>
          <w14:ligatures w14:val="none"/>
        </w:rPr>
        <w:t>ストーリー（narrative）</w:t>
      </w:r>
      <w:r w:rsidRPr="00E406C1">
        <w:rPr>
          <w:rFonts w:ascii="ＭＳ 明朝" w:eastAsia="ＭＳ 明朝" w:hAnsi="ＭＳ 明朝" w:cs="ＭＳ Ｐゴシック"/>
          <w:kern w:val="0"/>
          <w:szCs w:val="21"/>
          <w:lang w:val="en-US" w:eastAsia="ja-JP"/>
          <w14:ligatures w14:val="none"/>
        </w:rPr>
        <w:t>を転換する変革的なものであるべきである。LBIは、恣意的な年齢基準からの脱却を図り、社会的構築に基づく高齢者の定義を採用すべきである。</w:t>
      </w:r>
    </w:p>
    <w:p w14:paraId="3FDC0FFE"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これらの原則を明確に規定することがなぜ必要なのかを示す具体的な例がいくつかある。これには、</w:t>
      </w:r>
      <w:r w:rsidRPr="00E406C1">
        <w:rPr>
          <w:rFonts w:ascii="ＭＳ 明朝" w:eastAsia="ＭＳ 明朝" w:hAnsi="ＭＳ 明朝" w:cs="ＭＳ Ｐゴシック"/>
          <w:i/>
          <w:iCs/>
          <w:kern w:val="0"/>
          <w:szCs w:val="21"/>
          <w:lang w:val="en-US" w:eastAsia="ja-JP"/>
          <w14:ligatures w14:val="none"/>
        </w:rPr>
        <w:t>とりわけ</w:t>
      </w:r>
      <w:r w:rsidRPr="00E406C1">
        <w:rPr>
          <w:rFonts w:ascii="ＭＳ 明朝" w:eastAsia="ＭＳ 明朝" w:hAnsi="ＭＳ 明朝" w:cs="ＭＳ Ｐゴシック"/>
          <w:kern w:val="0"/>
          <w:szCs w:val="21"/>
          <w:lang w:val="en-US" w:eastAsia="ja-JP"/>
          <w14:ligatures w14:val="none"/>
        </w:rPr>
        <w:t>以下のものが含まれる：</w:t>
      </w:r>
    </w:p>
    <w:p w14:paraId="785E5A56" w14:textId="33901C68"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xml:space="preserve">• </w:t>
      </w:r>
      <w:r w:rsidR="00F602D3" w:rsidRPr="007000A7">
        <w:rPr>
          <w:rFonts w:ascii="ＭＳ 明朝" w:eastAsia="ＭＳ 明朝" w:hAnsi="ＭＳ 明朝" w:cs="ＭＳ Ｐゴシック" w:hint="eastAsia"/>
          <w:b/>
          <w:bCs/>
          <w:kern w:val="0"/>
          <w:szCs w:val="21"/>
          <w:lang w:val="en-US" w:eastAsia="ja-JP"/>
          <w14:ligatures w14:val="none"/>
        </w:rPr>
        <w:t>エイジズム(</w:t>
      </w:r>
      <w:r w:rsidRPr="00E406C1">
        <w:rPr>
          <w:rFonts w:ascii="ＭＳ 明朝" w:eastAsia="ＭＳ 明朝" w:hAnsi="ＭＳ 明朝" w:cs="ＭＳ Ｐゴシック"/>
          <w:b/>
          <w:bCs/>
          <w:kern w:val="0"/>
          <w:szCs w:val="21"/>
          <w:lang w:val="en-US" w:eastAsia="ja-JP"/>
          <w14:ligatures w14:val="none"/>
        </w:rPr>
        <w:t>年齢差別</w:t>
      </w:r>
      <w:r w:rsidR="00F602D3">
        <w:rPr>
          <w:rFonts w:ascii="ＭＳ 明朝" w:eastAsia="ＭＳ 明朝" w:hAnsi="ＭＳ 明朝" w:cs="ＭＳ Ｐゴシック" w:hint="eastAsia"/>
          <w:b/>
          <w:bCs/>
          <w:kern w:val="0"/>
          <w:szCs w:val="21"/>
          <w:lang w:val="en-US" w:eastAsia="ja-JP"/>
          <w14:ligatures w14:val="none"/>
        </w:rPr>
        <w:t>)</w:t>
      </w:r>
      <w:r w:rsidRPr="00E406C1">
        <w:rPr>
          <w:rFonts w:ascii="ＭＳ 明朝" w:eastAsia="ＭＳ 明朝" w:hAnsi="ＭＳ 明朝" w:cs="ＭＳ Ｐゴシック"/>
          <w:b/>
          <w:bCs/>
          <w:kern w:val="0"/>
          <w:szCs w:val="21"/>
          <w:lang w:val="en-US" w:eastAsia="ja-JP"/>
          <w14:ligatures w14:val="none"/>
        </w:rPr>
        <w:t>と差別</w:t>
      </w:r>
      <w:r w:rsidRPr="00E406C1">
        <w:rPr>
          <w:rFonts w:ascii="ＭＳ 明朝" w:eastAsia="ＭＳ 明朝" w:hAnsi="ＭＳ 明朝" w:cs="ＭＳ Ｐゴシック"/>
          <w:kern w:val="0"/>
          <w:szCs w:val="21"/>
          <w:lang w:val="en-US" w:eastAsia="ja-JP"/>
          <w14:ligatures w14:val="none"/>
        </w:rPr>
        <w:t>：高齢者は、定年退職の強制や、雇用、研修プログラム、教育からの排除に直面する可能性がある。また、参加する能力と意欲があっても、融資や保険の利用において年齢制限に直面すること</w:t>
      </w:r>
      <w:r w:rsidR="00F602D3">
        <w:rPr>
          <w:rFonts w:ascii="ＭＳ 明朝" w:eastAsia="ＭＳ 明朝" w:hAnsi="ＭＳ 明朝" w:cs="ＭＳ Ｐゴシック" w:hint="eastAsia"/>
          <w:kern w:val="0"/>
          <w:szCs w:val="21"/>
          <w:lang w:val="en-US" w:eastAsia="ja-JP"/>
          <w14:ligatures w14:val="none"/>
        </w:rPr>
        <w:t>が</w:t>
      </w:r>
      <w:r w:rsidRPr="00E406C1">
        <w:rPr>
          <w:rFonts w:ascii="ＭＳ 明朝" w:eastAsia="ＭＳ 明朝" w:hAnsi="ＭＳ 明朝" w:cs="ＭＳ Ｐゴシック"/>
          <w:kern w:val="0"/>
          <w:szCs w:val="21"/>
          <w:lang w:val="en-US" w:eastAsia="ja-JP"/>
          <w14:ligatures w14:val="none"/>
        </w:rPr>
        <w:t>ある。年齢に基づく差別</w:t>
      </w:r>
      <w:r w:rsidR="00F602D3">
        <w:rPr>
          <w:rFonts w:ascii="ＭＳ 明朝" w:eastAsia="ＭＳ 明朝" w:hAnsi="ＭＳ 明朝" w:cs="ＭＳ Ｐゴシック" w:hint="eastAsia"/>
          <w:kern w:val="0"/>
          <w:szCs w:val="21"/>
          <w:lang w:val="en-US" w:eastAsia="ja-JP"/>
          <w14:ligatures w14:val="none"/>
        </w:rPr>
        <w:t>の</w:t>
      </w:r>
      <w:r w:rsidRPr="00E406C1">
        <w:rPr>
          <w:rFonts w:ascii="ＭＳ 明朝" w:eastAsia="ＭＳ 明朝" w:hAnsi="ＭＳ 明朝" w:cs="ＭＳ Ｐゴシック"/>
          <w:kern w:val="0"/>
          <w:szCs w:val="21"/>
          <w:lang w:val="en-US" w:eastAsia="ja-JP"/>
          <w14:ligatures w14:val="none"/>
        </w:rPr>
        <w:t>禁止という明確な原則を定めることで、こうした状況をはじめとする様々な場面における国家の義務が明確化される。</w:t>
      </w:r>
    </w:p>
    <w:p w14:paraId="56BC97FE" w14:textId="7183BD67"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xml:space="preserve">• </w:t>
      </w:r>
      <w:r w:rsidRPr="00E406C1">
        <w:rPr>
          <w:rFonts w:ascii="ＭＳ 明朝" w:eastAsia="ＭＳ 明朝" w:hAnsi="ＭＳ 明朝" w:cs="ＭＳ Ｐゴシック"/>
          <w:b/>
          <w:bCs/>
          <w:kern w:val="0"/>
          <w:szCs w:val="21"/>
          <w:lang w:val="en-US" w:eastAsia="ja-JP"/>
          <w14:ligatures w14:val="none"/>
        </w:rPr>
        <w:t>自律と法的能力</w:t>
      </w:r>
      <w:r w:rsidRPr="00E406C1">
        <w:rPr>
          <w:rFonts w:ascii="ＭＳ 明朝" w:eastAsia="ＭＳ 明朝" w:hAnsi="ＭＳ 明朝" w:cs="ＭＳ Ｐゴシック"/>
          <w:kern w:val="0"/>
          <w:szCs w:val="21"/>
          <w:lang w:val="en-US" w:eastAsia="ja-JP"/>
          <w14:ligatures w14:val="none"/>
        </w:rPr>
        <w:t>：家庭、医療機関、長期</w:t>
      </w:r>
      <w:r w:rsidR="007000A7">
        <w:rPr>
          <w:rFonts w:ascii="ＭＳ 明朝" w:eastAsia="ＭＳ 明朝" w:hAnsi="ＭＳ 明朝" w:cs="ＭＳ Ｐゴシック" w:hint="eastAsia"/>
          <w:kern w:val="0"/>
          <w:szCs w:val="21"/>
          <w:lang w:val="en-US" w:eastAsia="ja-JP"/>
          <w14:ligatures w14:val="none"/>
        </w:rPr>
        <w:t>ケア</w:t>
      </w:r>
      <w:r w:rsidRPr="00E406C1">
        <w:rPr>
          <w:rFonts w:ascii="ＭＳ 明朝" w:eastAsia="ＭＳ 明朝" w:hAnsi="ＭＳ 明朝" w:cs="ＭＳ Ｐゴシック"/>
          <w:kern w:val="0"/>
          <w:szCs w:val="21"/>
          <w:lang w:val="en-US" w:eastAsia="ja-JP"/>
          <w14:ligatures w14:val="none"/>
        </w:rPr>
        <w:t>施設など多くの場面において、高齢者の決定や意思決定は、支援される</w:t>
      </w:r>
      <w:r w:rsidR="00F602D3">
        <w:rPr>
          <w:rFonts w:ascii="ＭＳ 明朝" w:eastAsia="ＭＳ 明朝" w:hAnsi="ＭＳ 明朝" w:cs="ＭＳ Ｐゴシック" w:hint="eastAsia"/>
          <w:kern w:val="0"/>
          <w:szCs w:val="21"/>
          <w:lang w:val="en-US" w:eastAsia="ja-JP"/>
          <w14:ligatures w14:val="none"/>
        </w:rPr>
        <w:t>のではなく</w:t>
      </w:r>
      <w:r w:rsidRPr="00E406C1">
        <w:rPr>
          <w:rFonts w:ascii="ＭＳ 明朝" w:eastAsia="ＭＳ 明朝" w:hAnsi="ＭＳ 明朝" w:cs="ＭＳ Ｐゴシック"/>
          <w:kern w:val="0"/>
          <w:szCs w:val="21"/>
          <w:lang w:val="en-US" w:eastAsia="ja-JP"/>
          <w14:ligatures w14:val="none"/>
        </w:rPr>
        <w:t>、家族や専門家によって代行されることが多々あ</w:t>
      </w:r>
      <w:r w:rsidR="00F602D3">
        <w:rPr>
          <w:rFonts w:ascii="ＭＳ 明朝" w:eastAsia="ＭＳ 明朝" w:hAnsi="ＭＳ 明朝" w:cs="ＭＳ Ｐゴシック" w:hint="eastAsia"/>
          <w:kern w:val="0"/>
          <w:szCs w:val="21"/>
          <w:lang w:val="en-US" w:eastAsia="ja-JP"/>
          <w14:ligatures w14:val="none"/>
        </w:rPr>
        <w:t>る</w:t>
      </w:r>
      <w:r w:rsidRPr="00E406C1">
        <w:rPr>
          <w:rFonts w:ascii="ＭＳ 明朝" w:eastAsia="ＭＳ 明朝" w:hAnsi="ＭＳ 明朝" w:cs="ＭＳ Ｐゴシック"/>
          <w:kern w:val="0"/>
          <w:szCs w:val="21"/>
          <w:lang w:val="en-US" w:eastAsia="ja-JP"/>
          <w14:ligatures w14:val="none"/>
        </w:rPr>
        <w:t>。これは、高齢者の法的能力およびインフォームド・コンセントに関する権利について懸念を引き起こす。</w:t>
      </w:r>
    </w:p>
    <w:p w14:paraId="63972016" w14:textId="077A4570" w:rsidR="00C96CB8" w:rsidRPr="00E406C1" w:rsidRDefault="00E406C1" w:rsidP="00C96CB8">
      <w:pPr>
        <w:widowControl/>
        <w:spacing w:before="100" w:beforeAutospacing="1" w:after="100" w:afterAutospacing="1"/>
        <w:ind w:leftChars="202" w:left="424"/>
        <w:jc w:val="left"/>
        <w:rPr>
          <w:rFonts w:ascii="ＭＳ 明朝" w:eastAsia="ＭＳ 明朝" w:hAnsi="ＭＳ 明朝" w:cs="ＭＳ Ｐゴシック" w:hint="eastAsia"/>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xml:space="preserve">• </w:t>
      </w:r>
      <w:r w:rsidRPr="00E406C1">
        <w:rPr>
          <w:rFonts w:ascii="ＭＳ 明朝" w:eastAsia="ＭＳ 明朝" w:hAnsi="ＭＳ 明朝" w:cs="ＭＳ Ｐゴシック"/>
          <w:b/>
          <w:bCs/>
          <w:kern w:val="0"/>
          <w:szCs w:val="21"/>
          <w:lang w:val="en-US" w:eastAsia="ja-JP"/>
          <w14:ligatures w14:val="none"/>
        </w:rPr>
        <w:t>虐待のない生活：</w:t>
      </w:r>
      <w:r w:rsidR="00C96CB8" w:rsidRPr="005237FB">
        <w:rPr>
          <w:rFonts w:ascii="ＭＳ 明朝" w:eastAsia="ＭＳ 明朝" w:hAnsi="ＭＳ 明朝" w:cs="ＭＳ Ｐゴシック" w:hint="eastAsia"/>
          <w:kern w:val="0"/>
          <w:szCs w:val="21"/>
          <w:lang w:val="en-US" w:eastAsia="ja-JP"/>
          <w14:ligatures w14:val="none"/>
        </w:rPr>
        <w:t>高齢者虐待、ネグレクト、そして暴力という根深い問題に対処す</w:t>
      </w:r>
      <w:r w:rsidR="00C96CB8" w:rsidRPr="00C96CB8">
        <w:rPr>
          <w:rFonts w:ascii="ＭＳ 明朝" w:eastAsia="ＭＳ 明朝" w:hAnsi="ＭＳ 明朝" w:cs="ＭＳ Ｐゴシック" w:hint="eastAsia"/>
          <w:kern w:val="0"/>
          <w:szCs w:val="21"/>
          <w:lang w:val="en-US" w:eastAsia="ja-JP"/>
          <w14:ligatures w14:val="none"/>
        </w:rPr>
        <w:t>るには、人権の枠組みが必要で</w:t>
      </w:r>
      <w:r w:rsidR="00C96CB8">
        <w:rPr>
          <w:rFonts w:ascii="ＭＳ 明朝" w:eastAsia="ＭＳ 明朝" w:hAnsi="ＭＳ 明朝" w:cs="ＭＳ Ｐゴシック" w:hint="eastAsia"/>
          <w:kern w:val="0"/>
          <w:szCs w:val="21"/>
          <w:lang w:val="en-US" w:eastAsia="ja-JP"/>
          <w14:ligatures w14:val="none"/>
        </w:rPr>
        <w:t>ある</w:t>
      </w:r>
      <w:r w:rsidR="00C96CB8" w:rsidRPr="00C96CB8">
        <w:rPr>
          <w:rFonts w:ascii="ＭＳ 明朝" w:eastAsia="ＭＳ 明朝" w:hAnsi="ＭＳ 明朝" w:cs="ＭＳ Ｐゴシック" w:hint="eastAsia"/>
          <w:kern w:val="0"/>
          <w:szCs w:val="21"/>
          <w:lang w:val="en-US" w:eastAsia="ja-JP"/>
          <w14:ligatures w14:val="none"/>
        </w:rPr>
        <w:t>。</w:t>
      </w:r>
      <w:r w:rsidR="005237FB">
        <w:rPr>
          <w:rFonts w:ascii="ＭＳ 明朝" w:eastAsia="ＭＳ 明朝" w:hAnsi="ＭＳ 明朝" w:cs="ＭＳ Ｐゴシック" w:hint="eastAsia"/>
          <w:kern w:val="0"/>
          <w:szCs w:val="21"/>
          <w:lang w:val="en-US" w:eastAsia="ja-JP"/>
          <w14:ligatures w14:val="none"/>
        </w:rPr>
        <w:t>こ</w:t>
      </w:r>
      <w:r w:rsidR="00C96CB8" w:rsidRPr="00C96CB8">
        <w:rPr>
          <w:rFonts w:ascii="ＭＳ 明朝" w:eastAsia="ＭＳ 明朝" w:hAnsi="ＭＳ 明朝" w:cs="ＭＳ Ｐゴシック" w:hint="eastAsia"/>
          <w:kern w:val="0"/>
          <w:szCs w:val="21"/>
          <w:lang w:val="en-US" w:eastAsia="ja-JP"/>
          <w14:ligatures w14:val="none"/>
        </w:rPr>
        <w:t>の枠組みにおいては、加齢しつつある</w:t>
      </w:r>
      <w:r w:rsidR="005237FB">
        <w:rPr>
          <w:rFonts w:ascii="ＭＳ 明朝" w:eastAsia="ＭＳ 明朝" w:hAnsi="ＭＳ 明朝" w:cs="ＭＳ Ｐゴシック" w:hint="eastAsia"/>
          <w:kern w:val="0"/>
          <w:szCs w:val="21"/>
          <w:lang w:val="en-US" w:eastAsia="ja-JP"/>
          <w14:ligatures w14:val="none"/>
        </w:rPr>
        <w:t>人々</w:t>
      </w:r>
      <w:r w:rsidR="00C96CB8" w:rsidRPr="00C96CB8">
        <w:rPr>
          <w:rFonts w:ascii="ＭＳ 明朝" w:eastAsia="ＭＳ 明朝" w:hAnsi="ＭＳ 明朝" w:cs="ＭＳ Ｐゴシック" w:hint="eastAsia"/>
          <w:kern w:val="0"/>
          <w:szCs w:val="21"/>
          <w:lang w:val="en-US" w:eastAsia="ja-JP"/>
          <w14:ligatures w14:val="none"/>
        </w:rPr>
        <w:t>、あるいは高齢に達した</w:t>
      </w:r>
      <w:r w:rsidR="005237FB">
        <w:rPr>
          <w:rFonts w:ascii="ＭＳ 明朝" w:eastAsia="ＭＳ 明朝" w:hAnsi="ＭＳ 明朝" w:cs="ＭＳ Ｐゴシック" w:hint="eastAsia"/>
          <w:kern w:val="0"/>
          <w:szCs w:val="21"/>
          <w:lang w:val="en-US" w:eastAsia="ja-JP"/>
          <w14:ligatures w14:val="none"/>
        </w:rPr>
        <w:t>人々を「</w:t>
      </w:r>
      <w:r w:rsidR="005237FB" w:rsidRPr="005237FB">
        <w:rPr>
          <w:rFonts w:ascii="ＭＳ 明朝" w:eastAsia="ＭＳ 明朝" w:hAnsi="ＭＳ 明朝" w:cs="ＭＳ Ｐゴシック" w:hint="eastAsia"/>
          <w:b/>
          <w:bCs/>
          <w:i/>
          <w:iCs/>
          <w:kern w:val="0"/>
          <w:szCs w:val="21"/>
          <w:lang w:val="en-US" w:eastAsia="ja-JP"/>
          <w14:ligatures w14:val="none"/>
        </w:rPr>
        <w:t>公的な人々</w:t>
      </w:r>
      <w:r w:rsidR="005237FB">
        <w:rPr>
          <w:rFonts w:ascii="ＭＳ 明朝" w:eastAsia="ＭＳ 明朝" w:hAnsi="ＭＳ 明朝" w:cs="ＭＳ Ｐゴシック" w:hint="eastAsia"/>
          <w:kern w:val="0"/>
          <w:szCs w:val="21"/>
          <w:lang w:val="en-US" w:eastAsia="ja-JP"/>
          <w14:ligatures w14:val="none"/>
        </w:rPr>
        <w:t>（パブリック）」、すなわち</w:t>
      </w:r>
      <w:r w:rsidR="00C96CB8" w:rsidRPr="00C96CB8">
        <w:rPr>
          <w:rFonts w:ascii="ＭＳ 明朝" w:eastAsia="ＭＳ 明朝" w:hAnsi="ＭＳ 明朝" w:cs="ＭＳ Ｐゴシック" w:hint="eastAsia"/>
          <w:kern w:val="0"/>
          <w:szCs w:val="21"/>
          <w:lang w:val="en-US" w:eastAsia="ja-JP"/>
          <w14:ligatures w14:val="none"/>
        </w:rPr>
        <w:t>、ウェルビーイングや人権がいまだ願望の域にとどまり、決して完全には実現されていない人々</w:t>
      </w:r>
      <w:r w:rsidR="005237FB">
        <w:rPr>
          <w:rFonts w:ascii="ＭＳ 明朝" w:eastAsia="ＭＳ 明朝" w:hAnsi="ＭＳ 明朝" w:cs="ＭＳ Ｐゴシック" w:hint="eastAsia"/>
          <w:kern w:val="0"/>
          <w:szCs w:val="21"/>
          <w:lang w:val="en-US" w:eastAsia="ja-JP"/>
          <w14:ligatures w14:val="none"/>
        </w:rPr>
        <w:t>と認識</w:t>
      </w:r>
      <w:r w:rsidR="007000A7">
        <w:rPr>
          <w:rFonts w:ascii="ＭＳ 明朝" w:eastAsia="ＭＳ 明朝" w:hAnsi="ＭＳ 明朝" w:cs="ＭＳ Ｐゴシック" w:hint="eastAsia"/>
          <w:kern w:val="0"/>
          <w:szCs w:val="21"/>
          <w:lang w:val="en-US" w:eastAsia="ja-JP"/>
          <w14:ligatures w14:val="none"/>
        </w:rPr>
        <w:t>する</w:t>
      </w:r>
      <w:r w:rsidR="005237FB">
        <w:rPr>
          <w:rFonts w:ascii="ＭＳ 明朝" w:eastAsia="ＭＳ 明朝" w:hAnsi="ＭＳ 明朝" w:cs="ＭＳ Ｐゴシック" w:hint="eastAsia"/>
          <w:kern w:val="0"/>
          <w:szCs w:val="21"/>
          <w:lang w:val="en-US" w:eastAsia="ja-JP"/>
          <w14:ligatures w14:val="none"/>
        </w:rPr>
        <w:t>。</w:t>
      </w:r>
      <w:r w:rsidR="00C96CB8" w:rsidRPr="00C96CB8">
        <w:rPr>
          <w:rFonts w:ascii="ＭＳ 明朝" w:eastAsia="ＭＳ 明朝" w:hAnsi="ＭＳ 明朝" w:cs="ＭＳ Ｐゴシック" w:hint="eastAsia"/>
          <w:kern w:val="0"/>
          <w:szCs w:val="21"/>
          <w:lang w:val="en-US" w:eastAsia="ja-JP"/>
          <w14:ligatures w14:val="none"/>
        </w:rPr>
        <w:t>人権アジェンダを根本から再構築するためには、あらゆる環境における苦痛を和らげるための、予防、</w:t>
      </w:r>
      <w:r w:rsidR="00C96CB8" w:rsidRPr="005237FB">
        <w:rPr>
          <w:rFonts w:ascii="ＭＳ 明朝" w:eastAsia="ＭＳ 明朝" w:hAnsi="ＭＳ 明朝" w:cs="ＭＳ Ｐゴシック" w:hint="eastAsia"/>
          <w:b/>
          <w:bCs/>
          <w:i/>
          <w:iCs/>
          <w:kern w:val="0"/>
          <w:szCs w:val="21"/>
          <w:lang w:val="en-US" w:eastAsia="ja-JP"/>
          <w14:ligatures w14:val="none"/>
        </w:rPr>
        <w:t>緩和および救済の戦略</w:t>
      </w:r>
      <w:r w:rsidR="00C96CB8" w:rsidRPr="00C96CB8">
        <w:rPr>
          <w:rFonts w:ascii="ＭＳ 明朝" w:eastAsia="ＭＳ 明朝" w:hAnsi="ＭＳ 明朝" w:cs="ＭＳ Ｐゴシック" w:hint="eastAsia"/>
          <w:kern w:val="0"/>
          <w:szCs w:val="21"/>
          <w:lang w:val="en-US" w:eastAsia="ja-JP"/>
          <w14:ligatures w14:val="none"/>
        </w:rPr>
        <w:t>が求められてい</w:t>
      </w:r>
      <w:r w:rsidR="007000A7">
        <w:rPr>
          <w:rFonts w:ascii="ＭＳ 明朝" w:eastAsia="ＭＳ 明朝" w:hAnsi="ＭＳ 明朝" w:cs="ＭＳ Ｐゴシック" w:hint="eastAsia"/>
          <w:kern w:val="0"/>
          <w:szCs w:val="21"/>
          <w:lang w:val="en-US" w:eastAsia="ja-JP"/>
          <w14:ligatures w14:val="none"/>
        </w:rPr>
        <w:t>る</w:t>
      </w:r>
      <w:r w:rsidR="00C96CB8" w:rsidRPr="00C96CB8">
        <w:rPr>
          <w:rFonts w:ascii="ＭＳ 明朝" w:eastAsia="ＭＳ 明朝" w:hAnsi="ＭＳ 明朝" w:cs="ＭＳ Ｐゴシック" w:hint="eastAsia"/>
          <w:kern w:val="0"/>
          <w:szCs w:val="21"/>
          <w:lang w:val="en-US" w:eastAsia="ja-JP"/>
          <w14:ligatures w14:val="none"/>
        </w:rPr>
        <w:t>。</w:t>
      </w:r>
    </w:p>
    <w:p w14:paraId="09A5FD8A" w14:textId="58A57F9F" w:rsidR="00E406C1" w:rsidRPr="00E406C1" w:rsidRDefault="00E406C1" w:rsidP="00E406C1">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xml:space="preserve">• </w:t>
      </w:r>
      <w:r w:rsidRPr="00E406C1">
        <w:rPr>
          <w:rFonts w:ascii="ＭＳ 明朝" w:eastAsia="ＭＳ 明朝" w:hAnsi="ＭＳ 明朝" w:cs="ＭＳ Ｐゴシック"/>
          <w:b/>
          <w:bCs/>
          <w:kern w:val="0"/>
          <w:szCs w:val="21"/>
          <w:lang w:val="en-US" w:eastAsia="ja-JP"/>
          <w14:ligatures w14:val="none"/>
        </w:rPr>
        <w:t>参加</w:t>
      </w:r>
      <w:r w:rsidRPr="00E406C1">
        <w:rPr>
          <w:rFonts w:ascii="ＭＳ 明朝" w:eastAsia="ＭＳ 明朝" w:hAnsi="ＭＳ 明朝" w:cs="ＭＳ Ｐゴシック"/>
          <w:kern w:val="0"/>
          <w:szCs w:val="21"/>
          <w:lang w:val="en-US" w:eastAsia="ja-JP"/>
          <w14:ligatures w14:val="none"/>
        </w:rPr>
        <w:t>：</w:t>
      </w:r>
      <w:r w:rsidR="00F602D3">
        <w:rPr>
          <w:rFonts w:ascii="ＭＳ 明朝" w:eastAsia="ＭＳ 明朝" w:hAnsi="ＭＳ 明朝" w:cs="ＭＳ Ｐゴシック" w:hint="eastAsia"/>
          <w:kern w:val="0"/>
          <w:szCs w:val="21"/>
          <w:lang w:val="en-US" w:eastAsia="ja-JP"/>
          <w14:ligatures w14:val="none"/>
        </w:rPr>
        <w:t>ケア</w:t>
      </w:r>
      <w:r w:rsidRPr="00E406C1">
        <w:rPr>
          <w:rFonts w:ascii="ＭＳ 明朝" w:eastAsia="ＭＳ 明朝" w:hAnsi="ＭＳ 明朝" w:cs="ＭＳ Ｐゴシック"/>
          <w:kern w:val="0"/>
          <w:szCs w:val="21"/>
          <w:lang w:val="en-US" w:eastAsia="ja-JP"/>
          <w14:ligatures w14:val="none"/>
        </w:rPr>
        <w:t>、施設入所、または地域密着型サービスに関する決定は、参加型の人権基準に反して、高齢者本人との有意義な協議なしに行われることが多々ある。</w:t>
      </w:r>
    </w:p>
    <w:p w14:paraId="3FFC479D" w14:textId="13024C1A"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既存の条約は名目上これらの分野をカバーしているものの、高齢期への</w:t>
      </w:r>
      <w:r w:rsidR="001416E8">
        <w:rPr>
          <w:rFonts w:ascii="ＭＳ 明朝" w:eastAsia="ＭＳ 明朝" w:hAnsi="ＭＳ 明朝" w:cs="ＭＳ Ｐゴシック" w:hint="eastAsia"/>
          <w:kern w:val="0"/>
          <w:szCs w:val="21"/>
          <w:lang w:val="en-US" w:eastAsia="ja-JP"/>
          <w14:ligatures w14:val="none"/>
        </w:rPr>
        <w:t>明確</w:t>
      </w:r>
      <w:r w:rsidRPr="00E406C1">
        <w:rPr>
          <w:rFonts w:ascii="ＭＳ 明朝" w:eastAsia="ＭＳ 明朝" w:hAnsi="ＭＳ 明朝" w:cs="ＭＳ Ｐゴシック"/>
          <w:kern w:val="0"/>
          <w:szCs w:val="21"/>
          <w:lang w:val="en-US" w:eastAsia="ja-JP"/>
          <w14:ligatures w14:val="none"/>
        </w:rPr>
        <w:t>な言及がないため、実施上のギャップや解釈の不統一が生じている。したがって、新たなLBIは、</w:t>
      </w:r>
      <w:r w:rsidRPr="00E406C1">
        <w:rPr>
          <w:rFonts w:ascii="ＭＳ 明朝" w:eastAsia="ＭＳ 明朝" w:hAnsi="ＭＳ 明朝" w:cs="ＭＳ Ｐゴシック"/>
          <w:kern w:val="0"/>
          <w:szCs w:val="21"/>
          <w:lang w:val="en-US" w:eastAsia="ja-JP"/>
          <w14:ligatures w14:val="none"/>
        </w:rPr>
        <w:lastRenderedPageBreak/>
        <w:t>既存の人権を再確認するとともに、高齢者に特有の影響を及ぼす状況においてそれらがどのように適用されるかを明確にするべきである。これには、多重の不利益、差別、抑圧を経験している、あるいはそのリスクにさらされている特定のグループへの言及と関連性が含まれるべきである。</w:t>
      </w:r>
    </w:p>
    <w:p w14:paraId="4C541984" w14:textId="0085B45D"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高齢者は、自身に直接影響を及ぼすあらゆる問題に参加</w:t>
      </w:r>
      <w:r w:rsidR="007000A7">
        <w:rPr>
          <w:rFonts w:ascii="ＭＳ 明朝" w:eastAsia="ＭＳ 明朝" w:hAnsi="ＭＳ 明朝" w:cs="ＭＳ Ｐゴシック" w:hint="eastAsia"/>
          <w:kern w:val="0"/>
          <w:szCs w:val="21"/>
          <w:lang w:val="en-US" w:eastAsia="ja-JP"/>
          <w14:ligatures w14:val="none"/>
        </w:rPr>
        <w:t>でき</w:t>
      </w:r>
      <w:r w:rsidRPr="00E406C1">
        <w:rPr>
          <w:rFonts w:ascii="ＭＳ 明朝" w:eastAsia="ＭＳ 明朝" w:hAnsi="ＭＳ 明朝" w:cs="ＭＳ Ｐゴシック"/>
          <w:kern w:val="0"/>
          <w:szCs w:val="21"/>
          <w:lang w:val="en-US" w:eastAsia="ja-JP"/>
          <w14:ligatures w14:val="none"/>
        </w:rPr>
        <w:t>なければならない一方で、その参加はそうした問題のみに限定されるべきではなく、地域社会、国、地域、あるいは世界全体に影響を及ぼすより広範な問題にも参加する権利を有することを強調することが重要である。</w:t>
      </w:r>
    </w:p>
    <w:p w14:paraId="5163C1BB" w14:textId="70442C4F" w:rsidR="00E406C1" w:rsidRPr="00E406C1" w:rsidRDefault="00355170" w:rsidP="00E406C1">
      <w:pPr>
        <w:widowControl/>
        <w:spacing w:before="100" w:beforeAutospacing="1" w:after="100" w:afterAutospacing="1"/>
        <w:jc w:val="left"/>
        <w:outlineLvl w:val="0"/>
        <w:rPr>
          <w:rFonts w:ascii="BIZ UDゴシック" w:eastAsia="BIZ UDゴシック" w:hAnsi="BIZ UDゴシック" w:cs="ＭＳ Ｐゴシック"/>
          <w:b/>
          <w:bCs/>
          <w:kern w:val="36"/>
          <w:szCs w:val="21"/>
          <w:lang w:val="en-US" w:eastAsia="ja-JP"/>
          <w14:ligatures w14:val="none"/>
        </w:rPr>
      </w:pPr>
      <w:r>
        <w:rPr>
          <w:rFonts w:ascii="BIZ UDゴシック" w:eastAsia="BIZ UDゴシック" w:hAnsi="BIZ UDゴシック" w:cs="ＭＳ Ｐゴシック" w:hint="eastAsia"/>
          <w:b/>
          <w:bCs/>
          <w:kern w:val="36"/>
          <w:szCs w:val="21"/>
          <w:lang w:val="en-US" w:eastAsia="ja-JP"/>
          <w14:ligatures w14:val="none"/>
        </w:rPr>
        <w:t>３</w:t>
      </w:r>
      <w:r w:rsidR="00E406C1" w:rsidRPr="00E406C1">
        <w:rPr>
          <w:rFonts w:ascii="BIZ UDゴシック" w:eastAsia="BIZ UDゴシック" w:hAnsi="BIZ UDゴシック" w:cs="ＭＳ Ｐゴシック"/>
          <w:b/>
          <w:bCs/>
          <w:kern w:val="36"/>
          <w:szCs w:val="21"/>
          <w:lang w:val="en-US" w:eastAsia="ja-JP"/>
          <w14:ligatures w14:val="none"/>
        </w:rPr>
        <w:t>. 法的拘束力のある文書の構造と枠組み</w:t>
      </w:r>
    </w:p>
    <w:p w14:paraId="7B0C0888" w14:textId="07AA74B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法的</w:t>
      </w:r>
      <w:r w:rsidR="001416E8">
        <w:rPr>
          <w:rFonts w:ascii="ＭＳ 明朝" w:eastAsia="ＭＳ 明朝" w:hAnsi="ＭＳ 明朝" w:cs="ＭＳ Ｐゴシック" w:hint="eastAsia"/>
          <w:kern w:val="0"/>
          <w:szCs w:val="21"/>
          <w:lang w:val="en-US" w:eastAsia="ja-JP"/>
          <w14:ligatures w14:val="none"/>
        </w:rPr>
        <w:t>確実性と</w:t>
      </w:r>
      <w:r w:rsidRPr="00E406C1">
        <w:rPr>
          <w:rFonts w:ascii="ＭＳ 明朝" w:eastAsia="ＭＳ 明朝" w:hAnsi="ＭＳ 明朝" w:cs="ＭＳ Ｐゴシック"/>
          <w:kern w:val="0"/>
          <w:szCs w:val="21"/>
          <w:lang w:val="en-US" w:eastAsia="ja-JP"/>
          <w14:ligatures w14:val="none"/>
        </w:rPr>
        <w:t>実質的な効果を</w:t>
      </w:r>
      <w:r w:rsidR="001416E8">
        <w:rPr>
          <w:rFonts w:ascii="ＭＳ 明朝" w:eastAsia="ＭＳ 明朝" w:hAnsi="ＭＳ 明朝" w:cs="ＭＳ Ｐゴシック" w:hint="eastAsia"/>
          <w:kern w:val="0"/>
          <w:szCs w:val="21"/>
          <w:lang w:val="en-US" w:eastAsia="ja-JP"/>
          <w14:ligatures w14:val="none"/>
        </w:rPr>
        <w:t>ともに</w:t>
      </w:r>
      <w:r w:rsidRPr="00E406C1">
        <w:rPr>
          <w:rFonts w:ascii="ＭＳ 明朝" w:eastAsia="ＭＳ 明朝" w:hAnsi="ＭＳ 明朝" w:cs="ＭＳ Ｐゴシック"/>
          <w:kern w:val="0"/>
          <w:szCs w:val="21"/>
          <w:lang w:val="en-US" w:eastAsia="ja-JP"/>
          <w14:ligatures w14:val="none"/>
        </w:rPr>
        <w:t>確保するためには、明確かつ首尾一貫した条約の構造と枠組みが不可欠である。この文書は、他の国連人権条約と整合性のある枠組みに従うべきである。法的拘束力のある文書（LBI）は、</w:t>
      </w:r>
      <w:r w:rsidR="001416E8">
        <w:rPr>
          <w:rFonts w:ascii="ＭＳ 明朝" w:eastAsia="ＭＳ 明朝" w:hAnsi="ＭＳ 明朝" w:cs="ＭＳ Ｐゴシック" w:hint="eastAsia"/>
          <w:kern w:val="0"/>
          <w:szCs w:val="21"/>
          <w:lang w:val="en-US" w:eastAsia="ja-JP"/>
          <w14:ligatures w14:val="none"/>
        </w:rPr>
        <w:t>分かり</w:t>
      </w:r>
      <w:r w:rsidRPr="00E406C1">
        <w:rPr>
          <w:rFonts w:ascii="ＭＳ 明朝" w:eastAsia="ＭＳ 明朝" w:hAnsi="ＭＳ 明朝" w:cs="ＭＳ Ｐゴシック"/>
          <w:kern w:val="0"/>
          <w:szCs w:val="21"/>
          <w:lang w:val="en-US" w:eastAsia="ja-JP"/>
          <w14:ligatures w14:val="none"/>
        </w:rPr>
        <w:t>すい版</w:t>
      </w:r>
      <w:r w:rsidR="001416E8">
        <w:rPr>
          <w:rFonts w:ascii="ＭＳ 明朝" w:eastAsia="ＭＳ 明朝" w:hAnsi="ＭＳ 明朝" w:cs="ＭＳ Ｐゴシック" w:hint="eastAsia"/>
          <w:kern w:val="0"/>
          <w:szCs w:val="21"/>
          <w:lang w:val="en-US" w:eastAsia="ja-JP"/>
          <w14:ligatures w14:val="none"/>
        </w:rPr>
        <w:t>（</w:t>
      </w:r>
      <w:r w:rsidR="001416E8" w:rsidRPr="001416E8">
        <w:rPr>
          <w:rFonts w:ascii="ＭＳ 明朝" w:eastAsia="ＭＳ 明朝" w:hAnsi="ＭＳ 明朝" w:cs="ＭＳ Ｐゴシック"/>
          <w:kern w:val="0"/>
          <w:szCs w:val="21"/>
          <w:lang w:val="en-US" w:eastAsia="ja-JP"/>
          <w14:ligatures w14:val="none"/>
        </w:rPr>
        <w:t>easy-to-read version</w:t>
      </w:r>
      <w:r w:rsidR="001416E8">
        <w:rPr>
          <w:rFonts w:ascii="ＭＳ 明朝" w:eastAsia="ＭＳ 明朝" w:hAnsi="ＭＳ 明朝" w:cs="ＭＳ Ｐゴシック" w:hint="eastAsia"/>
          <w:kern w:val="0"/>
          <w:szCs w:val="21"/>
          <w:lang w:val="en-US" w:eastAsia="ja-JP"/>
          <w14:ligatures w14:val="none"/>
        </w:rPr>
        <w:t>）</w:t>
      </w:r>
      <w:r w:rsidRPr="00E406C1">
        <w:rPr>
          <w:rFonts w:ascii="ＭＳ 明朝" w:eastAsia="ＭＳ 明朝" w:hAnsi="ＭＳ 明朝" w:cs="ＭＳ Ｐゴシック"/>
          <w:kern w:val="0"/>
          <w:szCs w:val="21"/>
          <w:lang w:val="en-US" w:eastAsia="ja-JP"/>
          <w14:ligatures w14:val="none"/>
        </w:rPr>
        <w:t>を含む、アクセシブルな形式で提供されるべきである。</w:t>
      </w:r>
    </w:p>
    <w:p w14:paraId="17B0554D" w14:textId="77777777" w:rsidR="00E406C1" w:rsidRPr="00E406C1" w:rsidRDefault="00E406C1" w:rsidP="00E406C1">
      <w:pPr>
        <w:widowControl/>
        <w:spacing w:before="100" w:beforeAutospacing="1" w:after="100" w:afterAutospacing="1"/>
        <w:jc w:val="left"/>
        <w:outlineLvl w:val="1"/>
        <w:rPr>
          <w:rFonts w:ascii="ＭＳ 明朝" w:eastAsia="ＭＳ 明朝" w:hAnsi="ＭＳ 明朝" w:cs="ＭＳ Ｐゴシック"/>
          <w:b/>
          <w:bCs/>
          <w:kern w:val="0"/>
          <w:szCs w:val="21"/>
          <w:lang w:val="en-US" w:eastAsia="ja-JP"/>
          <w14:ligatures w14:val="none"/>
        </w:rPr>
      </w:pPr>
      <w:r w:rsidRPr="00E406C1">
        <w:rPr>
          <w:rFonts w:ascii="ＭＳ 明朝" w:eastAsia="ＭＳ 明朝" w:hAnsi="ＭＳ 明朝" w:cs="ＭＳ Ｐゴシック"/>
          <w:b/>
          <w:bCs/>
          <w:kern w:val="0"/>
          <w:szCs w:val="21"/>
          <w:lang w:val="en-US" w:eastAsia="ja-JP"/>
          <w14:ligatures w14:val="none"/>
        </w:rPr>
        <w:t>前文</w:t>
      </w:r>
    </w:p>
    <w:p w14:paraId="62C5233E" w14:textId="73DFAFCE"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前文</w:t>
      </w:r>
      <w:r w:rsidR="007000A7">
        <w:rPr>
          <w:rFonts w:ascii="ＭＳ 明朝" w:eastAsia="ＭＳ 明朝" w:hAnsi="ＭＳ 明朝" w:cs="ＭＳ Ｐゴシック" w:hint="eastAsia"/>
          <w:kern w:val="0"/>
          <w:szCs w:val="21"/>
          <w:lang w:val="en-US" w:eastAsia="ja-JP"/>
          <w14:ligatures w14:val="none"/>
        </w:rPr>
        <w:t>で</w:t>
      </w:r>
      <w:r w:rsidRPr="00E406C1">
        <w:rPr>
          <w:rFonts w:ascii="ＭＳ 明朝" w:eastAsia="ＭＳ 明朝" w:hAnsi="ＭＳ 明朝" w:cs="ＭＳ Ｐゴシック"/>
          <w:kern w:val="0"/>
          <w:szCs w:val="21"/>
          <w:lang w:val="en-US" w:eastAsia="ja-JP"/>
          <w14:ligatures w14:val="none"/>
        </w:rPr>
        <w:t>は、根強いエイジズムや年齢に基づく差別、人口の高齢化と長寿化、そして社会における高齢者の主体性と貢献を認識すべきである。これにより、高齢者は一律に依存的であり、保護や保護メカニズムのみを必要とし、非生産的であるといった、差別的慣行の根底にある固定観念に対処することが可能となる。</w:t>
      </w:r>
    </w:p>
    <w:p w14:paraId="3FE5EB2C"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目的および適用範囲</w:t>
      </w:r>
    </w:p>
    <w:p w14:paraId="727BD52B" w14:textId="47749A51"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高齢者権利条約の目的は、あらゆる多様性</w:t>
      </w:r>
      <w:r w:rsidR="001416E8">
        <w:rPr>
          <w:rFonts w:ascii="ＭＳ 明朝" w:eastAsia="ＭＳ 明朝" w:hAnsi="ＭＳ 明朝" w:cs="ＭＳ Ｐゴシック" w:hint="eastAsia"/>
          <w:kern w:val="0"/>
          <w:szCs w:val="21"/>
          <w:lang w:val="en-US" w:eastAsia="ja-JP"/>
          <w14:ligatures w14:val="none"/>
        </w:rPr>
        <w:t>のある</w:t>
      </w:r>
      <w:r w:rsidRPr="00E406C1">
        <w:rPr>
          <w:rFonts w:ascii="ＭＳ 明朝" w:eastAsia="ＭＳ 明朝" w:hAnsi="ＭＳ 明朝" w:cs="ＭＳ Ｐゴシック"/>
          <w:kern w:val="0"/>
          <w:szCs w:val="21"/>
          <w:lang w:val="en-US" w:eastAsia="ja-JP"/>
          <w14:ligatures w14:val="none"/>
        </w:rPr>
        <w:t>すべての高齢者が、すべての人権および基本的自由を完全かつ平等に享受できるよう、これを促進、保護、および確保することである。</w:t>
      </w:r>
    </w:p>
    <w:p w14:paraId="13ADB8D4"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定義</w:t>
      </w:r>
    </w:p>
    <w:p w14:paraId="0A984734" w14:textId="77777777"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明確な定義（「高齢者」および「エイジズム」を含む）を設けることで、曖昧さを減らし、保護が特定の状況にのみ適用され、多くの高齢者を必要な保護から排除してしまうような、制限的な国内解釈を防ぐことができる。</w:t>
      </w:r>
    </w:p>
    <w:p w14:paraId="0EF0537C"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一般原則</w:t>
      </w:r>
    </w:p>
    <w:p w14:paraId="34BF7B5D" w14:textId="096C88C8"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以下を含む：平等と</w:t>
      </w:r>
      <w:r w:rsidR="001416E8">
        <w:rPr>
          <w:rFonts w:ascii="ＭＳ 明朝" w:eastAsia="ＭＳ 明朝" w:hAnsi="ＭＳ 明朝" w:cs="ＭＳ Ｐゴシック" w:hint="eastAsia"/>
          <w:kern w:val="0"/>
          <w:szCs w:val="21"/>
          <w:lang w:val="en-US" w:eastAsia="ja-JP"/>
          <w14:ligatures w14:val="none"/>
        </w:rPr>
        <w:t>無</w:t>
      </w:r>
      <w:r w:rsidRPr="00E406C1">
        <w:rPr>
          <w:rFonts w:ascii="ＭＳ 明朝" w:eastAsia="ＭＳ 明朝" w:hAnsi="ＭＳ 明朝" w:cs="ＭＳ Ｐゴシック"/>
          <w:kern w:val="0"/>
          <w:szCs w:val="21"/>
          <w:lang w:val="en-US" w:eastAsia="ja-JP"/>
          <w14:ligatures w14:val="none"/>
        </w:rPr>
        <w:t>差別；自律と</w:t>
      </w:r>
      <w:r w:rsidR="001416E8">
        <w:rPr>
          <w:rFonts w:ascii="ＭＳ 明朝" w:eastAsia="ＭＳ 明朝" w:hAnsi="ＭＳ 明朝" w:cs="ＭＳ Ｐゴシック" w:hint="eastAsia"/>
          <w:kern w:val="0"/>
          <w:szCs w:val="21"/>
          <w:lang w:val="en-US" w:eastAsia="ja-JP"/>
          <w14:ligatures w14:val="none"/>
        </w:rPr>
        <w:t>独</w:t>
      </w:r>
      <w:r w:rsidRPr="00E406C1">
        <w:rPr>
          <w:rFonts w:ascii="ＭＳ 明朝" w:eastAsia="ＭＳ 明朝" w:hAnsi="ＭＳ 明朝" w:cs="ＭＳ Ｐゴシック"/>
          <w:kern w:val="0"/>
          <w:szCs w:val="21"/>
          <w:lang w:val="en-US" w:eastAsia="ja-JP"/>
          <w14:ligatures w14:val="none"/>
        </w:rPr>
        <w:t>立；高齢者の完全かつ有意義な参加と関与</w:t>
      </w:r>
      <w:r w:rsidRPr="00E406C1">
        <w:rPr>
          <w:rFonts w:ascii="ＭＳ 明朝" w:eastAsia="ＭＳ 明朝" w:hAnsi="ＭＳ 明朝" w:cs="ＭＳ Ｐゴシック"/>
          <w:b/>
          <w:bCs/>
          <w:kern w:val="0"/>
          <w:szCs w:val="21"/>
          <w:lang w:val="en-US" w:eastAsia="ja-JP"/>
          <w14:ligatures w14:val="none"/>
        </w:rPr>
        <w:t>；</w:t>
      </w:r>
      <w:r w:rsidRPr="00E406C1">
        <w:rPr>
          <w:rFonts w:ascii="ＭＳ 明朝" w:eastAsia="ＭＳ 明朝" w:hAnsi="ＭＳ 明朝" w:cs="ＭＳ Ｐゴシック"/>
          <w:kern w:val="0"/>
          <w:szCs w:val="21"/>
          <w:lang w:val="en-US" w:eastAsia="ja-JP"/>
          <w14:ligatures w14:val="none"/>
        </w:rPr>
        <w:t>多様性、固有の尊厳、および包摂の尊重</w:t>
      </w:r>
      <w:r w:rsidRPr="00E406C1">
        <w:rPr>
          <w:rFonts w:ascii="ＭＳ 明朝" w:eastAsia="ＭＳ 明朝" w:hAnsi="ＭＳ 明朝" w:cs="ＭＳ Ｐゴシック"/>
          <w:b/>
          <w:bCs/>
          <w:kern w:val="0"/>
          <w:szCs w:val="21"/>
          <w:lang w:val="en-US" w:eastAsia="ja-JP"/>
          <w14:ligatures w14:val="none"/>
        </w:rPr>
        <w:t>；</w:t>
      </w:r>
      <w:r w:rsidRPr="00E406C1">
        <w:rPr>
          <w:rFonts w:ascii="ＭＳ 明朝" w:eastAsia="ＭＳ 明朝" w:hAnsi="ＭＳ 明朝" w:cs="ＭＳ Ｐゴシック"/>
          <w:kern w:val="0"/>
          <w:szCs w:val="21"/>
          <w:lang w:val="en-US" w:eastAsia="ja-JP"/>
          <w14:ligatures w14:val="none"/>
        </w:rPr>
        <w:t>ジェンダー平等；交差性；アクセシビリティ</w:t>
      </w:r>
      <w:r w:rsidRPr="00E406C1">
        <w:rPr>
          <w:rFonts w:ascii="ＭＳ 明朝" w:eastAsia="ＭＳ 明朝" w:hAnsi="ＭＳ 明朝" w:cs="ＭＳ Ｐゴシック"/>
          <w:b/>
          <w:bCs/>
          <w:kern w:val="0"/>
          <w:szCs w:val="21"/>
          <w:lang w:val="en-US" w:eastAsia="ja-JP"/>
          <w14:ligatures w14:val="none"/>
        </w:rPr>
        <w:t>；</w:t>
      </w:r>
      <w:r w:rsidRPr="00E406C1">
        <w:rPr>
          <w:rFonts w:ascii="ＭＳ 明朝" w:eastAsia="ＭＳ 明朝" w:hAnsi="ＭＳ 明朝" w:cs="ＭＳ Ｐゴシック"/>
          <w:kern w:val="0"/>
          <w:szCs w:val="21"/>
          <w:lang w:val="en-US" w:eastAsia="ja-JP"/>
          <w14:ligatures w14:val="none"/>
        </w:rPr>
        <w:t>既存の人権基準との整合性</w:t>
      </w:r>
      <w:r w:rsidRPr="00E406C1">
        <w:rPr>
          <w:rFonts w:ascii="ＭＳ 明朝" w:eastAsia="ＭＳ 明朝" w:hAnsi="ＭＳ 明朝" w:cs="ＭＳ Ｐゴシック"/>
          <w:b/>
          <w:bCs/>
          <w:kern w:val="0"/>
          <w:szCs w:val="21"/>
          <w:lang w:val="en-US" w:eastAsia="ja-JP"/>
          <w14:ligatures w14:val="none"/>
        </w:rPr>
        <w:t>；</w:t>
      </w:r>
      <w:r w:rsidR="001416E8" w:rsidRPr="001416E8">
        <w:rPr>
          <w:rFonts w:ascii="ＭＳ 明朝" w:eastAsia="ＭＳ 明朝" w:hAnsi="ＭＳ 明朝" w:cs="ＭＳ Ｐゴシック" w:hint="eastAsia"/>
          <w:kern w:val="0"/>
          <w:szCs w:val="21"/>
          <w:lang w:val="en-US" w:eastAsia="ja-JP"/>
          <w14:ligatures w14:val="none"/>
        </w:rPr>
        <w:t>分類された</w:t>
      </w:r>
      <w:r w:rsidRPr="00E406C1">
        <w:rPr>
          <w:rFonts w:ascii="ＭＳ 明朝" w:eastAsia="ＭＳ 明朝" w:hAnsi="ＭＳ 明朝" w:cs="ＭＳ Ｐゴシック"/>
          <w:kern w:val="0"/>
          <w:szCs w:val="21"/>
          <w:lang w:val="en-US" w:eastAsia="ja-JP"/>
          <w14:ligatures w14:val="none"/>
        </w:rPr>
        <w:t>データ</w:t>
      </w:r>
      <w:r w:rsidR="001416E8">
        <w:rPr>
          <w:rFonts w:ascii="ＭＳ 明朝" w:eastAsia="ＭＳ 明朝" w:hAnsi="ＭＳ 明朝" w:cs="ＭＳ Ｐゴシック" w:hint="eastAsia"/>
          <w:kern w:val="0"/>
          <w:szCs w:val="21"/>
          <w:lang w:val="en-US" w:eastAsia="ja-JP"/>
          <w14:ligatures w14:val="none"/>
        </w:rPr>
        <w:t>の</w:t>
      </w:r>
      <w:r w:rsidRPr="00E406C1">
        <w:rPr>
          <w:rFonts w:ascii="ＭＳ 明朝" w:eastAsia="ＭＳ 明朝" w:hAnsi="ＭＳ 明朝" w:cs="ＭＳ Ｐゴシック"/>
          <w:kern w:val="0"/>
          <w:szCs w:val="21"/>
          <w:lang w:val="en-US" w:eastAsia="ja-JP"/>
          <w14:ligatures w14:val="none"/>
        </w:rPr>
        <w:t>収集と説明責任。</w:t>
      </w:r>
    </w:p>
    <w:p w14:paraId="30EC64EB"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一般的義務</w:t>
      </w:r>
    </w:p>
    <w:p w14:paraId="77E865CE" w14:textId="3FE69E05"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一般的義務</w:t>
      </w:r>
      <w:r w:rsidR="001416E8">
        <w:rPr>
          <w:rFonts w:ascii="ＭＳ 明朝" w:eastAsia="ＭＳ 明朝" w:hAnsi="ＭＳ 明朝" w:cs="ＭＳ Ｐゴシック" w:hint="eastAsia"/>
          <w:kern w:val="0"/>
          <w:szCs w:val="21"/>
          <w:lang w:val="en-US" w:eastAsia="ja-JP"/>
          <w14:ligatures w14:val="none"/>
        </w:rPr>
        <w:t>で</w:t>
      </w:r>
      <w:r w:rsidRPr="00E406C1">
        <w:rPr>
          <w:rFonts w:ascii="ＭＳ 明朝" w:eastAsia="ＭＳ 明朝" w:hAnsi="ＭＳ 明朝" w:cs="ＭＳ Ｐゴシック"/>
          <w:kern w:val="0"/>
          <w:szCs w:val="21"/>
          <w:lang w:val="en-US" w:eastAsia="ja-JP"/>
          <w14:ligatures w14:val="none"/>
        </w:rPr>
        <w:t>は、高齢者を直接的または間接的に差別する法律、政策、慣行を、各国が検討し改正することを求めるべきである。</w:t>
      </w:r>
    </w:p>
    <w:p w14:paraId="29969942"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lastRenderedPageBreak/>
        <w:t>実質的人権</w:t>
      </w:r>
    </w:p>
    <w:p w14:paraId="1182318D" w14:textId="2B994E78" w:rsidR="00E406C1" w:rsidRPr="00E406C1" w:rsidRDefault="00E406C1" w:rsidP="00E406C1">
      <w:pPr>
        <w:widowControl/>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高齢期における権利の実現に</w:t>
      </w:r>
      <w:r w:rsidR="001416E8">
        <w:rPr>
          <w:rFonts w:ascii="ＭＳ 明朝" w:eastAsia="ＭＳ 明朝" w:hAnsi="ＭＳ 明朝" w:cs="ＭＳ Ｐゴシック" w:hint="eastAsia"/>
          <w:kern w:val="0"/>
          <w:szCs w:val="21"/>
          <w:lang w:val="en-US" w:eastAsia="ja-JP"/>
          <w14:ligatures w14:val="none"/>
        </w:rPr>
        <w:t>明確</w:t>
      </w:r>
      <w:r w:rsidRPr="00E406C1">
        <w:rPr>
          <w:rFonts w:ascii="ＭＳ 明朝" w:eastAsia="ＭＳ 明朝" w:hAnsi="ＭＳ 明朝" w:cs="ＭＳ Ｐゴシック"/>
          <w:kern w:val="0"/>
          <w:szCs w:val="21"/>
          <w:lang w:val="en-US" w:eastAsia="ja-JP"/>
          <w14:ligatures w14:val="none"/>
        </w:rPr>
        <w:t>に言及することに加え、具体的な人権規定は、以下のような、</w:t>
      </w:r>
      <w:r w:rsidR="001416E8">
        <w:rPr>
          <w:rFonts w:ascii="ＭＳ 明朝" w:eastAsia="ＭＳ 明朝" w:hAnsi="ＭＳ 明朝" w:cs="ＭＳ Ｐゴシック" w:hint="eastAsia"/>
          <w:kern w:val="0"/>
          <w:szCs w:val="21"/>
          <w:lang w:val="en-US" w:eastAsia="ja-JP"/>
          <w14:ligatures w14:val="none"/>
        </w:rPr>
        <w:t>欠落</w:t>
      </w:r>
      <w:r w:rsidRPr="00E406C1">
        <w:rPr>
          <w:rFonts w:ascii="ＭＳ 明朝" w:eastAsia="ＭＳ 明朝" w:hAnsi="ＭＳ 明朝" w:cs="ＭＳ Ｐゴシック"/>
          <w:kern w:val="0"/>
          <w:szCs w:val="21"/>
          <w:lang w:val="en-US" w:eastAsia="ja-JP"/>
          <w14:ligatures w14:val="none"/>
        </w:rPr>
        <w:t>が十分に立証されている分野における国家の義務を明確にするべきである：</w:t>
      </w:r>
    </w:p>
    <w:p w14:paraId="4AB3A705" w14:textId="68E87A5D"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地域社会および施設において、暴力、虐待、ネグレクト</w:t>
      </w:r>
      <w:r w:rsidR="001416E8">
        <w:rPr>
          <w:rFonts w:ascii="ＭＳ 明朝" w:eastAsia="ＭＳ 明朝" w:hAnsi="ＭＳ 明朝" w:cs="ＭＳ Ｐゴシック" w:hint="eastAsia"/>
          <w:kern w:val="0"/>
          <w:szCs w:val="21"/>
          <w:lang w:val="en-US" w:eastAsia="ja-JP"/>
          <w14:ligatures w14:val="none"/>
        </w:rPr>
        <w:t>のない</w:t>
      </w:r>
      <w:r w:rsidRPr="00E406C1">
        <w:rPr>
          <w:rFonts w:ascii="ＭＳ 明朝" w:eastAsia="ＭＳ 明朝" w:hAnsi="ＭＳ 明朝" w:cs="ＭＳ Ｐゴシック"/>
          <w:kern w:val="0"/>
          <w:szCs w:val="21"/>
          <w:lang w:val="en-US" w:eastAsia="ja-JP"/>
          <w14:ligatures w14:val="none"/>
        </w:rPr>
        <w:t>生活を送る権利。</w:t>
      </w:r>
    </w:p>
    <w:p w14:paraId="691B3884" w14:textId="77777777"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長期ケア、緩和ケア、支援サービスへの平等なアクセス権。</w:t>
      </w:r>
    </w:p>
    <w:p w14:paraId="545407A7" w14:textId="7D80F318"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支援</w:t>
      </w:r>
      <w:r w:rsidR="001416E8">
        <w:rPr>
          <w:rFonts w:ascii="ＭＳ 明朝" w:eastAsia="ＭＳ 明朝" w:hAnsi="ＭＳ 明朝" w:cs="ＭＳ Ｐゴシック" w:hint="eastAsia"/>
          <w:kern w:val="0"/>
          <w:szCs w:val="21"/>
          <w:lang w:val="en-US" w:eastAsia="ja-JP"/>
          <w14:ligatures w14:val="none"/>
        </w:rPr>
        <w:t>機器</w:t>
      </w:r>
      <w:r w:rsidRPr="00E406C1">
        <w:rPr>
          <w:rFonts w:ascii="ＭＳ 明朝" w:eastAsia="ＭＳ 明朝" w:hAnsi="ＭＳ 明朝" w:cs="ＭＳ Ｐゴシック"/>
          <w:kern w:val="0"/>
          <w:szCs w:val="21"/>
          <w:lang w:val="en-US" w:eastAsia="ja-JP"/>
          <w14:ligatures w14:val="none"/>
        </w:rPr>
        <w:t>を含む技術への平等なアクセス権。</w:t>
      </w:r>
    </w:p>
    <w:p w14:paraId="36B67A7E" w14:textId="169EDCC1"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デフォルト</w:t>
      </w:r>
      <w:r w:rsidR="001416E8">
        <w:rPr>
          <w:rFonts w:ascii="ＭＳ 明朝" w:eastAsia="ＭＳ 明朝" w:hAnsi="ＭＳ 明朝" w:cs="ＭＳ Ｐゴシック" w:hint="eastAsia"/>
          <w:kern w:val="0"/>
          <w:szCs w:val="21"/>
          <w:lang w:val="en-US" w:eastAsia="ja-JP"/>
          <w14:ligatures w14:val="none"/>
        </w:rPr>
        <w:t>（標準のこと）</w:t>
      </w:r>
      <w:r w:rsidRPr="00E406C1">
        <w:rPr>
          <w:rFonts w:ascii="ＭＳ 明朝" w:eastAsia="ＭＳ 明朝" w:hAnsi="ＭＳ 明朝" w:cs="ＭＳ Ｐゴシック"/>
          <w:kern w:val="0"/>
          <w:szCs w:val="21"/>
          <w:lang w:val="en-US" w:eastAsia="ja-JP"/>
          <w14:ligatures w14:val="none"/>
        </w:rPr>
        <w:t>として施設入所させられるのではなく、自立して生活し、地域社会に包摂される権利。</w:t>
      </w:r>
    </w:p>
    <w:p w14:paraId="11861209" w14:textId="62EF9690"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社会</w:t>
      </w:r>
      <w:r w:rsidR="001416E8">
        <w:rPr>
          <w:rFonts w:ascii="ＭＳ 明朝" w:eastAsia="ＭＳ 明朝" w:hAnsi="ＭＳ 明朝" w:cs="ＭＳ Ｐゴシック" w:hint="eastAsia"/>
          <w:kern w:val="0"/>
          <w:szCs w:val="21"/>
          <w:lang w:val="en-US" w:eastAsia="ja-JP"/>
          <w14:ligatures w14:val="none"/>
        </w:rPr>
        <w:t>的保障</w:t>
      </w:r>
      <w:r w:rsidRPr="00E406C1">
        <w:rPr>
          <w:rFonts w:ascii="ＭＳ 明朝" w:eastAsia="ＭＳ 明朝" w:hAnsi="ＭＳ 明朝" w:cs="ＭＳ Ｐゴシック"/>
          <w:kern w:val="0"/>
          <w:szCs w:val="21"/>
          <w:lang w:val="en-US" w:eastAsia="ja-JP"/>
          <w14:ligatures w14:val="none"/>
        </w:rPr>
        <w:t>を受ける権利</w:t>
      </w:r>
    </w:p>
    <w:p w14:paraId="5F6EAA13" w14:textId="77777777"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生涯教育を受ける権利</w:t>
      </w:r>
    </w:p>
    <w:p w14:paraId="337F8DB2" w14:textId="2966DD09" w:rsidR="00E406C1" w:rsidRPr="00E406C1" w:rsidRDefault="00E406C1" w:rsidP="00E406C1">
      <w:pPr>
        <w:widowControl/>
        <w:ind w:leftChars="202" w:left="424"/>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 権利侵害</w:t>
      </w:r>
      <w:r w:rsidR="001416E8">
        <w:rPr>
          <w:rFonts w:ascii="ＭＳ 明朝" w:eastAsia="ＭＳ 明朝" w:hAnsi="ＭＳ 明朝" w:cs="ＭＳ Ｐゴシック" w:hint="eastAsia"/>
          <w:kern w:val="0"/>
          <w:szCs w:val="21"/>
          <w:lang w:val="en-US" w:eastAsia="ja-JP"/>
          <w14:ligatures w14:val="none"/>
        </w:rPr>
        <w:t>に対して、</w:t>
      </w:r>
      <w:r w:rsidRPr="00E406C1">
        <w:rPr>
          <w:rFonts w:ascii="ＭＳ 明朝" w:eastAsia="ＭＳ 明朝" w:hAnsi="ＭＳ 明朝" w:cs="ＭＳ Ｐゴシック"/>
          <w:kern w:val="0"/>
          <w:szCs w:val="21"/>
          <w:lang w:val="en-US" w:eastAsia="ja-JP"/>
          <w14:ligatures w14:val="none"/>
        </w:rPr>
        <w:t>および既存の司法枠組み</w:t>
      </w:r>
      <w:r w:rsidR="001416E8">
        <w:rPr>
          <w:rFonts w:ascii="ＭＳ 明朝" w:eastAsia="ＭＳ 明朝" w:hAnsi="ＭＳ 明朝" w:cs="ＭＳ Ｐゴシック" w:hint="eastAsia"/>
          <w:kern w:val="0"/>
          <w:szCs w:val="21"/>
          <w:lang w:val="en-US" w:eastAsia="ja-JP"/>
          <w14:ligatures w14:val="none"/>
        </w:rPr>
        <w:t>の</w:t>
      </w:r>
      <w:r w:rsidR="007000A7">
        <w:rPr>
          <w:rFonts w:ascii="ＭＳ 明朝" w:eastAsia="ＭＳ 明朝" w:hAnsi="ＭＳ 明朝" w:cs="ＭＳ Ｐゴシック" w:hint="eastAsia"/>
          <w:kern w:val="0"/>
          <w:szCs w:val="21"/>
          <w:lang w:val="en-US" w:eastAsia="ja-JP"/>
          <w14:ligatures w14:val="none"/>
        </w:rPr>
        <w:t>あ</w:t>
      </w:r>
      <w:r w:rsidR="001416E8">
        <w:rPr>
          <w:rFonts w:ascii="ＭＳ 明朝" w:eastAsia="ＭＳ 明朝" w:hAnsi="ＭＳ 明朝" w:cs="ＭＳ Ｐゴシック" w:hint="eastAsia"/>
          <w:kern w:val="0"/>
          <w:szCs w:val="21"/>
          <w:lang w:val="en-US" w:eastAsia="ja-JP"/>
          <w14:ligatures w14:val="none"/>
        </w:rPr>
        <w:t>り方に対して</w:t>
      </w:r>
      <w:r w:rsidRPr="00E406C1">
        <w:rPr>
          <w:rFonts w:ascii="ＭＳ 明朝" w:eastAsia="ＭＳ 明朝" w:hAnsi="ＭＳ 明朝" w:cs="ＭＳ Ｐゴシック"/>
          <w:kern w:val="0"/>
          <w:szCs w:val="21"/>
          <w:lang w:val="en-US" w:eastAsia="ja-JP"/>
          <w14:ligatures w14:val="none"/>
        </w:rPr>
        <w:t>、司法へのアクセスおよび法的救済を受ける権利</w:t>
      </w:r>
    </w:p>
    <w:p w14:paraId="3F6BA3A1"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実施と監視</w:t>
      </w:r>
    </w:p>
    <w:p w14:paraId="1F7139A6" w14:textId="30295478"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強固な実施規定を盛り込むことは、説明責任を強化することになる。高齢者の全面的な参加を含む条約</w:t>
      </w:r>
      <w:r w:rsidR="001416E8">
        <w:rPr>
          <w:rFonts w:ascii="ＭＳ 明朝" w:eastAsia="ＭＳ 明朝" w:hAnsi="ＭＳ 明朝" w:cs="ＭＳ Ｐゴシック" w:hint="eastAsia"/>
          <w:kern w:val="0"/>
          <w:szCs w:val="21"/>
          <w:lang w:val="en-US" w:eastAsia="ja-JP"/>
          <w14:ligatures w14:val="none"/>
        </w:rPr>
        <w:t>体</w:t>
      </w:r>
      <w:r w:rsidRPr="00E406C1">
        <w:rPr>
          <w:rFonts w:ascii="ＭＳ 明朝" w:eastAsia="ＭＳ 明朝" w:hAnsi="ＭＳ 明朝" w:cs="ＭＳ Ｐゴシック"/>
          <w:kern w:val="0"/>
          <w:szCs w:val="21"/>
          <w:lang w:val="en-US" w:eastAsia="ja-JP"/>
          <w14:ligatures w14:val="none"/>
        </w:rPr>
        <w:t>委員会の設置</w:t>
      </w:r>
      <w:r w:rsidR="001416E8">
        <w:rPr>
          <w:rFonts w:ascii="ＭＳ 明朝" w:eastAsia="ＭＳ 明朝" w:hAnsi="ＭＳ 明朝" w:cs="ＭＳ Ｐゴシック" w:hint="eastAsia"/>
          <w:kern w:val="0"/>
          <w:szCs w:val="21"/>
          <w:lang w:val="en-US" w:eastAsia="ja-JP"/>
          <w14:ligatures w14:val="none"/>
        </w:rPr>
        <w:t>によって</w:t>
      </w:r>
      <w:r w:rsidRPr="00E406C1">
        <w:rPr>
          <w:rFonts w:ascii="ＭＳ 明朝" w:eastAsia="ＭＳ 明朝" w:hAnsi="ＭＳ 明朝" w:cs="ＭＳ Ｐゴシック"/>
          <w:kern w:val="0"/>
          <w:szCs w:val="21"/>
          <w:lang w:val="en-US" w:eastAsia="ja-JP"/>
          <w14:ligatures w14:val="none"/>
        </w:rPr>
        <w:t>、高齢者の権利が実際にどのように促進、保護、実現されているかを説明する、各国による定期的な報告と説明責任を</w:t>
      </w:r>
      <w:r w:rsidR="001416E8">
        <w:rPr>
          <w:rFonts w:ascii="ＭＳ 明朝" w:eastAsia="ＭＳ 明朝" w:hAnsi="ＭＳ 明朝" w:cs="ＭＳ Ｐゴシック" w:hint="eastAsia"/>
          <w:kern w:val="0"/>
          <w:szCs w:val="21"/>
          <w:lang w:val="en-US" w:eastAsia="ja-JP"/>
          <w14:ligatures w14:val="none"/>
        </w:rPr>
        <w:t>求めることができる。</w:t>
      </w:r>
    </w:p>
    <w:p w14:paraId="55BD46D5" w14:textId="77777777" w:rsidR="00E406C1" w:rsidRPr="00E406C1" w:rsidRDefault="00E406C1" w:rsidP="00E406C1">
      <w:pPr>
        <w:widowControl/>
        <w:spacing w:before="100" w:beforeAutospacing="1" w:after="100" w:afterAutospacing="1"/>
        <w:jc w:val="left"/>
        <w:outlineLvl w:val="1"/>
        <w:rPr>
          <w:rFonts w:ascii="BIZ UDゴシック" w:eastAsia="BIZ UDゴシック" w:hAnsi="BIZ UDゴシック" w:cs="ＭＳ Ｐゴシック"/>
          <w:b/>
          <w:bCs/>
          <w:kern w:val="0"/>
          <w:szCs w:val="21"/>
          <w:lang w:val="en-US" w:eastAsia="ja-JP"/>
          <w14:ligatures w14:val="none"/>
        </w:rPr>
      </w:pPr>
      <w:r w:rsidRPr="00E406C1">
        <w:rPr>
          <w:rFonts w:ascii="BIZ UDゴシック" w:eastAsia="BIZ UDゴシック" w:hAnsi="BIZ UDゴシック" w:cs="ＭＳ Ｐゴシック"/>
          <w:b/>
          <w:bCs/>
          <w:kern w:val="0"/>
          <w:szCs w:val="21"/>
          <w:lang w:val="en-US" w:eastAsia="ja-JP"/>
          <w14:ligatures w14:val="none"/>
        </w:rPr>
        <w:t>運営上の事項</w:t>
      </w:r>
    </w:p>
    <w:p w14:paraId="595335B0" w14:textId="6AFD43B7" w:rsidR="00E406C1" w:rsidRPr="00E406C1" w:rsidRDefault="005A2EB4"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Pr>
          <w:rFonts w:ascii="ＭＳ 明朝" w:eastAsia="ＭＳ 明朝" w:hAnsi="ＭＳ 明朝" w:cs="ＭＳ Ｐゴシック" w:hint="eastAsia"/>
          <w:kern w:val="0"/>
          <w:szCs w:val="21"/>
          <w:lang w:val="en-US" w:eastAsia="ja-JP"/>
          <w14:ligatures w14:val="none"/>
        </w:rPr>
        <w:t>条約体</w:t>
      </w:r>
      <w:r w:rsidR="00E406C1" w:rsidRPr="00E406C1">
        <w:rPr>
          <w:rFonts w:ascii="ＭＳ 明朝" w:eastAsia="ＭＳ 明朝" w:hAnsi="ＭＳ 明朝" w:cs="ＭＳ Ｐゴシック"/>
          <w:kern w:val="0"/>
          <w:szCs w:val="21"/>
          <w:lang w:val="en-US" w:eastAsia="ja-JP"/>
          <w14:ligatures w14:val="none"/>
        </w:rPr>
        <w:t>委員会および締約国会議の運営に関する明確な指針を定めるべきである。</w:t>
      </w:r>
    </w:p>
    <w:p w14:paraId="683F98BF" w14:textId="111BA0EB" w:rsidR="00E406C1" w:rsidRPr="00E406C1" w:rsidRDefault="00E406C1" w:rsidP="00E406C1">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GAROPの討議文書で指摘されているように、このような構造は</w:t>
      </w:r>
      <w:r w:rsidRPr="00E406C1">
        <w:rPr>
          <w:rFonts w:ascii="ＭＳ 明朝" w:eastAsia="ＭＳ 明朝" w:hAnsi="ＭＳ 明朝" w:cs="ＭＳ Ｐゴシック"/>
          <w:b/>
          <w:bCs/>
          <w:kern w:val="0"/>
          <w:szCs w:val="21"/>
          <w:lang w:val="en-US" w:eastAsia="ja-JP"/>
          <w14:ligatures w14:val="none"/>
        </w:rPr>
        <w:t>可視性、一貫性、説明責任</w:t>
      </w:r>
      <w:r w:rsidRPr="00E406C1">
        <w:rPr>
          <w:rFonts w:ascii="ＭＳ 明朝" w:eastAsia="ＭＳ 明朝" w:hAnsi="ＭＳ 明朝" w:cs="ＭＳ Ｐゴシック"/>
          <w:kern w:val="0"/>
          <w:szCs w:val="21"/>
          <w:lang w:val="en-US" w:eastAsia="ja-JP"/>
          <w14:ligatures w14:val="none"/>
        </w:rPr>
        <w:t>を高め、この条約が実践的なツールとして機能することを保証する</w:t>
      </w:r>
      <w:r w:rsidR="00355170">
        <w:rPr>
          <w:rStyle w:val="af2"/>
          <w:rFonts w:ascii="ＭＳ 明朝" w:eastAsia="ＭＳ 明朝" w:hAnsi="ＭＳ 明朝" w:cs="ＭＳ Ｐゴシック"/>
          <w:kern w:val="0"/>
          <w:szCs w:val="21"/>
          <w:lang w:val="en-US" w:eastAsia="ja-JP"/>
          <w14:ligatures w14:val="none"/>
        </w:rPr>
        <w:footnoteReference w:id="4"/>
      </w:r>
      <w:r w:rsidRPr="00E406C1">
        <w:rPr>
          <w:rFonts w:ascii="ＭＳ 明朝" w:eastAsia="ＭＳ 明朝" w:hAnsi="ＭＳ 明朝" w:cs="ＭＳ Ｐゴシック"/>
          <w:kern w:val="0"/>
          <w:szCs w:val="21"/>
          <w:lang w:val="en-US" w:eastAsia="ja-JP"/>
          <w14:ligatures w14:val="none"/>
        </w:rPr>
        <w:t>。</w:t>
      </w:r>
    </w:p>
    <w:p w14:paraId="6AD3C23B" w14:textId="0CB605AD" w:rsidR="00E406C1" w:rsidRPr="00E406C1" w:rsidRDefault="00355170" w:rsidP="00E406C1">
      <w:pPr>
        <w:widowControl/>
        <w:spacing w:before="100" w:beforeAutospacing="1" w:after="100" w:afterAutospacing="1"/>
        <w:jc w:val="left"/>
        <w:outlineLvl w:val="0"/>
        <w:rPr>
          <w:rFonts w:ascii="BIZ UDゴシック" w:eastAsia="BIZ UDゴシック" w:hAnsi="BIZ UDゴシック" w:cs="ＭＳ Ｐゴシック"/>
          <w:b/>
          <w:bCs/>
          <w:kern w:val="36"/>
          <w:szCs w:val="21"/>
          <w:lang w:val="en-US" w:eastAsia="ja-JP"/>
          <w14:ligatures w14:val="none"/>
        </w:rPr>
      </w:pPr>
      <w:r>
        <w:rPr>
          <w:rFonts w:ascii="BIZ UDゴシック" w:eastAsia="BIZ UDゴシック" w:hAnsi="BIZ UDゴシック" w:cs="ＭＳ Ｐゴシック" w:hint="eastAsia"/>
          <w:b/>
          <w:bCs/>
          <w:kern w:val="36"/>
          <w:szCs w:val="21"/>
          <w:lang w:val="en-US" w:eastAsia="ja-JP"/>
          <w14:ligatures w14:val="none"/>
        </w:rPr>
        <w:t>４</w:t>
      </w:r>
      <w:r w:rsidR="00E406C1" w:rsidRPr="00E406C1">
        <w:rPr>
          <w:rFonts w:ascii="BIZ UDゴシック" w:eastAsia="BIZ UDゴシック" w:hAnsi="BIZ UDゴシック" w:cs="ＭＳ Ｐゴシック"/>
          <w:b/>
          <w:bCs/>
          <w:kern w:val="36"/>
          <w:szCs w:val="21"/>
          <w:lang w:val="en-US" w:eastAsia="ja-JP"/>
          <w14:ligatures w14:val="none"/>
        </w:rPr>
        <w:t>. 結語</w:t>
      </w:r>
    </w:p>
    <w:p w14:paraId="4693A741" w14:textId="76995682" w:rsidR="000B2AFD" w:rsidRDefault="00E406C1" w:rsidP="00355170">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E406C1">
        <w:rPr>
          <w:rFonts w:ascii="ＭＳ 明朝" w:eastAsia="ＭＳ 明朝" w:hAnsi="ＭＳ 明朝" w:cs="ＭＳ Ｐゴシック"/>
          <w:kern w:val="0"/>
          <w:szCs w:val="21"/>
          <w:lang w:val="en-US" w:eastAsia="ja-JP"/>
          <w14:ligatures w14:val="none"/>
        </w:rPr>
        <w:t>高齢者の権利に関する、明確に規定された原則、具体的な運用指針、および効果的な実施メカニズムを備えた強固な人権枠組みは、LBIが長年の規範的・実施上の</w:t>
      </w:r>
      <w:r w:rsidR="005A2EB4">
        <w:rPr>
          <w:rFonts w:ascii="ＭＳ 明朝" w:eastAsia="ＭＳ 明朝" w:hAnsi="ＭＳ 明朝" w:cs="ＭＳ Ｐゴシック" w:hint="eastAsia"/>
          <w:kern w:val="0"/>
          <w:szCs w:val="21"/>
          <w:lang w:val="en-US" w:eastAsia="ja-JP"/>
          <w14:ligatures w14:val="none"/>
        </w:rPr>
        <w:t>欠落</w:t>
      </w:r>
      <w:r w:rsidRPr="00E406C1">
        <w:rPr>
          <w:rFonts w:ascii="ＭＳ 明朝" w:eastAsia="ＭＳ 明朝" w:hAnsi="ＭＳ 明朝" w:cs="ＭＳ Ｐゴシック"/>
          <w:kern w:val="0"/>
          <w:szCs w:val="21"/>
          <w:lang w:val="en-US" w:eastAsia="ja-JP"/>
          <w14:ligatures w14:val="none"/>
        </w:rPr>
        <w:t>に対処することを可能にし、高齢者がすべての人権を完全かつ平等に享受する権利を有することを明確に確認するものである。</w:t>
      </w:r>
    </w:p>
    <w:p w14:paraId="41348EFE" w14:textId="77777777" w:rsidR="005A2EB4" w:rsidRDefault="005A2EB4" w:rsidP="00355170">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p>
    <w:p w14:paraId="7B743511" w14:textId="664EEF4E" w:rsidR="005A2EB4" w:rsidRPr="00355170" w:rsidRDefault="005A2EB4" w:rsidP="005A2EB4">
      <w:pPr>
        <w:widowControl/>
        <w:spacing w:before="100" w:beforeAutospacing="1" w:after="100" w:afterAutospacing="1"/>
        <w:ind w:firstLineChars="100" w:firstLine="210"/>
        <w:jc w:val="right"/>
        <w:rPr>
          <w:rFonts w:ascii="ＭＳ 明朝" w:eastAsia="ＭＳ 明朝" w:hAnsi="ＭＳ 明朝" w:cs="ＭＳ Ｐゴシック" w:hint="eastAsia"/>
          <w:kern w:val="0"/>
          <w:szCs w:val="21"/>
          <w:lang w:val="en-US" w:eastAsia="ja-JP"/>
          <w14:ligatures w14:val="none"/>
        </w:rPr>
      </w:pPr>
      <w:r>
        <w:rPr>
          <w:rFonts w:ascii="ＭＳ 明朝" w:eastAsia="ＭＳ 明朝" w:hAnsi="ＭＳ 明朝" w:cs="ＭＳ Ｐゴシック" w:hint="eastAsia"/>
          <w:kern w:val="0"/>
          <w:szCs w:val="21"/>
          <w:lang w:val="en-US" w:eastAsia="ja-JP"/>
          <w14:ligatures w14:val="none"/>
        </w:rPr>
        <w:t>（翻訳・佐藤久夫、　　　　）</w:t>
      </w:r>
    </w:p>
    <w:sectPr w:rsidR="005A2EB4" w:rsidRPr="00355170" w:rsidSect="006A05DC">
      <w:footerReference w:type="even" r:id="rId8"/>
      <w:footerReference w:type="default" r:id="rId9"/>
      <w:footerReference w:type="first" r:id="rId10"/>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C73D" w14:textId="77777777" w:rsidR="00E406C1" w:rsidRDefault="00E406C1" w:rsidP="00E406C1">
      <w:r>
        <w:separator/>
      </w:r>
    </w:p>
  </w:endnote>
  <w:endnote w:type="continuationSeparator" w:id="0">
    <w:p w14:paraId="4C03F0A8" w14:textId="77777777" w:rsidR="00E406C1" w:rsidRDefault="00E406C1" w:rsidP="00E4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472225"/>
      <w:docPartObj>
        <w:docPartGallery w:val="Page Numbers (Bottom of Page)"/>
        <w:docPartUnique/>
      </w:docPartObj>
    </w:sdtPr>
    <w:sdtContent>
      <w:p w14:paraId="4CA88BD7" w14:textId="7D58591C" w:rsidR="00E406C1" w:rsidRDefault="00E406C1">
        <w:pPr>
          <w:pStyle w:val="ac"/>
        </w:pPr>
        <w:r>
          <w:fldChar w:fldCharType="begin"/>
        </w:r>
        <w:r>
          <w:instrText>PAGE   \* MERGEFORMAT</w:instrText>
        </w:r>
        <w:r>
          <w:fldChar w:fldCharType="separate"/>
        </w:r>
        <w:r>
          <w:rPr>
            <w:lang w:val="ja-JP" w:eastAsia="ja-JP"/>
          </w:rPr>
          <w:t>2</w:t>
        </w:r>
        <w:r>
          <w:fldChar w:fldCharType="end"/>
        </w:r>
      </w:p>
    </w:sdtContent>
  </w:sdt>
  <w:p w14:paraId="04A4A02C" w14:textId="77777777" w:rsidR="00E406C1" w:rsidRDefault="00E406C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349991"/>
      <w:docPartObj>
        <w:docPartGallery w:val="Page Numbers (Bottom of Page)"/>
        <w:docPartUnique/>
      </w:docPartObj>
    </w:sdtPr>
    <w:sdtContent>
      <w:p w14:paraId="33C50711" w14:textId="0E36B1A9" w:rsidR="00E406C1" w:rsidRDefault="00E406C1">
        <w:pPr>
          <w:pStyle w:val="ac"/>
        </w:pPr>
        <w:r>
          <w:fldChar w:fldCharType="begin"/>
        </w:r>
        <w:r>
          <w:instrText>PAGE   \* MERGEFORMAT</w:instrText>
        </w:r>
        <w:r>
          <w:fldChar w:fldCharType="separate"/>
        </w:r>
        <w:r>
          <w:rPr>
            <w:lang w:val="ja-JP" w:eastAsia="ja-JP"/>
          </w:rPr>
          <w:t>2</w:t>
        </w:r>
        <w:r>
          <w:fldChar w:fldCharType="end"/>
        </w:r>
      </w:p>
    </w:sdtContent>
  </w:sdt>
  <w:p w14:paraId="538DDA3C" w14:textId="77777777" w:rsidR="00E406C1" w:rsidRDefault="00E406C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432123"/>
      <w:docPartObj>
        <w:docPartGallery w:val="Page Numbers (Bottom of Page)"/>
        <w:docPartUnique/>
      </w:docPartObj>
    </w:sdtPr>
    <w:sdtContent>
      <w:p w14:paraId="6719F28B" w14:textId="229705DC" w:rsidR="00E406C1" w:rsidRDefault="00E406C1">
        <w:pPr>
          <w:pStyle w:val="ac"/>
        </w:pPr>
        <w:r>
          <w:fldChar w:fldCharType="begin"/>
        </w:r>
        <w:r>
          <w:instrText>PAGE   \* MERGEFORMAT</w:instrText>
        </w:r>
        <w:r>
          <w:fldChar w:fldCharType="separate"/>
        </w:r>
        <w:r>
          <w:rPr>
            <w:lang w:val="ja-JP" w:eastAsia="ja-JP"/>
          </w:rPr>
          <w:t>2</w:t>
        </w:r>
        <w:r>
          <w:fldChar w:fldCharType="end"/>
        </w:r>
      </w:p>
    </w:sdtContent>
  </w:sdt>
  <w:p w14:paraId="7A3BE700" w14:textId="77777777" w:rsidR="00E406C1" w:rsidRDefault="00E406C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E7BA" w14:textId="77777777" w:rsidR="00E406C1" w:rsidRDefault="00E406C1" w:rsidP="00E406C1">
      <w:r>
        <w:separator/>
      </w:r>
    </w:p>
  </w:footnote>
  <w:footnote w:type="continuationSeparator" w:id="0">
    <w:p w14:paraId="7033B793" w14:textId="77777777" w:rsidR="00E406C1" w:rsidRDefault="00E406C1" w:rsidP="00E406C1">
      <w:r>
        <w:continuationSeparator/>
      </w:r>
    </w:p>
  </w:footnote>
  <w:footnote w:id="1">
    <w:p w14:paraId="46A0E32C" w14:textId="7190E0D3" w:rsidR="00355170" w:rsidRDefault="00355170">
      <w:pPr>
        <w:pStyle w:val="af0"/>
        <w:rPr>
          <w:rFonts w:hint="eastAsia"/>
          <w:lang w:eastAsia="ja-JP"/>
        </w:rPr>
      </w:pPr>
      <w:r>
        <w:rPr>
          <w:rStyle w:val="af2"/>
        </w:rPr>
        <w:footnoteRef/>
      </w:r>
      <w:r w:rsidRPr="00355170">
        <w:rPr>
          <w:sz w:val="18"/>
          <w:szCs w:val="18"/>
        </w:rPr>
        <w:t xml:space="preserve"> </w:t>
      </w:r>
      <w:r w:rsidRPr="00355170">
        <w:rPr>
          <w:sz w:val="18"/>
          <w:szCs w:val="18"/>
        </w:rPr>
        <w:t>ILC GAには、アルゼンチン、オーストラリア、ブラジル、カナダ、中国、チェコ共和国、ドミニカ共和国、フランス、インド、イスラエル、日本、オランダ、ウガンダ、英国、アメリカ合衆国、シンガポール、南アフリカのセンターが含まれる。各センターは、自律的かつ協調的に活動している。</w:t>
      </w:r>
      <w:hyperlink r:id="rId1" w:history="1">
        <w:r w:rsidRPr="00CA5629">
          <w:rPr>
            <w:rStyle w:val="af3"/>
            <w:sz w:val="18"/>
            <w:szCs w:val="18"/>
          </w:rPr>
          <w:t>https://www.ilc-alliance.org</w:t>
        </w:r>
      </w:hyperlink>
      <w:r>
        <w:rPr>
          <w:rFonts w:hint="eastAsia"/>
          <w:sz w:val="18"/>
          <w:szCs w:val="18"/>
          <w:lang w:eastAsia="ja-JP"/>
        </w:rPr>
        <w:t xml:space="preserve">　</w:t>
      </w:r>
    </w:p>
  </w:footnote>
  <w:footnote w:id="2">
    <w:p w14:paraId="6A42D1C5" w14:textId="7F061F65" w:rsidR="00355170" w:rsidRDefault="00355170">
      <w:pPr>
        <w:pStyle w:val="af0"/>
        <w:rPr>
          <w:rFonts w:hint="eastAsia"/>
          <w:lang w:eastAsia="ja-JP"/>
        </w:rPr>
      </w:pPr>
      <w:r>
        <w:rPr>
          <w:rStyle w:val="af2"/>
        </w:rPr>
        <w:footnoteRef/>
      </w:r>
      <w:r>
        <w:t xml:space="preserve"> </w:t>
      </w:r>
      <w:hyperlink r:id="rId2" w:history="1">
        <w:r w:rsidRPr="00E406C1">
          <w:rPr>
            <w:rStyle w:val="af3"/>
            <w:sz w:val="18"/>
            <w:szCs w:val="18"/>
          </w:rPr>
          <w:t>http://www.inpea.net</w:t>
        </w:r>
      </w:hyperlink>
      <w:r>
        <w:rPr>
          <w:rFonts w:hint="eastAsia"/>
          <w:sz w:val="18"/>
          <w:szCs w:val="18"/>
          <w:lang w:eastAsia="ja-JP"/>
        </w:rPr>
        <w:t xml:space="preserve">　</w:t>
      </w:r>
    </w:p>
  </w:footnote>
  <w:footnote w:id="3">
    <w:p w14:paraId="3CDFD666" w14:textId="18D8DA81" w:rsidR="00355170" w:rsidRDefault="00355170">
      <w:pPr>
        <w:pStyle w:val="af0"/>
        <w:rPr>
          <w:rFonts w:hint="eastAsia"/>
          <w:lang w:eastAsia="ja-JP"/>
        </w:rPr>
      </w:pPr>
      <w:r>
        <w:rPr>
          <w:rStyle w:val="af2"/>
        </w:rPr>
        <w:footnoteRef/>
      </w:r>
      <w:r>
        <w:t xml:space="preserve"> </w:t>
      </w:r>
      <w:hyperlink r:id="rId3" w:history="1">
        <w:r w:rsidRPr="00E406C1">
          <w:rPr>
            <w:rFonts w:ascii="ＭＳ 明朝" w:eastAsia="ＭＳ 明朝" w:hAnsi="ＭＳ 明朝" w:cs="ＭＳ Ｐゴシック"/>
            <w:color w:val="0000FF"/>
            <w:kern w:val="0"/>
            <w:sz w:val="18"/>
            <w:szCs w:val="18"/>
            <w:u w:val="single"/>
            <w:lang w:val="en-US" w:eastAsia="ja-JP"/>
            <w14:ligatures w14:val="none"/>
          </w:rPr>
          <w:t>https://rightsofolderpeople.org</w:t>
        </w:r>
      </w:hyperlink>
      <w:r>
        <w:rPr>
          <w:rFonts w:ascii="ＭＳ 明朝" w:eastAsia="ＭＳ 明朝" w:hAnsi="ＭＳ 明朝" w:cs="ＭＳ Ｐゴシック" w:hint="eastAsia"/>
          <w:kern w:val="0"/>
          <w:szCs w:val="21"/>
          <w:lang w:val="en-US" w:eastAsia="ja-JP"/>
          <w14:ligatures w14:val="none"/>
        </w:rPr>
        <w:t xml:space="preserve">　</w:t>
      </w:r>
    </w:p>
  </w:footnote>
  <w:footnote w:id="4">
    <w:p w14:paraId="07C5AF30" w14:textId="32BAB0BF" w:rsidR="00355170" w:rsidRDefault="00355170">
      <w:pPr>
        <w:pStyle w:val="af0"/>
        <w:rPr>
          <w:rFonts w:hint="eastAsia"/>
          <w:lang w:eastAsia="ja-JP"/>
        </w:rPr>
      </w:pPr>
      <w:r>
        <w:rPr>
          <w:rStyle w:val="af2"/>
        </w:rPr>
        <w:footnoteRef/>
      </w:r>
      <w:r>
        <w:t xml:space="preserve"> </w:t>
      </w:r>
      <w:hyperlink r:id="rId4" w:history="1">
        <w:r w:rsidRPr="00E406C1">
          <w:rPr>
            <w:rFonts w:ascii="ＭＳ 明朝" w:eastAsia="ＭＳ 明朝" w:hAnsi="ＭＳ 明朝" w:cs="ＭＳ Ｐゴシック"/>
            <w:color w:val="0000FF"/>
            <w:kern w:val="0"/>
            <w:sz w:val="18"/>
            <w:szCs w:val="18"/>
            <w:u w:val="single"/>
            <w:lang w:val="en-US" w:eastAsia="ja-JP"/>
            <w14:ligatures w14:val="none"/>
          </w:rPr>
          <w:t>https://rightsofolderpeople.org/wp-content/uploads/2026/02/GAROP-DISCUSSION-PAPER-on-CONCEPTUAL-</w:t>
        </w:r>
      </w:hyperlink>
      <w:hyperlink r:id="rId5" w:history="1">
        <w:r w:rsidRPr="00E406C1">
          <w:rPr>
            <w:rFonts w:ascii="ＭＳ 明朝" w:eastAsia="ＭＳ 明朝" w:hAnsi="ＭＳ 明朝" w:cs="ＭＳ Ｐゴシック"/>
            <w:color w:val="0000FF"/>
            <w:kern w:val="0"/>
            <w:sz w:val="18"/>
            <w:szCs w:val="18"/>
            <w:u w:val="single"/>
            <w:lang w:val="en-US" w:eastAsia="ja-JP"/>
            <w14:ligatures w14:val="none"/>
          </w:rPr>
          <w:t>BASIS-AND-SCOPE-FINAL-30-Jan-2026.pdf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72A46"/>
    <w:multiLevelType w:val="hybridMultilevel"/>
    <w:tmpl w:val="D15899F8"/>
    <w:lvl w:ilvl="0" w:tplc="667E883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1A0446">
      <w:start w:val="1"/>
      <w:numFmt w:val="bullet"/>
      <w:lvlText w:val="o"/>
      <w:lvlJc w:val="left"/>
      <w:pPr>
        <w:ind w:left="14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14D2AA">
      <w:start w:val="1"/>
      <w:numFmt w:val="bullet"/>
      <w:lvlText w:val="▪"/>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4445FE">
      <w:start w:val="1"/>
      <w:numFmt w:val="bullet"/>
      <w:lvlText w:val="•"/>
      <w:lvlJc w:val="left"/>
      <w:pPr>
        <w:ind w:left="28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6241DE">
      <w:start w:val="1"/>
      <w:numFmt w:val="bullet"/>
      <w:lvlText w:val="o"/>
      <w:lvlJc w:val="left"/>
      <w:pPr>
        <w:ind w:left="3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E624B2">
      <w:start w:val="1"/>
      <w:numFmt w:val="bullet"/>
      <w:lvlText w:val="▪"/>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FAF4CA">
      <w:start w:val="1"/>
      <w:numFmt w:val="bullet"/>
      <w:lvlText w:val="•"/>
      <w:lvlJc w:val="left"/>
      <w:pPr>
        <w:ind w:left="5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1ACA86">
      <w:start w:val="1"/>
      <w:numFmt w:val="bullet"/>
      <w:lvlText w:val="o"/>
      <w:lvlJc w:val="left"/>
      <w:pPr>
        <w:ind w:left="5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4AACD2">
      <w:start w:val="1"/>
      <w:numFmt w:val="bullet"/>
      <w:lvlText w:val="▪"/>
      <w:lvlJc w:val="left"/>
      <w:pPr>
        <w:ind w:left="6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84720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1"/>
    <w:rsid w:val="000B2AFD"/>
    <w:rsid w:val="001416E8"/>
    <w:rsid w:val="00152B39"/>
    <w:rsid w:val="003126F0"/>
    <w:rsid w:val="00355170"/>
    <w:rsid w:val="003A6E34"/>
    <w:rsid w:val="004D4596"/>
    <w:rsid w:val="004F72B5"/>
    <w:rsid w:val="005237FB"/>
    <w:rsid w:val="005A2EB4"/>
    <w:rsid w:val="00692D7C"/>
    <w:rsid w:val="006A05DC"/>
    <w:rsid w:val="007000A7"/>
    <w:rsid w:val="00752960"/>
    <w:rsid w:val="008F0D39"/>
    <w:rsid w:val="00AF582A"/>
    <w:rsid w:val="00B37471"/>
    <w:rsid w:val="00C96CB8"/>
    <w:rsid w:val="00DB66FF"/>
    <w:rsid w:val="00E406C1"/>
    <w:rsid w:val="00F60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816B17"/>
  <w15:chartTrackingRefBased/>
  <w15:docId w15:val="{CB0D6BC4-07F8-4629-A43D-0CDFB66D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406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06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06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06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06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06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06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06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06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06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406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406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406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406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406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406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406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406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406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06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06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06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06C1"/>
    <w:pPr>
      <w:spacing w:before="160" w:after="160"/>
      <w:jc w:val="center"/>
    </w:pPr>
    <w:rPr>
      <w:i/>
      <w:iCs/>
      <w:color w:val="404040" w:themeColor="text1" w:themeTint="BF"/>
    </w:rPr>
  </w:style>
  <w:style w:type="character" w:customStyle="1" w:styleId="a8">
    <w:name w:val="引用文 (文字)"/>
    <w:basedOn w:val="a0"/>
    <w:link w:val="a7"/>
    <w:uiPriority w:val="29"/>
    <w:rsid w:val="00E406C1"/>
    <w:rPr>
      <w:i/>
      <w:iCs/>
      <w:color w:val="404040" w:themeColor="text1" w:themeTint="BF"/>
    </w:rPr>
  </w:style>
  <w:style w:type="paragraph" w:styleId="a9">
    <w:name w:val="List Paragraph"/>
    <w:basedOn w:val="a"/>
    <w:uiPriority w:val="34"/>
    <w:qFormat/>
    <w:rsid w:val="00E406C1"/>
    <w:pPr>
      <w:ind w:left="720"/>
      <w:contextualSpacing/>
    </w:pPr>
  </w:style>
  <w:style w:type="character" w:styleId="21">
    <w:name w:val="Intense Emphasis"/>
    <w:basedOn w:val="a0"/>
    <w:uiPriority w:val="21"/>
    <w:qFormat/>
    <w:rsid w:val="00E406C1"/>
    <w:rPr>
      <w:i/>
      <w:iCs/>
      <w:color w:val="2F5496" w:themeColor="accent1" w:themeShade="BF"/>
    </w:rPr>
  </w:style>
  <w:style w:type="paragraph" w:styleId="22">
    <w:name w:val="Intense Quote"/>
    <w:basedOn w:val="a"/>
    <w:next w:val="a"/>
    <w:link w:val="23"/>
    <w:uiPriority w:val="30"/>
    <w:qFormat/>
    <w:rsid w:val="00E406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406C1"/>
    <w:rPr>
      <w:i/>
      <w:iCs/>
      <w:color w:val="2F5496" w:themeColor="accent1" w:themeShade="BF"/>
    </w:rPr>
  </w:style>
  <w:style w:type="character" w:styleId="24">
    <w:name w:val="Intense Reference"/>
    <w:basedOn w:val="a0"/>
    <w:uiPriority w:val="32"/>
    <w:qFormat/>
    <w:rsid w:val="00E406C1"/>
    <w:rPr>
      <w:b/>
      <w:bCs/>
      <w:smallCaps/>
      <w:color w:val="2F5496" w:themeColor="accent1" w:themeShade="BF"/>
      <w:spacing w:val="5"/>
    </w:rPr>
  </w:style>
  <w:style w:type="paragraph" w:styleId="aa">
    <w:name w:val="header"/>
    <w:basedOn w:val="a"/>
    <w:link w:val="ab"/>
    <w:uiPriority w:val="99"/>
    <w:unhideWhenUsed/>
    <w:rsid w:val="00E406C1"/>
    <w:pPr>
      <w:tabs>
        <w:tab w:val="center" w:pos="4252"/>
        <w:tab w:val="right" w:pos="8504"/>
      </w:tabs>
      <w:snapToGrid w:val="0"/>
    </w:pPr>
  </w:style>
  <w:style w:type="character" w:customStyle="1" w:styleId="ab">
    <w:name w:val="ヘッダー (文字)"/>
    <w:basedOn w:val="a0"/>
    <w:link w:val="aa"/>
    <w:uiPriority w:val="99"/>
    <w:rsid w:val="00E406C1"/>
  </w:style>
  <w:style w:type="paragraph" w:styleId="ac">
    <w:name w:val="footer"/>
    <w:basedOn w:val="a"/>
    <w:link w:val="ad"/>
    <w:uiPriority w:val="99"/>
    <w:unhideWhenUsed/>
    <w:rsid w:val="00E406C1"/>
    <w:pPr>
      <w:tabs>
        <w:tab w:val="center" w:pos="4252"/>
        <w:tab w:val="right" w:pos="8504"/>
      </w:tabs>
      <w:snapToGrid w:val="0"/>
    </w:pPr>
  </w:style>
  <w:style w:type="character" w:customStyle="1" w:styleId="ad">
    <w:name w:val="フッター (文字)"/>
    <w:basedOn w:val="a0"/>
    <w:link w:val="ac"/>
    <w:uiPriority w:val="99"/>
    <w:rsid w:val="00E406C1"/>
  </w:style>
  <w:style w:type="paragraph" w:styleId="ae">
    <w:name w:val="Date"/>
    <w:basedOn w:val="a"/>
    <w:next w:val="a"/>
    <w:link w:val="af"/>
    <w:uiPriority w:val="99"/>
    <w:semiHidden/>
    <w:unhideWhenUsed/>
    <w:rsid w:val="00355170"/>
  </w:style>
  <w:style w:type="character" w:customStyle="1" w:styleId="af">
    <w:name w:val="日付 (文字)"/>
    <w:basedOn w:val="a0"/>
    <w:link w:val="ae"/>
    <w:uiPriority w:val="99"/>
    <w:semiHidden/>
    <w:rsid w:val="00355170"/>
  </w:style>
  <w:style w:type="paragraph" w:styleId="af0">
    <w:name w:val="footnote text"/>
    <w:basedOn w:val="a"/>
    <w:link w:val="af1"/>
    <w:uiPriority w:val="99"/>
    <w:semiHidden/>
    <w:unhideWhenUsed/>
    <w:rsid w:val="00355170"/>
    <w:pPr>
      <w:snapToGrid w:val="0"/>
      <w:jc w:val="left"/>
    </w:pPr>
  </w:style>
  <w:style w:type="character" w:customStyle="1" w:styleId="af1">
    <w:name w:val="脚注文字列 (文字)"/>
    <w:basedOn w:val="a0"/>
    <w:link w:val="af0"/>
    <w:uiPriority w:val="99"/>
    <w:semiHidden/>
    <w:rsid w:val="00355170"/>
  </w:style>
  <w:style w:type="character" w:styleId="af2">
    <w:name w:val="footnote reference"/>
    <w:basedOn w:val="a0"/>
    <w:uiPriority w:val="99"/>
    <w:semiHidden/>
    <w:unhideWhenUsed/>
    <w:rsid w:val="00355170"/>
    <w:rPr>
      <w:vertAlign w:val="superscript"/>
    </w:rPr>
  </w:style>
  <w:style w:type="character" w:styleId="af3">
    <w:name w:val="Hyperlink"/>
    <w:basedOn w:val="a0"/>
    <w:uiPriority w:val="99"/>
    <w:unhideWhenUsed/>
    <w:rsid w:val="00355170"/>
    <w:rPr>
      <w:color w:val="0563C1" w:themeColor="hyperlink"/>
      <w:u w:val="single"/>
    </w:rPr>
  </w:style>
  <w:style w:type="character" w:styleId="af4">
    <w:name w:val="Unresolved Mention"/>
    <w:basedOn w:val="a0"/>
    <w:uiPriority w:val="99"/>
    <w:semiHidden/>
    <w:unhideWhenUsed/>
    <w:rsid w:val="00355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rightsofolderpeople.org/" TargetMode="External"/><Relationship Id="rId2" Type="http://schemas.openxmlformats.org/officeDocument/2006/relationships/hyperlink" Target="http://www.inpea.net" TargetMode="External"/><Relationship Id="rId1" Type="http://schemas.openxmlformats.org/officeDocument/2006/relationships/hyperlink" Target="https://www.ilc-alliance.org" TargetMode="External"/><Relationship Id="rId5" Type="http://schemas.openxmlformats.org/officeDocument/2006/relationships/hyperlink" Target="https://rightsofolderpeople.org/wp-content/uploads/2026/02/GAROP-DISCUSSION-PAPER-on-CONCEPTUAL-BASIS-AND-SCOPE-FINAL-30-Jan-2026.pdf" TargetMode="External"/><Relationship Id="rId4" Type="http://schemas.openxmlformats.org/officeDocument/2006/relationships/hyperlink" Target="https://rightsofolderpeople.org/wp-content/uploads/2026/02/GAROP-DISCUSSION-PAPER-on-CONCEPTUAL-BASIS-AND-SCOPE-FINAL-30-Jan-2026.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0C629-376C-4E4D-B936-B20790E0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703</Words>
  <Characters>4013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cp:lastPrinted>2026-05-26T13:02:00Z</cp:lastPrinted>
  <dcterms:created xsi:type="dcterms:W3CDTF">2026-06-01T11:38:00Z</dcterms:created>
  <dcterms:modified xsi:type="dcterms:W3CDTF">2026-06-01T11:38:00Z</dcterms:modified>
</cp:coreProperties>
</file>