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3018C" w14:textId="1AFDE03D" w:rsidR="00670C51" w:rsidRDefault="00670C51" w:rsidP="00E2043A">
      <w:pPr>
        <w:pStyle w:val="3"/>
        <w:spacing w:before="109" w:line="235" w:lineRule="auto"/>
        <w:ind w:left="0" w:right="1060" w:firstLineChars="500" w:firstLine="1154"/>
        <w:rPr>
          <w:rFonts w:eastAsiaTheme="minorEastAsia"/>
          <w:sz w:val="23"/>
          <w:szCs w:val="23"/>
          <w:lang w:eastAsia="ja-JP"/>
        </w:rPr>
      </w:pPr>
      <w:r>
        <w:rPr>
          <w:rFonts w:eastAsiaTheme="minorEastAsia" w:hint="eastAsia"/>
          <w:sz w:val="23"/>
          <w:szCs w:val="23"/>
          <w:lang w:eastAsia="ja-JP"/>
        </w:rPr>
        <w:t>161</w:t>
      </w:r>
    </w:p>
    <w:p w14:paraId="11AF7712" w14:textId="77777777" w:rsidR="00E2043A" w:rsidRDefault="00E2043A">
      <w:pPr>
        <w:pStyle w:val="3"/>
        <w:spacing w:before="109" w:line="235" w:lineRule="auto"/>
        <w:ind w:left="910" w:right="1060" w:firstLine="0"/>
        <w:jc w:val="center"/>
        <w:rPr>
          <w:rFonts w:eastAsiaTheme="minorEastAsia"/>
          <w:sz w:val="23"/>
          <w:szCs w:val="23"/>
          <w:lang w:eastAsia="ja-JP"/>
        </w:rPr>
      </w:pPr>
      <w:r>
        <w:rPr>
          <w:rFonts w:ascii="ＭＳ 明朝" w:eastAsia="ＭＳ 明朝" w:hAnsi="ＭＳ 明朝" w:cs="ＭＳ 明朝" w:hint="eastAsia"/>
          <w:sz w:val="23"/>
          <w:szCs w:val="23"/>
          <w:lang w:eastAsia="ja-JP"/>
        </w:rPr>
        <w:t>人権高等弁務官事務所</w:t>
      </w:r>
      <w:r w:rsidR="291A752A" w:rsidRPr="291A752A">
        <w:rPr>
          <w:sz w:val="23"/>
          <w:szCs w:val="23"/>
          <w:lang w:eastAsia="ja-JP"/>
        </w:rPr>
        <w:t>への提出文書：</w:t>
      </w:r>
    </w:p>
    <w:p w14:paraId="55B7C6F6" w14:textId="71602D1C" w:rsidR="00670C51" w:rsidRDefault="291A752A">
      <w:pPr>
        <w:pStyle w:val="3"/>
        <w:spacing w:before="109" w:line="235" w:lineRule="auto"/>
        <w:ind w:left="910" w:right="1060" w:firstLine="0"/>
        <w:jc w:val="center"/>
        <w:rPr>
          <w:rFonts w:eastAsiaTheme="minorEastAsia"/>
          <w:sz w:val="23"/>
          <w:szCs w:val="23"/>
          <w:lang w:eastAsia="ja-JP"/>
        </w:rPr>
      </w:pPr>
      <w:r w:rsidRPr="291A752A">
        <w:rPr>
          <w:sz w:val="23"/>
          <w:szCs w:val="23"/>
          <w:lang w:eastAsia="ja-JP"/>
        </w:rPr>
        <w:t>高齢者の人権に関する法的拘束力のある文書の</w:t>
      </w:r>
    </w:p>
    <w:p w14:paraId="2E7D786F" w14:textId="06589C4B" w:rsidR="003D653A" w:rsidRDefault="291A752A">
      <w:pPr>
        <w:pStyle w:val="3"/>
        <w:spacing w:before="109" w:line="235" w:lineRule="auto"/>
        <w:ind w:left="910" w:right="1060" w:firstLine="0"/>
        <w:jc w:val="center"/>
        <w:rPr>
          <w:rFonts w:eastAsiaTheme="minorEastAsia"/>
          <w:sz w:val="23"/>
          <w:szCs w:val="23"/>
          <w:lang w:eastAsia="ja-JP"/>
        </w:rPr>
      </w:pPr>
      <w:r w:rsidRPr="291A752A">
        <w:rPr>
          <w:sz w:val="23"/>
          <w:szCs w:val="23"/>
          <w:lang w:eastAsia="ja-JP"/>
        </w:rPr>
        <w:t>一般的な枠組み、構造、および指針原則に関する意見募集</w:t>
      </w:r>
    </w:p>
    <w:p w14:paraId="1D87650F" w14:textId="77777777" w:rsidR="00670C51" w:rsidRPr="00670C51" w:rsidRDefault="00670C51">
      <w:pPr>
        <w:pStyle w:val="3"/>
        <w:spacing w:before="109" w:line="235" w:lineRule="auto"/>
        <w:ind w:left="910" w:right="1060" w:firstLine="0"/>
        <w:jc w:val="center"/>
        <w:rPr>
          <w:rFonts w:eastAsiaTheme="minorEastAsia" w:hint="eastAsia"/>
          <w:lang w:eastAsia="ja-JP"/>
        </w:rPr>
      </w:pPr>
    </w:p>
    <w:p w14:paraId="4C362B7F" w14:textId="6E3CB934" w:rsidR="00670C51" w:rsidRPr="00670C51" w:rsidRDefault="00DF0EC9">
      <w:pPr>
        <w:ind w:left="922" w:right="1060"/>
        <w:jc w:val="center"/>
        <w:rPr>
          <w:rFonts w:eastAsiaTheme="minorEastAsia" w:hint="eastAsia"/>
          <w:i/>
          <w:sz w:val="24"/>
          <w:lang w:eastAsia="ja-JP"/>
        </w:rPr>
      </w:pPr>
      <w:r>
        <w:rPr>
          <w:i/>
          <w:w w:val="85"/>
          <w:sz w:val="19"/>
          <w:lang w:eastAsia="ja-JP"/>
        </w:rPr>
        <w:t>チャールズ</w:t>
      </w:r>
      <w:r>
        <w:rPr>
          <w:i/>
          <w:spacing w:val="-2"/>
          <w:w w:val="85"/>
          <w:sz w:val="19"/>
          <w:lang w:eastAsia="ja-JP"/>
        </w:rPr>
        <w:t>・オマホニー</w:t>
      </w:r>
      <w:r>
        <w:rPr>
          <w:i/>
          <w:w w:val="85"/>
          <w:sz w:val="19"/>
          <w:lang w:eastAsia="ja-JP"/>
        </w:rPr>
        <w:t>博士</w:t>
      </w:r>
    </w:p>
    <w:p w14:paraId="0152DF41" w14:textId="0278EA4C" w:rsidR="003D653A" w:rsidRDefault="291A752A" w:rsidP="291A752A">
      <w:pPr>
        <w:spacing w:before="264" w:line="470" w:lineRule="auto"/>
        <w:ind w:left="1989" w:right="2132"/>
        <w:jc w:val="center"/>
        <w:rPr>
          <w:i/>
          <w:iCs/>
          <w:sz w:val="24"/>
          <w:szCs w:val="24"/>
          <w:lang w:eastAsia="ja-JP"/>
        </w:rPr>
      </w:pPr>
      <w:r w:rsidRPr="291A752A">
        <w:rPr>
          <w:i/>
          <w:iCs/>
          <w:w w:val="80"/>
          <w:sz w:val="19"/>
          <w:szCs w:val="19"/>
          <w:lang w:eastAsia="ja-JP"/>
        </w:rPr>
        <w:t>犯罪</w:t>
      </w:r>
      <w:r w:rsidR="00670C51">
        <w:rPr>
          <w:rFonts w:ascii="ＭＳ 明朝" w:eastAsia="ＭＳ 明朝" w:hAnsi="ＭＳ 明朝" w:cs="ＭＳ 明朝" w:hint="eastAsia"/>
          <w:i/>
          <w:iCs/>
          <w:w w:val="80"/>
          <w:sz w:val="19"/>
          <w:szCs w:val="19"/>
          <w:lang w:eastAsia="ja-JP"/>
        </w:rPr>
        <w:t>・</w:t>
      </w:r>
      <w:r w:rsidRPr="291A752A">
        <w:rPr>
          <w:i/>
          <w:iCs/>
          <w:w w:val="80"/>
          <w:sz w:val="19"/>
          <w:szCs w:val="19"/>
          <w:lang w:eastAsia="ja-JP"/>
        </w:rPr>
        <w:t>刑罰</w:t>
      </w:r>
      <w:r w:rsidR="00670C51">
        <w:rPr>
          <w:rFonts w:ascii="ＭＳ 明朝" w:eastAsia="ＭＳ 明朝" w:hAnsi="ＭＳ 明朝" w:cs="ＭＳ 明朝" w:hint="eastAsia"/>
          <w:i/>
          <w:iCs/>
          <w:w w:val="80"/>
          <w:sz w:val="19"/>
          <w:szCs w:val="19"/>
          <w:lang w:eastAsia="ja-JP"/>
        </w:rPr>
        <w:t>・</w:t>
      </w:r>
      <w:r w:rsidRPr="291A752A">
        <w:rPr>
          <w:i/>
          <w:iCs/>
          <w:w w:val="80"/>
          <w:sz w:val="19"/>
          <w:szCs w:val="19"/>
          <w:lang w:eastAsia="ja-JP"/>
        </w:rPr>
        <w:t>権利研究クラスター、ゴールウェイ大学法学部、アイルランド</w:t>
      </w:r>
    </w:p>
    <w:p w14:paraId="634B651A" w14:textId="77777777" w:rsidR="003D653A" w:rsidRDefault="291A752A" w:rsidP="00670C51">
      <w:pPr>
        <w:spacing w:line="470" w:lineRule="auto"/>
        <w:ind w:left="1989" w:right="2132"/>
        <w:jc w:val="center"/>
        <w:rPr>
          <w:i/>
          <w:iCs/>
          <w:sz w:val="24"/>
          <w:szCs w:val="24"/>
        </w:rPr>
      </w:pPr>
      <w:r w:rsidRPr="291A752A">
        <w:rPr>
          <w:i/>
          <w:iCs/>
          <w:w w:val="90"/>
          <w:sz w:val="19"/>
          <w:szCs w:val="19"/>
        </w:rPr>
        <w:t>2026年4月22日</w:t>
      </w:r>
    </w:p>
    <w:p w14:paraId="5E7281E4" w14:textId="77777777" w:rsidR="003D653A" w:rsidRDefault="291A752A">
      <w:pPr>
        <w:pStyle w:val="3"/>
        <w:numPr>
          <w:ilvl w:val="0"/>
          <w:numId w:val="5"/>
        </w:numPr>
        <w:tabs>
          <w:tab w:val="left" w:pos="1552"/>
        </w:tabs>
        <w:spacing w:before="0" w:line="319" w:lineRule="exact"/>
        <w:ind w:left="1552" w:hanging="253"/>
      </w:pPr>
      <w:r w:rsidRPr="291A752A">
        <w:rPr>
          <w:spacing w:val="-2"/>
          <w:sz w:val="23"/>
          <w:szCs w:val="23"/>
        </w:rPr>
        <w:t>はじめに</w:t>
      </w:r>
    </w:p>
    <w:p w14:paraId="69EDFF43" w14:textId="38C4315E" w:rsidR="003D653A" w:rsidRPr="009939F4" w:rsidRDefault="00DF0EC9" w:rsidP="00CE5569">
      <w:pPr>
        <w:pStyle w:val="20"/>
        <w:ind w:firstLine="210"/>
        <w:rPr>
          <w:rStyle w:val="21"/>
          <w:sz w:val="21"/>
          <w:szCs w:val="21"/>
        </w:rPr>
      </w:pPr>
      <w:r w:rsidRPr="009939F4">
        <w:rPr>
          <w:rFonts w:hint="eastAsia"/>
          <w:sz w:val="21"/>
          <w:szCs w:val="21"/>
        </w:rPr>
        <w:t>高齢者の人権に関する法的拘束力のある文書を策定するこの取り組みを歓迎する。本意見書は、高齢者を国際人権法における完全な権利主体として認める条約の策定を支持するものであり、特に、法制度および刑事司法制度への影響に重点を置きつつ、そのような文書の</w:t>
      </w:r>
      <w:r w:rsidR="00FD3165">
        <w:rPr>
          <w:rFonts w:hint="eastAsia"/>
          <w:sz w:val="21"/>
          <w:szCs w:val="21"/>
          <w:lang w:eastAsia="ja-JP"/>
        </w:rPr>
        <w:t>全体</w:t>
      </w:r>
      <w:r w:rsidRPr="009939F4">
        <w:rPr>
          <w:rFonts w:hint="eastAsia"/>
          <w:sz w:val="21"/>
          <w:szCs w:val="21"/>
        </w:rPr>
        <w:t>的な枠組み、構成、および指針となる原則に焦点を当てている。法的拘束力のある文書の必要性は、既存の枠組みにおいて権利が欠如していることから生じているわけではない。</w:t>
      </w:r>
      <w:r w:rsidRPr="009939F4">
        <w:rPr>
          <w:rStyle w:val="21"/>
          <w:sz w:val="21"/>
          <w:szCs w:val="21"/>
        </w:rPr>
        <w:t>むしろ、多くの高齢者は国際人権法において「見えざる存在」であり続け、しばしば</w:t>
      </w:r>
      <w:r w:rsidR="004E47B0">
        <w:rPr>
          <w:rStyle w:val="21"/>
          <w:rFonts w:hint="eastAsia"/>
          <w:sz w:val="21"/>
          <w:szCs w:val="21"/>
          <w:lang w:eastAsia="ja-JP"/>
        </w:rPr>
        <w:t>実現できる</w:t>
      </w:r>
      <w:r w:rsidRPr="009939F4">
        <w:rPr>
          <w:rStyle w:val="21"/>
          <w:sz w:val="21"/>
          <w:szCs w:val="21"/>
        </w:rPr>
        <w:t>権利としてではなく、社会政策や福祉の枠組みを通じて扱われてきた。これは、特に障害分野で見られるパターンと共通しており、そこでは父権主義から権利に基づくアプローチへの転換が求められた。人口の高齢化は既存のアプローチの限界を露呈させ、</w:t>
      </w:r>
      <w:r w:rsidR="00E2043A">
        <w:rPr>
          <w:rStyle w:val="21"/>
          <w:rFonts w:hint="eastAsia"/>
          <w:sz w:val="21"/>
          <w:szCs w:val="21"/>
          <w:lang w:eastAsia="ja-JP"/>
        </w:rPr>
        <w:t>また</w:t>
      </w:r>
      <w:r w:rsidRPr="009939F4">
        <w:rPr>
          <w:rStyle w:val="21"/>
          <w:sz w:val="21"/>
          <w:szCs w:val="21"/>
        </w:rPr>
        <w:t>多くの法域</w:t>
      </w:r>
      <w:r w:rsidR="004E47B0" w:rsidRPr="004E47B0">
        <w:rPr>
          <w:rStyle w:val="21"/>
          <w:rFonts w:hint="eastAsia"/>
          <w:sz w:val="18"/>
          <w:szCs w:val="18"/>
          <w:lang w:eastAsia="ja-JP"/>
        </w:rPr>
        <w:t>（</w:t>
      </w:r>
      <w:r w:rsidR="004E47B0" w:rsidRPr="004E47B0">
        <w:rPr>
          <w:rStyle w:val="21"/>
          <w:sz w:val="18"/>
          <w:szCs w:val="18"/>
          <w:lang w:eastAsia="ja-JP"/>
        </w:rPr>
        <w:t>jurisdiction</w:t>
      </w:r>
      <w:r w:rsidR="004E47B0" w:rsidRPr="004E47B0">
        <w:rPr>
          <w:rStyle w:val="21"/>
          <w:rFonts w:hint="eastAsia"/>
          <w:sz w:val="18"/>
          <w:szCs w:val="18"/>
          <w:lang w:eastAsia="ja-JP"/>
        </w:rPr>
        <w:t>s　訳注　国など。）</w:t>
      </w:r>
      <w:r w:rsidRPr="009939F4">
        <w:rPr>
          <w:rStyle w:val="21"/>
          <w:sz w:val="21"/>
          <w:szCs w:val="21"/>
        </w:rPr>
        <w:t>において、</w:t>
      </w:r>
      <w:r w:rsidR="00CE5569">
        <w:rPr>
          <w:rStyle w:val="21"/>
          <w:rFonts w:hint="eastAsia"/>
          <w:sz w:val="21"/>
          <w:szCs w:val="21"/>
          <w:lang w:eastAsia="ja-JP"/>
        </w:rPr>
        <w:t>エイジズム(</w:t>
      </w:r>
      <w:r w:rsidRPr="009939F4">
        <w:rPr>
          <w:rStyle w:val="21"/>
          <w:sz w:val="21"/>
          <w:szCs w:val="21"/>
        </w:rPr>
        <w:t>年齢差別</w:t>
      </w:r>
      <w:r w:rsidR="00CE5569">
        <w:rPr>
          <w:rStyle w:val="21"/>
          <w:rFonts w:hint="eastAsia"/>
          <w:sz w:val="21"/>
          <w:szCs w:val="21"/>
          <w:lang w:eastAsia="ja-JP"/>
        </w:rPr>
        <w:t>)</w:t>
      </w:r>
      <w:r w:rsidRPr="009939F4">
        <w:rPr>
          <w:rStyle w:val="21"/>
          <w:sz w:val="21"/>
          <w:szCs w:val="21"/>
        </w:rPr>
        <w:t>が法、政策、制度的</w:t>
      </w:r>
      <w:r w:rsidR="004E47B0">
        <w:rPr>
          <w:rStyle w:val="21"/>
          <w:rFonts w:hint="eastAsia"/>
          <w:sz w:val="21"/>
          <w:szCs w:val="21"/>
          <w:lang w:eastAsia="ja-JP"/>
        </w:rPr>
        <w:t>慣行</w:t>
      </w:r>
      <w:r w:rsidRPr="009939F4">
        <w:rPr>
          <w:rStyle w:val="21"/>
          <w:sz w:val="21"/>
          <w:szCs w:val="21"/>
        </w:rPr>
        <w:t>の構造的特徴として根強く残っている。したがって、新たな条約は、既存の権利</w:t>
      </w:r>
      <w:r w:rsidR="00CE5569">
        <w:rPr>
          <w:rStyle w:val="21"/>
          <w:rFonts w:hint="eastAsia"/>
          <w:sz w:val="21"/>
          <w:szCs w:val="21"/>
          <w:lang w:eastAsia="ja-JP"/>
        </w:rPr>
        <w:t>のくりかえし</w:t>
      </w:r>
      <w:r w:rsidRPr="009939F4">
        <w:rPr>
          <w:rStyle w:val="21"/>
          <w:sz w:val="21"/>
          <w:szCs w:val="21"/>
        </w:rPr>
        <w:t>にとどまるべきではない。高齢者が他</w:t>
      </w:r>
      <w:r w:rsidR="00CE5569">
        <w:rPr>
          <w:rStyle w:val="21"/>
          <w:rFonts w:hint="eastAsia"/>
          <w:sz w:val="21"/>
          <w:szCs w:val="21"/>
          <w:lang w:eastAsia="ja-JP"/>
        </w:rPr>
        <w:t>の</w:t>
      </w:r>
      <w:r w:rsidRPr="009939F4">
        <w:rPr>
          <w:rStyle w:val="21"/>
          <w:sz w:val="21"/>
          <w:szCs w:val="21"/>
        </w:rPr>
        <w:t>者と</w:t>
      </w:r>
      <w:r w:rsidR="00CE5569">
        <w:rPr>
          <w:rStyle w:val="21"/>
          <w:rFonts w:hint="eastAsia"/>
          <w:sz w:val="21"/>
          <w:szCs w:val="21"/>
          <w:lang w:eastAsia="ja-JP"/>
        </w:rPr>
        <w:t>平等</w:t>
      </w:r>
      <w:r w:rsidRPr="009939F4">
        <w:rPr>
          <w:rStyle w:val="21"/>
          <w:sz w:val="21"/>
          <w:szCs w:val="21"/>
        </w:rPr>
        <w:t>な立場で権利を行使することを妨げる構造的障壁を取り除くことができる条約を策定しなければならない。本</w:t>
      </w:r>
      <w:r w:rsidR="00CE5569">
        <w:rPr>
          <w:rStyle w:val="21"/>
          <w:rFonts w:hint="eastAsia"/>
          <w:sz w:val="21"/>
          <w:szCs w:val="21"/>
          <w:lang w:eastAsia="ja-JP"/>
        </w:rPr>
        <w:t>意見書</w:t>
      </w:r>
      <w:r w:rsidRPr="009939F4">
        <w:rPr>
          <w:rStyle w:val="21"/>
          <w:sz w:val="21"/>
          <w:szCs w:val="21"/>
        </w:rPr>
        <w:t>は、そのような条約の策定に関連する数多くの重要課題、すなわち包括的枠組み、指針となる原則、構成、および高齢化、権利、犯罪、刑事司法制度の交差する点における</w:t>
      </w:r>
      <w:r w:rsidR="00E2043A">
        <w:rPr>
          <w:rStyle w:val="21"/>
          <w:rFonts w:hint="eastAsia"/>
          <w:sz w:val="21"/>
          <w:szCs w:val="21"/>
          <w:lang w:eastAsia="ja-JP"/>
        </w:rPr>
        <w:t>いくつかの</w:t>
      </w:r>
      <w:r w:rsidRPr="009939F4">
        <w:rPr>
          <w:rStyle w:val="21"/>
          <w:sz w:val="21"/>
          <w:szCs w:val="21"/>
        </w:rPr>
        <w:t>課題</w:t>
      </w:r>
      <w:r w:rsidR="00E2043A">
        <w:rPr>
          <w:rStyle w:val="21"/>
          <w:rFonts w:hint="eastAsia"/>
          <w:sz w:val="21"/>
          <w:szCs w:val="21"/>
          <w:lang w:eastAsia="ja-JP"/>
        </w:rPr>
        <w:t>を</w:t>
      </w:r>
      <w:r w:rsidRPr="009939F4">
        <w:rPr>
          <w:rStyle w:val="21"/>
          <w:sz w:val="21"/>
          <w:szCs w:val="21"/>
        </w:rPr>
        <w:t>論じている。</w:t>
      </w:r>
    </w:p>
    <w:p w14:paraId="6A669BB5" w14:textId="77777777" w:rsidR="003D653A" w:rsidRDefault="291A752A">
      <w:pPr>
        <w:pStyle w:val="3"/>
        <w:numPr>
          <w:ilvl w:val="0"/>
          <w:numId w:val="5"/>
        </w:numPr>
        <w:tabs>
          <w:tab w:val="left" w:pos="1573"/>
        </w:tabs>
        <w:spacing w:before="256"/>
        <w:ind w:left="1573" w:hanging="274"/>
        <w:rPr>
          <w:lang w:eastAsia="ja-JP"/>
        </w:rPr>
      </w:pPr>
      <w:r w:rsidRPr="291A752A">
        <w:rPr>
          <w:rFonts w:ascii="ＭＳ 明朝" w:eastAsia="ＭＳ 明朝" w:hAnsi="ＭＳ 明朝" w:cs="ＭＳ 明朝" w:hint="eastAsia"/>
          <w:spacing w:val="-4"/>
          <w:sz w:val="23"/>
          <w:szCs w:val="23"/>
          <w:lang w:eastAsia="ja-JP"/>
        </w:rPr>
        <w:t>包</w:t>
      </w:r>
      <w:r w:rsidRPr="291A752A">
        <w:rPr>
          <w:spacing w:val="-4"/>
          <w:sz w:val="23"/>
          <w:szCs w:val="23"/>
          <w:lang w:eastAsia="ja-JP"/>
        </w:rPr>
        <w:t>括的枠組みと指針となる原則</w:t>
      </w:r>
    </w:p>
    <w:p w14:paraId="7D705DF2" w14:textId="77777777" w:rsidR="003D653A" w:rsidRDefault="291A752A">
      <w:pPr>
        <w:pStyle w:val="4"/>
        <w:numPr>
          <w:ilvl w:val="1"/>
          <w:numId w:val="5"/>
        </w:numPr>
        <w:tabs>
          <w:tab w:val="left" w:pos="1632"/>
        </w:tabs>
        <w:spacing w:before="256"/>
        <w:ind w:left="1632" w:hanging="333"/>
        <w:rPr>
          <w:lang w:eastAsia="ja-JP"/>
        </w:rPr>
      </w:pPr>
      <w:bookmarkStart w:id="0" w:name="2.1_A_Human_Rights-Based_Framework:_From"/>
      <w:bookmarkEnd w:id="0"/>
      <w:r w:rsidRPr="291A752A">
        <w:rPr>
          <w:spacing w:val="-2"/>
          <w:sz w:val="20"/>
          <w:szCs w:val="20"/>
          <w:lang w:eastAsia="ja-JP"/>
        </w:rPr>
        <w:t>人権に基づく枠組み：エイジズムから権利保有者への転換</w:t>
      </w:r>
    </w:p>
    <w:p w14:paraId="5AD0FC08" w14:textId="59A6B532" w:rsidR="003D653A" w:rsidRDefault="00DF0EC9" w:rsidP="009939F4">
      <w:pPr>
        <w:pStyle w:val="a3"/>
        <w:spacing w:before="267" w:line="235" w:lineRule="auto"/>
        <w:ind w:left="1299" w:right="1432" w:firstLineChars="100" w:firstLine="210"/>
        <w:rPr>
          <w:lang w:eastAsia="ja-JP"/>
        </w:rPr>
      </w:pPr>
      <w:r w:rsidRPr="009939F4">
        <w:rPr>
          <w:rStyle w:val="51"/>
          <w:rFonts w:ascii="ＭＳ 明朝" w:eastAsia="ＭＳ 明朝" w:hAnsi="ＭＳ 明朝" w:cs="ＭＳ 明朝" w:hint="eastAsia"/>
        </w:rPr>
        <w:t>本条約は、エイジズムを排し、高齢者を権利、自律、および参加の主体として位置づける、</w:t>
      </w:r>
      <w:r w:rsidR="00734203">
        <w:rPr>
          <w:rStyle w:val="51"/>
          <w:rFonts w:ascii="ＭＳ 明朝" w:eastAsia="ＭＳ 明朝" w:hAnsi="ＭＳ 明朝" w:cs="ＭＳ 明朝" w:hint="eastAsia"/>
          <w:lang w:eastAsia="ja-JP"/>
        </w:rPr>
        <w:t>わかりやすく</w:t>
      </w:r>
      <w:r w:rsidRPr="009939F4">
        <w:rPr>
          <w:rStyle w:val="51"/>
          <w:rFonts w:ascii="ＭＳ 明朝" w:eastAsia="ＭＳ 明朝" w:hAnsi="ＭＳ 明朝" w:cs="ＭＳ 明朝" w:hint="eastAsia"/>
        </w:rPr>
        <w:t>明示的な人権に基づく枠組みに立脚すべきである。国連障害者権利条約（</w:t>
      </w:r>
      <w:r w:rsidRPr="009939F4">
        <w:rPr>
          <w:rStyle w:val="51"/>
        </w:rPr>
        <w:t>CRPD</w:t>
      </w:r>
      <w:r w:rsidRPr="009939F4">
        <w:rPr>
          <w:rStyle w:val="51"/>
          <w:rFonts w:ascii="ＭＳ 明朝" w:eastAsia="ＭＳ 明朝" w:hAnsi="ＭＳ 明朝" w:cs="ＭＳ 明朝" w:hint="eastAsia"/>
        </w:rPr>
        <w:t>）の策定から得られる中心的な教訓は、法制度</w:t>
      </w:r>
      <w:r w:rsidR="00D31B04">
        <w:rPr>
          <w:rStyle w:val="51"/>
          <w:rFonts w:ascii="ＭＳ 明朝" w:eastAsia="ＭＳ 明朝" w:hAnsi="ＭＳ 明朝" w:cs="ＭＳ 明朝" w:hint="eastAsia"/>
          <w:lang w:eastAsia="ja-JP"/>
        </w:rPr>
        <w:t>の内部での、</w:t>
      </w:r>
      <w:r w:rsidRPr="009939F4">
        <w:rPr>
          <w:rStyle w:val="51"/>
          <w:rFonts w:ascii="ＭＳ 明朝" w:eastAsia="ＭＳ 明朝" w:hAnsi="ＭＳ 明朝" w:cs="ＭＳ 明朝" w:hint="eastAsia"/>
        </w:rPr>
        <w:t>人々</w:t>
      </w:r>
      <w:r w:rsidR="00D31B04">
        <w:rPr>
          <w:rStyle w:val="51"/>
          <w:rFonts w:ascii="ＭＳ 明朝" w:eastAsia="ＭＳ 明朝" w:hAnsi="ＭＳ 明朝" w:cs="ＭＳ 明朝" w:hint="eastAsia"/>
          <w:lang w:eastAsia="ja-JP"/>
        </w:rPr>
        <w:t>に対する見方</w:t>
      </w:r>
      <w:r w:rsidRPr="009939F4">
        <w:rPr>
          <w:rStyle w:val="51"/>
          <w:rFonts w:ascii="ＭＳ 明朝" w:eastAsia="ＭＳ 明朝" w:hAnsi="ＭＳ 明朝" w:cs="ＭＳ 明朝" w:hint="eastAsia"/>
        </w:rPr>
        <w:t>の相応の転換がなければ、権利の形式的な承認だけでは不十分であるということである。高齢化の文脈においても同様の転換が必要であり、状況や経験には重要な違いがあるものの、高齢者を対等な立場</w:t>
      </w:r>
      <w:r w:rsidR="00D31B04">
        <w:rPr>
          <w:rStyle w:val="51"/>
          <w:rFonts w:ascii="ＭＳ 明朝" w:eastAsia="ＭＳ 明朝" w:hAnsi="ＭＳ 明朝" w:cs="ＭＳ 明朝" w:hint="eastAsia"/>
          <w:lang w:eastAsia="ja-JP"/>
        </w:rPr>
        <w:t>の</w:t>
      </w:r>
      <w:r w:rsidRPr="009939F4">
        <w:rPr>
          <w:rStyle w:val="51"/>
          <w:rFonts w:ascii="ＭＳ 明朝" w:eastAsia="ＭＳ 明朝" w:hAnsi="ＭＳ 明朝" w:cs="ＭＳ 明朝" w:hint="eastAsia"/>
        </w:rPr>
        <w:t>権利保有者として位置づける必要性は依然として根本的なものであることを認識しなければならない。</w:t>
      </w:r>
    </w:p>
    <w:p w14:paraId="1E61A722" w14:textId="723EFB4B" w:rsidR="003D653A" w:rsidRDefault="291A752A">
      <w:pPr>
        <w:pStyle w:val="4"/>
        <w:numPr>
          <w:ilvl w:val="1"/>
          <w:numId w:val="5"/>
        </w:numPr>
        <w:tabs>
          <w:tab w:val="left" w:pos="1646"/>
        </w:tabs>
        <w:spacing w:before="254"/>
        <w:ind w:left="1646" w:hanging="347"/>
        <w:rPr>
          <w:lang w:eastAsia="ja-JP"/>
        </w:rPr>
      </w:pPr>
      <w:bookmarkStart w:id="1" w:name="2.2_Participation_and_Voice:_“Nothing_Ab"/>
      <w:bookmarkEnd w:id="1"/>
      <w:r w:rsidRPr="291A752A">
        <w:rPr>
          <w:spacing w:val="-2"/>
          <w:sz w:val="20"/>
          <w:szCs w:val="20"/>
          <w:lang w:eastAsia="ja-JP"/>
        </w:rPr>
        <w:t>参加と発言権：「私たち抜き</w:t>
      </w:r>
      <w:r w:rsidR="00D31B04">
        <w:rPr>
          <w:rFonts w:ascii="ＭＳ 明朝" w:eastAsia="ＭＳ 明朝" w:hAnsi="ＭＳ 明朝" w:cs="ＭＳ 明朝" w:hint="eastAsia"/>
          <w:spacing w:val="-2"/>
          <w:sz w:val="20"/>
          <w:szCs w:val="20"/>
          <w:lang w:eastAsia="ja-JP"/>
        </w:rPr>
        <w:t>に</w:t>
      </w:r>
      <w:r w:rsidRPr="291A752A">
        <w:rPr>
          <w:spacing w:val="-2"/>
          <w:sz w:val="20"/>
          <w:szCs w:val="20"/>
          <w:lang w:eastAsia="ja-JP"/>
        </w:rPr>
        <w:t>私たちのことを決め</w:t>
      </w:r>
      <w:r w:rsidR="00D31B04">
        <w:rPr>
          <w:rFonts w:ascii="ＭＳ 明朝" w:eastAsia="ＭＳ 明朝" w:hAnsi="ＭＳ 明朝" w:cs="ＭＳ 明朝" w:hint="eastAsia"/>
          <w:spacing w:val="-2"/>
          <w:sz w:val="20"/>
          <w:szCs w:val="20"/>
          <w:lang w:eastAsia="ja-JP"/>
        </w:rPr>
        <w:t>ないで</w:t>
      </w:r>
      <w:r w:rsidRPr="291A752A">
        <w:rPr>
          <w:spacing w:val="-2"/>
          <w:sz w:val="20"/>
          <w:szCs w:val="20"/>
          <w:lang w:eastAsia="ja-JP"/>
        </w:rPr>
        <w:t>」</w:t>
      </w:r>
    </w:p>
    <w:p w14:paraId="00139644" w14:textId="6233FA07" w:rsidR="003D653A" w:rsidRDefault="291A752A" w:rsidP="009939F4">
      <w:pPr>
        <w:pStyle w:val="50"/>
        <w:rPr>
          <w:lang w:eastAsia="ja-JP"/>
        </w:rPr>
      </w:pPr>
      <w:r w:rsidRPr="291A752A">
        <w:rPr>
          <w:rFonts w:ascii="ＭＳ 明朝" w:eastAsia="ＭＳ 明朝" w:hAnsi="ＭＳ 明朝" w:cs="ＭＳ 明朝" w:hint="eastAsia"/>
          <w:lang w:eastAsia="ja-JP"/>
        </w:rPr>
        <w:t>法的拘束力のある文書の策定と実施を支えるべき中心的な原則は、「私たち抜き</w:t>
      </w:r>
      <w:r w:rsidR="00DD4AC3">
        <w:rPr>
          <w:rFonts w:ascii="ＭＳ 明朝" w:eastAsia="ＭＳ 明朝" w:hAnsi="ＭＳ 明朝" w:cs="ＭＳ 明朝" w:hint="eastAsia"/>
          <w:lang w:eastAsia="ja-JP"/>
        </w:rPr>
        <w:t>に</w:t>
      </w:r>
      <w:r w:rsidRPr="291A752A">
        <w:rPr>
          <w:rFonts w:ascii="ＭＳ 明朝" w:eastAsia="ＭＳ 明朝" w:hAnsi="ＭＳ 明朝" w:cs="ＭＳ 明朝" w:hint="eastAsia"/>
          <w:lang w:eastAsia="ja-JP"/>
        </w:rPr>
        <w:t>私たちに関する決定</w:t>
      </w:r>
      <w:r w:rsidR="00DD4AC3">
        <w:rPr>
          <w:rFonts w:ascii="ＭＳ 明朝" w:eastAsia="ＭＳ 明朝" w:hAnsi="ＭＳ 明朝" w:cs="ＭＳ 明朝" w:hint="eastAsia"/>
          <w:lang w:eastAsia="ja-JP"/>
        </w:rPr>
        <w:t>をしてはならない</w:t>
      </w:r>
      <w:r w:rsidRPr="291A752A">
        <w:rPr>
          <w:rFonts w:ascii="ＭＳ 明朝" w:eastAsia="ＭＳ 明朝" w:hAnsi="ＭＳ 明朝" w:cs="ＭＳ 明朝" w:hint="eastAsia"/>
          <w:lang w:eastAsia="ja-JP"/>
        </w:rPr>
        <w:t>」である。高齢の権利保有者は、政策や保護の対象として受動的に扱われるのではなく、自らの生活に影響を与える法律や政策の形成における能動的な参加者として扱われなければならない。おそらく</w:t>
      </w:r>
      <w:r w:rsidRPr="291A752A">
        <w:rPr>
          <w:rFonts w:ascii="ＭＳ 明朝" w:eastAsia="ＭＳ 明朝" w:hAnsi="ＭＳ 明朝" w:cs="ＭＳ 明朝" w:hint="eastAsia"/>
          <w:spacing w:val="-4"/>
          <w:lang w:eastAsia="ja-JP"/>
        </w:rPr>
        <w:t>、この新しい文書の起草に向けた</w:t>
      </w:r>
      <w:r w:rsidRPr="291A752A">
        <w:rPr>
          <w:rFonts w:ascii="ＭＳ 明朝" w:eastAsia="ＭＳ 明朝" w:hAnsi="ＭＳ 明朝" w:cs="ＭＳ 明朝" w:hint="eastAsia"/>
          <w:i/>
          <w:iCs/>
          <w:spacing w:val="-4"/>
          <w:lang w:eastAsia="ja-JP"/>
        </w:rPr>
        <w:t>「心の叫び</w:t>
      </w:r>
      <w:r w:rsidRPr="00E2043A">
        <w:rPr>
          <w:rFonts w:ascii="ＭＳ 明朝" w:eastAsia="ＭＳ 明朝" w:hAnsi="ＭＳ 明朝" w:cs="ＭＳ 明朝" w:hint="eastAsia"/>
          <w:i/>
          <w:iCs/>
          <w:lang w:eastAsia="ja-JP"/>
        </w:rPr>
        <w:t>」</w:t>
      </w:r>
      <w:r w:rsidRPr="291A752A">
        <w:rPr>
          <w:rFonts w:ascii="ＭＳ 明朝" w:eastAsia="ＭＳ 明朝" w:hAnsi="ＭＳ 明朝" w:cs="ＭＳ 明朝" w:hint="eastAsia"/>
          <w:spacing w:val="-4"/>
          <w:lang w:eastAsia="ja-JP"/>
        </w:rPr>
        <w:t>は、「私たちの権利、私たちの発言、高齢者の声が先導する」となるだろう。</w:t>
      </w:r>
      <w:r w:rsidRPr="291A752A">
        <w:rPr>
          <w:rFonts w:ascii="ＭＳ 明朝" w:eastAsia="ＭＳ 明朝" w:hAnsi="ＭＳ 明朝" w:cs="ＭＳ 明朝" w:hint="eastAsia"/>
          <w:i/>
          <w:iCs/>
          <w:spacing w:val="-2"/>
          <w:lang w:eastAsia="ja-JP"/>
        </w:rPr>
        <w:t>「心の叫び」</w:t>
      </w:r>
      <w:r w:rsidR="00451C2A">
        <w:rPr>
          <w:rFonts w:ascii="ＭＳ 明朝" w:eastAsia="ＭＳ 明朝" w:hAnsi="ＭＳ 明朝" w:cs="ＭＳ 明朝" w:hint="eastAsia"/>
          <w:i/>
          <w:iCs/>
          <w:spacing w:val="-2"/>
          <w:lang w:eastAsia="ja-JP"/>
        </w:rPr>
        <w:t>に基づく協議か、</w:t>
      </w:r>
      <w:r w:rsidRPr="291A752A">
        <w:rPr>
          <w:rFonts w:ascii="ＭＳ 明朝" w:eastAsia="ＭＳ 明朝" w:hAnsi="ＭＳ 明朝" w:cs="ＭＳ 明朝" w:hint="eastAsia"/>
          <w:spacing w:val="-2"/>
          <w:lang w:eastAsia="ja-JP"/>
        </w:rPr>
        <w:t>象徴的</w:t>
      </w:r>
      <w:r w:rsidR="00451C2A">
        <w:rPr>
          <w:rFonts w:ascii="ＭＳ 明朝" w:eastAsia="ＭＳ 明朝" w:hAnsi="ＭＳ 明朝" w:cs="ＭＳ 明朝" w:hint="eastAsia"/>
          <w:spacing w:val="-2"/>
          <w:lang w:eastAsia="ja-JP"/>
        </w:rPr>
        <w:t>な協議か、</w:t>
      </w:r>
      <w:r w:rsidRPr="291A752A">
        <w:rPr>
          <w:rFonts w:ascii="ＭＳ 明朝" w:eastAsia="ＭＳ 明朝" w:hAnsi="ＭＳ 明朝" w:cs="ＭＳ 明朝" w:hint="eastAsia"/>
          <w:spacing w:val="-2"/>
          <w:lang w:eastAsia="ja-JP"/>
        </w:rPr>
        <w:t>形だけの</w:t>
      </w:r>
      <w:r w:rsidR="00451C2A">
        <w:rPr>
          <w:rFonts w:ascii="ＭＳ 明朝" w:eastAsia="ＭＳ 明朝" w:hAnsi="ＭＳ 明朝" w:cs="ＭＳ 明朝" w:hint="eastAsia"/>
          <w:spacing w:val="-2"/>
          <w:lang w:eastAsia="ja-JP"/>
        </w:rPr>
        <w:t>協議かにかかわらず、協議では不十分である</w:t>
      </w:r>
      <w:r w:rsidR="00451C2A">
        <w:rPr>
          <w:rFonts w:ascii="ＭＳ 明朝" w:eastAsia="ＭＳ 明朝" w:hAnsi="ＭＳ 明朝" w:cs="ＭＳ 明朝" w:hint="eastAsia"/>
          <w:lang w:eastAsia="ja-JP"/>
        </w:rPr>
        <w:t>。</w:t>
      </w:r>
      <w:r>
        <w:rPr>
          <w:rFonts w:ascii="ＭＳ 明朝" w:eastAsia="ＭＳ 明朝" w:hAnsi="ＭＳ 明朝" w:cs="ＭＳ 明朝" w:hint="eastAsia"/>
          <w:lang w:eastAsia="ja-JP"/>
        </w:rPr>
        <w:t>必要なのは、法や政策の策定の全段階、さらにはその実施や</w:t>
      </w:r>
      <w:r w:rsidR="00451C2A">
        <w:rPr>
          <w:rFonts w:ascii="ＭＳ 明朝" w:eastAsia="ＭＳ 明朝" w:hAnsi="ＭＳ 明朝" w:cs="ＭＳ 明朝" w:hint="eastAsia"/>
          <w:lang w:eastAsia="ja-JP"/>
        </w:rPr>
        <w:t>監視</w:t>
      </w:r>
      <w:r>
        <w:rPr>
          <w:rFonts w:ascii="ＭＳ 明朝" w:eastAsia="ＭＳ 明朝" w:hAnsi="ＭＳ 明朝" w:cs="ＭＳ 明朝" w:hint="eastAsia"/>
          <w:lang w:eastAsia="ja-JP"/>
        </w:rPr>
        <w:t>において、有意義かつ持続的で、十分なリソースを伴った参加である。高齢の権利保有者は、権利侵害の特定、エイジズムの暴露、そして効果的な対</w:t>
      </w:r>
      <w:r>
        <w:rPr>
          <w:rFonts w:ascii="ＭＳ 明朝" w:eastAsia="ＭＳ 明朝" w:hAnsi="ＭＳ 明朝" w:cs="ＭＳ 明朝" w:hint="eastAsia"/>
          <w:lang w:eastAsia="ja-JP"/>
        </w:rPr>
        <w:lastRenderedPageBreak/>
        <w:t>応策の設計に不可欠な実体験を</w:t>
      </w:r>
      <w:r w:rsidR="00451C2A">
        <w:rPr>
          <w:rFonts w:ascii="ＭＳ 明朝" w:eastAsia="ＭＳ 明朝" w:hAnsi="ＭＳ 明朝" w:cs="ＭＳ 明朝" w:hint="eastAsia"/>
          <w:lang w:eastAsia="ja-JP"/>
        </w:rPr>
        <w:t>持ち込む</w:t>
      </w:r>
      <w:r>
        <w:rPr>
          <w:rFonts w:ascii="ＭＳ 明朝" w:eastAsia="ＭＳ 明朝" w:hAnsi="ＭＳ 明朝" w:cs="ＭＳ 明朝" w:hint="eastAsia"/>
          <w:lang w:eastAsia="ja-JP"/>
        </w:rPr>
        <w:t>。したがって、この文書は、こうした構造的な不利益に対処する実質的平等のモデルを採用しなければならない。</w:t>
      </w:r>
    </w:p>
    <w:p w14:paraId="0A78627B" w14:textId="5DE56F3F" w:rsidR="003D653A" w:rsidRDefault="291A752A">
      <w:pPr>
        <w:pStyle w:val="4"/>
        <w:numPr>
          <w:ilvl w:val="1"/>
          <w:numId w:val="5"/>
        </w:numPr>
        <w:tabs>
          <w:tab w:val="left" w:pos="1646"/>
        </w:tabs>
        <w:spacing w:before="255"/>
        <w:ind w:left="1646" w:hanging="347"/>
        <w:rPr>
          <w:lang w:eastAsia="ja-JP"/>
        </w:rPr>
      </w:pPr>
      <w:r w:rsidRPr="291A752A">
        <w:rPr>
          <w:spacing w:val="-2"/>
          <w:sz w:val="20"/>
          <w:szCs w:val="20"/>
          <w:lang w:eastAsia="ja-JP"/>
        </w:rPr>
        <w:t>自律、法的能力、および実質的平等</w:t>
      </w:r>
    </w:p>
    <w:p w14:paraId="4766CFDE" w14:textId="06BFFA12" w:rsidR="003D653A" w:rsidRDefault="00DF0EC9" w:rsidP="009939F4">
      <w:pPr>
        <w:pStyle w:val="a3"/>
        <w:spacing w:before="266" w:line="235" w:lineRule="auto"/>
        <w:ind w:left="1299" w:right="1432" w:firstLineChars="100" w:firstLine="210"/>
        <w:rPr>
          <w:lang w:eastAsia="ja-JP"/>
        </w:rPr>
      </w:pPr>
      <w:r w:rsidRPr="00ED1563">
        <w:rPr>
          <w:rStyle w:val="51"/>
          <w:rFonts w:ascii="ＭＳ 明朝" w:eastAsia="ＭＳ 明朝" w:hAnsi="ＭＳ 明朝" w:cs="ＭＳ 明朝" w:hint="eastAsia"/>
        </w:rPr>
        <w:t>多くの高齢者は、法的効力</w:t>
      </w:r>
      <w:r w:rsidR="00ED1563">
        <w:rPr>
          <w:rStyle w:val="51"/>
          <w:rFonts w:ascii="ＭＳ 明朝" w:eastAsia="ＭＳ 明朝" w:hAnsi="ＭＳ 明朝" w:cs="ＭＳ 明朝" w:hint="eastAsia"/>
          <w:lang w:eastAsia="ja-JP"/>
        </w:rPr>
        <w:t>のある</w:t>
      </w:r>
      <w:r w:rsidRPr="00ED1563">
        <w:rPr>
          <w:rStyle w:val="51"/>
          <w:rFonts w:ascii="ＭＳ 明朝" w:eastAsia="ＭＳ 明朝" w:hAnsi="ＭＳ 明朝" w:cs="ＭＳ 明朝" w:hint="eastAsia"/>
        </w:rPr>
        <w:t>決定を</w:t>
      </w:r>
      <w:r w:rsidRPr="009939F4">
        <w:rPr>
          <w:rStyle w:val="51"/>
          <w:rFonts w:ascii="ＭＳ 明朝" w:eastAsia="ＭＳ 明朝" w:hAnsi="ＭＳ 明朝" w:cs="ＭＳ 明朝" w:hint="eastAsia"/>
        </w:rPr>
        <w:t>行う権利</w:t>
      </w:r>
      <w:r w:rsidR="00ED1563">
        <w:rPr>
          <w:rStyle w:val="51"/>
          <w:rFonts w:ascii="ＭＳ 明朝" w:eastAsia="ＭＳ 明朝" w:hAnsi="ＭＳ 明朝" w:cs="ＭＳ 明朝" w:hint="eastAsia"/>
          <w:lang w:eastAsia="ja-JP"/>
        </w:rPr>
        <w:t>の</w:t>
      </w:r>
      <w:r w:rsidRPr="009939F4">
        <w:rPr>
          <w:rStyle w:val="51"/>
          <w:rFonts w:ascii="ＭＳ 明朝" w:eastAsia="ＭＳ 明朝" w:hAnsi="ＭＳ 明朝" w:cs="ＭＳ 明朝" w:hint="eastAsia"/>
        </w:rPr>
        <w:t>主体としてではなく、暗黙的</w:t>
      </w:r>
      <w:r w:rsidR="00ED1563">
        <w:rPr>
          <w:rStyle w:val="51"/>
          <w:rFonts w:ascii="ＭＳ 明朝" w:eastAsia="ＭＳ 明朝" w:hAnsi="ＭＳ 明朝" w:cs="ＭＳ 明朝" w:hint="eastAsia"/>
          <w:lang w:eastAsia="ja-JP"/>
        </w:rPr>
        <w:t>にも</w:t>
      </w:r>
      <w:r w:rsidRPr="009939F4">
        <w:rPr>
          <w:rStyle w:val="51"/>
          <w:rFonts w:ascii="ＭＳ 明朝" w:eastAsia="ＭＳ 明朝" w:hAnsi="ＭＳ 明朝" w:cs="ＭＳ 明朝" w:hint="eastAsia"/>
        </w:rPr>
        <w:t>明示的に</w:t>
      </w:r>
      <w:r w:rsidR="00ED1563">
        <w:rPr>
          <w:rStyle w:val="51"/>
          <w:rFonts w:ascii="ＭＳ 明朝" w:eastAsia="ＭＳ 明朝" w:hAnsi="ＭＳ 明朝" w:cs="ＭＳ 明朝" w:hint="eastAsia"/>
          <w:lang w:eastAsia="ja-JP"/>
        </w:rPr>
        <w:t>も</w:t>
      </w:r>
      <w:r w:rsidRPr="009939F4">
        <w:rPr>
          <w:rStyle w:val="51"/>
          <w:rFonts w:ascii="ＭＳ 明朝" w:eastAsia="ＭＳ 明朝" w:hAnsi="ＭＳ 明朝" w:cs="ＭＳ 明朝" w:hint="eastAsia"/>
        </w:rPr>
        <w:t>、ケアの受動的な受け手として位置づけられ続けて</w:t>
      </w:r>
      <w:r w:rsidR="00ED1563">
        <w:rPr>
          <w:rStyle w:val="51"/>
          <w:rFonts w:ascii="ＭＳ 明朝" w:eastAsia="ＭＳ 明朝" w:hAnsi="ＭＳ 明朝" w:cs="ＭＳ 明朝" w:hint="eastAsia"/>
        </w:rPr>
        <w:t>いる</w:t>
      </w:r>
      <w:r w:rsidRPr="009939F4">
        <w:rPr>
          <w:rStyle w:val="51"/>
          <w:rFonts w:ascii="ＭＳ 明朝" w:eastAsia="ＭＳ 明朝" w:hAnsi="ＭＳ 明朝" w:cs="ＭＳ 明朝" w:hint="eastAsia"/>
        </w:rPr>
        <w:t>。これは、金銭的な決定や医療などの分野における意思決定において特に顕著</w:t>
      </w:r>
      <w:r w:rsidR="00ED1563">
        <w:rPr>
          <w:rStyle w:val="51"/>
          <w:rFonts w:ascii="ＭＳ 明朝" w:eastAsia="ＭＳ 明朝" w:hAnsi="ＭＳ 明朝" w:cs="ＭＳ 明朝" w:hint="eastAsia"/>
        </w:rPr>
        <w:t>である</w:t>
      </w:r>
      <w:r w:rsidRPr="009939F4">
        <w:rPr>
          <w:rStyle w:val="51"/>
          <w:rFonts w:ascii="ＭＳ 明朝" w:eastAsia="ＭＳ 明朝" w:hAnsi="ＭＳ 明朝" w:cs="ＭＳ 明朝" w:hint="eastAsia"/>
        </w:rPr>
        <w:t>。新たな枠組みは、こうした前提に異議を唱え、支援付き意思決定を認める枠組みを組み込む必要が</w:t>
      </w:r>
      <w:r w:rsidR="00ED1563">
        <w:rPr>
          <w:rStyle w:val="51"/>
          <w:rFonts w:ascii="ＭＳ 明朝" w:eastAsia="ＭＳ 明朝" w:hAnsi="ＭＳ 明朝" w:cs="ＭＳ 明朝" w:hint="eastAsia"/>
        </w:rPr>
        <w:t>ある</w:t>
      </w:r>
      <w:r w:rsidRPr="009939F4">
        <w:rPr>
          <w:rStyle w:val="51"/>
          <w:rFonts w:ascii="ＭＳ 明朝" w:eastAsia="ＭＳ 明朝" w:hAnsi="ＭＳ 明朝" w:cs="ＭＳ 明朝" w:hint="eastAsia"/>
        </w:rPr>
        <w:t>。年齢に基づく差別は、定年制、医療へのアクセス格差、法的能力の制限などを通じて、法制度の中でしばしば常態化している。したがって、この枠組みは、不利益に対処する実質的平等のモデルを採用しなければならない。</w:t>
      </w:r>
    </w:p>
    <w:p w14:paraId="4E414E35" w14:textId="5D366B65" w:rsidR="003D653A" w:rsidRDefault="00ED1563">
      <w:pPr>
        <w:pStyle w:val="4"/>
        <w:numPr>
          <w:ilvl w:val="1"/>
          <w:numId w:val="5"/>
        </w:numPr>
        <w:tabs>
          <w:tab w:val="left" w:pos="1646"/>
        </w:tabs>
        <w:spacing w:before="254"/>
        <w:ind w:left="1646" w:hanging="347"/>
      </w:pPr>
      <w:r>
        <w:rPr>
          <w:rFonts w:ascii="ＭＳ 明朝" w:eastAsia="ＭＳ 明朝" w:hAnsi="ＭＳ 明朝" w:cs="ＭＳ 明朝" w:hint="eastAsia"/>
          <w:spacing w:val="-2"/>
          <w:sz w:val="20"/>
          <w:szCs w:val="20"/>
          <w:lang w:eastAsia="ja-JP"/>
        </w:rPr>
        <w:t>この文書</w:t>
      </w:r>
      <w:r w:rsidR="291A752A" w:rsidRPr="291A752A">
        <w:rPr>
          <w:spacing w:val="-2"/>
          <w:sz w:val="20"/>
          <w:szCs w:val="20"/>
        </w:rPr>
        <w:t>の</w:t>
      </w:r>
      <w:r>
        <w:rPr>
          <w:rFonts w:ascii="ＭＳ 明朝" w:eastAsia="ＭＳ 明朝" w:hAnsi="ＭＳ 明朝" w:cs="ＭＳ 明朝" w:hint="eastAsia"/>
          <w:spacing w:val="-2"/>
          <w:sz w:val="20"/>
          <w:szCs w:val="20"/>
          <w:lang w:eastAsia="ja-JP"/>
        </w:rPr>
        <w:t>中核的</w:t>
      </w:r>
      <w:r w:rsidR="291A752A" w:rsidRPr="291A752A">
        <w:rPr>
          <w:spacing w:val="-2"/>
          <w:sz w:val="20"/>
          <w:szCs w:val="20"/>
        </w:rPr>
        <w:t>原則</w:t>
      </w:r>
    </w:p>
    <w:p w14:paraId="7540DB5F" w14:textId="16B3868F" w:rsidR="00CB5EC8" w:rsidRDefault="00ED1563" w:rsidP="009939F4">
      <w:pPr>
        <w:pStyle w:val="50"/>
        <w:rPr>
          <w:rFonts w:hint="eastAsia"/>
          <w:lang w:eastAsia="ja-JP"/>
        </w:rPr>
      </w:pPr>
      <w:r>
        <w:rPr>
          <w:rFonts w:ascii="ＭＳ 明朝" w:eastAsia="ＭＳ 明朝" w:hAnsi="ＭＳ 明朝" w:cs="ＭＳ 明朝" w:hint="eastAsia"/>
          <w:lang w:eastAsia="ja-JP"/>
        </w:rPr>
        <w:t>この文書</w:t>
      </w:r>
      <w:r w:rsidR="00DF0EC9">
        <w:rPr>
          <w:rFonts w:ascii="ＭＳ 明朝" w:eastAsia="ＭＳ 明朝" w:hAnsi="ＭＳ 明朝" w:cs="ＭＳ 明朝" w:hint="eastAsia"/>
          <w:lang w:eastAsia="ja-JP"/>
        </w:rPr>
        <w:t>の指針となる原則は、既存の人権法との連続性を反映するとともに、高齢者に影響</w:t>
      </w:r>
      <w:r w:rsidR="00DE2002">
        <w:rPr>
          <w:rFonts w:ascii="ＭＳ 明朝" w:eastAsia="ＭＳ 明朝" w:hAnsi="ＭＳ 明朝" w:cs="ＭＳ 明朝" w:hint="eastAsia"/>
          <w:lang w:eastAsia="ja-JP"/>
        </w:rPr>
        <w:t>している特異的な</w:t>
      </w:r>
      <w:r w:rsidR="00DF0EC9">
        <w:rPr>
          <w:rFonts w:ascii="ＭＳ 明朝" w:eastAsia="ＭＳ 明朝" w:hAnsi="ＭＳ 明朝" w:cs="ＭＳ 明朝" w:hint="eastAsia"/>
          <w:lang w:eastAsia="ja-JP"/>
        </w:rPr>
        <w:t>格差に対処する必要性を反映すべきである。</w:t>
      </w:r>
      <w:bookmarkStart w:id="2" w:name="_Hlk232718213"/>
      <w:r w:rsidR="00DE2002">
        <w:rPr>
          <w:rFonts w:ascii="ＭＳ 明朝" w:eastAsia="ＭＳ 明朝" w:hAnsi="ＭＳ 明朝" w:cs="ＭＳ 明朝" w:hint="eastAsia"/>
          <w:lang w:eastAsia="ja-JP"/>
        </w:rPr>
        <w:t>この文書</w:t>
      </w:r>
      <w:r w:rsidR="00DF0EC9">
        <w:rPr>
          <w:rFonts w:ascii="ＭＳ 明朝" w:eastAsia="ＭＳ 明朝" w:hAnsi="ＭＳ 明朝" w:cs="ＭＳ 明朝" w:hint="eastAsia"/>
          <w:lang w:eastAsia="ja-JP"/>
        </w:rPr>
        <w:t>は、高齢者の生命と</w:t>
      </w:r>
      <w:r w:rsidR="00DE2002">
        <w:rPr>
          <w:rFonts w:ascii="ＭＳ 明朝" w:eastAsia="ＭＳ 明朝" w:hAnsi="ＭＳ 明朝" w:cs="ＭＳ 明朝" w:hint="eastAsia"/>
          <w:lang w:eastAsia="ja-JP"/>
        </w:rPr>
        <w:t>その</w:t>
      </w:r>
      <w:r w:rsidR="00DF0EC9">
        <w:rPr>
          <w:rFonts w:ascii="ＭＳ 明朝" w:eastAsia="ＭＳ 明朝" w:hAnsi="ＭＳ 明朝" w:cs="ＭＳ 明朝" w:hint="eastAsia"/>
          <w:lang w:eastAsia="ja-JP"/>
        </w:rPr>
        <w:t>社会への貢献</w:t>
      </w:r>
      <w:r w:rsidR="00DE2002">
        <w:rPr>
          <w:rFonts w:ascii="ＭＳ 明朝" w:eastAsia="ＭＳ 明朝" w:hAnsi="ＭＳ 明朝" w:cs="ＭＳ 明朝" w:hint="eastAsia"/>
          <w:lang w:eastAsia="ja-JP"/>
        </w:rPr>
        <w:t>がもっている、生来の</w:t>
      </w:r>
      <w:r w:rsidR="00DF0EC9">
        <w:rPr>
          <w:rFonts w:ascii="ＭＳ 明朝" w:eastAsia="ＭＳ 明朝" w:hAnsi="ＭＳ 明朝" w:cs="ＭＳ 明朝" w:hint="eastAsia"/>
          <w:lang w:eastAsia="ja-JP"/>
        </w:rPr>
        <w:t>尊厳と</w:t>
      </w:r>
      <w:r w:rsidR="00DE2002">
        <w:rPr>
          <w:rFonts w:ascii="ＭＳ 明朝" w:eastAsia="ＭＳ 明朝" w:hAnsi="ＭＳ 明朝" w:cs="ＭＳ 明朝" w:hint="eastAsia"/>
          <w:lang w:eastAsia="ja-JP"/>
        </w:rPr>
        <w:t>平等な</w:t>
      </w:r>
      <w:r w:rsidR="00DF0EC9">
        <w:rPr>
          <w:rFonts w:ascii="ＭＳ 明朝" w:eastAsia="ＭＳ 明朝" w:hAnsi="ＭＳ 明朝" w:cs="ＭＳ 明朝" w:hint="eastAsia"/>
          <w:lang w:eastAsia="ja-JP"/>
        </w:rPr>
        <w:t>価値を明確に認めるものでなければならない。</w:t>
      </w:r>
      <w:bookmarkEnd w:id="2"/>
    </w:p>
    <w:p w14:paraId="65008055" w14:textId="30254A0A" w:rsidR="003D653A" w:rsidRPr="00CB5EC8" w:rsidRDefault="00DF0EC9">
      <w:pPr>
        <w:pStyle w:val="a5"/>
        <w:numPr>
          <w:ilvl w:val="2"/>
          <w:numId w:val="5"/>
        </w:numPr>
        <w:tabs>
          <w:tab w:val="left" w:pos="1801"/>
        </w:tabs>
        <w:spacing w:before="264"/>
        <w:ind w:left="1801" w:right="0" w:hanging="502"/>
        <w:rPr>
          <w:b/>
          <w:bCs/>
          <w:i/>
          <w:sz w:val="24"/>
        </w:rPr>
      </w:pPr>
      <w:r w:rsidRPr="00CB5EC8">
        <w:rPr>
          <w:rFonts w:ascii="ＭＳ 明朝" w:eastAsia="ＭＳ 明朝" w:hAnsi="ＭＳ 明朝" w:cs="ＭＳ 明朝" w:hint="eastAsia"/>
          <w:b/>
          <w:bCs/>
          <w:i/>
          <w:w w:val="85"/>
          <w:sz w:val="19"/>
        </w:rPr>
        <w:t>自律と法</w:t>
      </w:r>
      <w:r w:rsidRPr="00CB5EC8">
        <w:rPr>
          <w:rFonts w:ascii="ＭＳ 明朝" w:eastAsia="ＭＳ 明朝" w:hAnsi="ＭＳ 明朝" w:cs="ＭＳ 明朝" w:hint="eastAsia"/>
          <w:b/>
          <w:bCs/>
          <w:i/>
          <w:spacing w:val="-2"/>
          <w:w w:val="85"/>
          <w:sz w:val="19"/>
        </w:rPr>
        <w:t>的能力</w:t>
      </w:r>
    </w:p>
    <w:p w14:paraId="5F482BB2" w14:textId="1B63D4F1" w:rsidR="003D653A" w:rsidRDefault="00DF0EC9" w:rsidP="009939F4">
      <w:pPr>
        <w:pStyle w:val="50"/>
        <w:rPr>
          <w:lang w:eastAsia="ja-JP"/>
        </w:rPr>
      </w:pPr>
      <w:r>
        <w:rPr>
          <w:rFonts w:ascii="ＭＳ 明朝" w:eastAsia="ＭＳ 明朝" w:hAnsi="ＭＳ 明朝" w:cs="ＭＳ 明朝" w:hint="eastAsia"/>
          <w:lang w:eastAsia="ja-JP"/>
        </w:rPr>
        <w:t>重要な原則として、自律と法的能力の承認が挙げられる。年齢に関連する認知機能評価を根拠として正当化されることが多い、代理意思決定制度の広範な利用は、深刻な人権上の懸念を引き起こしている。</w:t>
      </w:r>
    </w:p>
    <w:p w14:paraId="6EC13E4D" w14:textId="77777777" w:rsidR="003D653A" w:rsidRPr="00CB5EC8" w:rsidRDefault="00DF0EC9">
      <w:pPr>
        <w:pStyle w:val="a5"/>
        <w:numPr>
          <w:ilvl w:val="2"/>
          <w:numId w:val="5"/>
        </w:numPr>
        <w:tabs>
          <w:tab w:val="left" w:pos="1801"/>
        </w:tabs>
        <w:spacing w:before="265"/>
        <w:ind w:left="1801" w:right="0" w:hanging="502"/>
        <w:rPr>
          <w:b/>
          <w:bCs/>
          <w:i/>
          <w:sz w:val="24"/>
        </w:rPr>
      </w:pPr>
      <w:bookmarkStart w:id="3" w:name="2.4.2_Participation_and_Inclusion"/>
      <w:bookmarkEnd w:id="3"/>
      <w:r w:rsidRPr="00CB5EC8">
        <w:rPr>
          <w:b/>
          <w:bCs/>
          <w:i/>
          <w:w w:val="80"/>
          <w:sz w:val="19"/>
        </w:rPr>
        <w:t>参加と</w:t>
      </w:r>
      <w:r w:rsidRPr="00CB5EC8">
        <w:rPr>
          <w:b/>
          <w:bCs/>
          <w:i/>
          <w:spacing w:val="-2"/>
          <w:w w:val="80"/>
          <w:sz w:val="19"/>
        </w:rPr>
        <w:t>包摂</w:t>
      </w:r>
    </w:p>
    <w:p w14:paraId="06800CBB" w14:textId="6EFEEAAC" w:rsidR="003D653A" w:rsidRDefault="000E2BC2" w:rsidP="009939F4">
      <w:pPr>
        <w:pStyle w:val="50"/>
        <w:rPr>
          <w:lang w:eastAsia="ja-JP"/>
        </w:rPr>
      </w:pPr>
      <w:r>
        <w:rPr>
          <w:rFonts w:ascii="ＭＳ 明朝" w:eastAsia="ＭＳ 明朝" w:hAnsi="ＭＳ 明朝" w:cs="ＭＳ 明朝" w:hint="eastAsia"/>
          <w:lang w:eastAsia="ja-JP"/>
        </w:rPr>
        <w:t>この文書</w:t>
      </w:r>
      <w:r w:rsidR="00DF0EC9">
        <w:rPr>
          <w:rFonts w:ascii="ＭＳ 明朝" w:eastAsia="ＭＳ 明朝" w:hAnsi="ＭＳ 明朝" w:cs="ＭＳ 明朝" w:hint="eastAsia"/>
          <w:lang w:eastAsia="ja-JP"/>
        </w:rPr>
        <w:t>は、高齢者が自らの生活について法的に有効な決定を行う権利を明記し、また意思決定の行使および社会のあらゆる側面への参加を可能にするための支援を</w:t>
      </w:r>
      <w:r w:rsidR="003317E9">
        <w:rPr>
          <w:rFonts w:ascii="ＭＳ 明朝" w:eastAsia="ＭＳ 明朝" w:hAnsi="ＭＳ 明朝" w:cs="ＭＳ 明朝" w:hint="eastAsia"/>
          <w:lang w:eastAsia="ja-JP"/>
        </w:rPr>
        <w:t>（必要に応じて）</w:t>
      </w:r>
      <w:r w:rsidR="00DF0EC9">
        <w:rPr>
          <w:rFonts w:ascii="ＭＳ 明朝" w:eastAsia="ＭＳ 明朝" w:hAnsi="ＭＳ 明朝" w:cs="ＭＳ 明朝" w:hint="eastAsia"/>
          <w:lang w:eastAsia="ja-JP"/>
        </w:rPr>
        <w:t>提供することを</w:t>
      </w:r>
      <w:r>
        <w:rPr>
          <w:rFonts w:ascii="ＭＳ 明朝" w:eastAsia="ＭＳ 明朝" w:hAnsi="ＭＳ 明朝" w:cs="ＭＳ 明朝" w:hint="eastAsia"/>
          <w:lang w:eastAsia="ja-JP"/>
        </w:rPr>
        <w:t>各国に</w:t>
      </w:r>
      <w:r w:rsidR="00DF0EC9">
        <w:rPr>
          <w:rFonts w:ascii="ＭＳ 明朝" w:eastAsia="ＭＳ 明朝" w:hAnsi="ＭＳ 明朝" w:cs="ＭＳ 明朝" w:hint="eastAsia"/>
          <w:lang w:eastAsia="ja-JP"/>
        </w:rPr>
        <w:t>義務付けるべきである。参加とは、広</w:t>
      </w:r>
      <w:r>
        <w:rPr>
          <w:rFonts w:ascii="ＭＳ 明朝" w:eastAsia="ＭＳ 明朝" w:hAnsi="ＭＳ 明朝" w:cs="ＭＳ 明朝" w:hint="eastAsia"/>
          <w:lang w:eastAsia="ja-JP"/>
        </w:rPr>
        <w:t>く</w:t>
      </w:r>
      <w:r w:rsidR="00DF0EC9">
        <w:rPr>
          <w:rFonts w:ascii="ＭＳ 明朝" w:eastAsia="ＭＳ 明朝" w:hAnsi="ＭＳ 明朝" w:cs="ＭＳ 明朝" w:hint="eastAsia"/>
          <w:lang w:eastAsia="ja-JP"/>
        </w:rPr>
        <w:t>かつ実質的な意味で理解されなければなら</w:t>
      </w:r>
      <w:r>
        <w:rPr>
          <w:rFonts w:ascii="ＭＳ 明朝" w:eastAsia="ＭＳ 明朝" w:hAnsi="ＭＳ 明朝" w:cs="ＭＳ 明朝" w:hint="eastAsia"/>
          <w:lang w:eastAsia="ja-JP"/>
        </w:rPr>
        <w:t>ない。それは</w:t>
      </w:r>
      <w:r w:rsidR="00DF0EC9">
        <w:rPr>
          <w:rFonts w:ascii="ＭＳ 明朝" w:eastAsia="ＭＳ 明朝" w:hAnsi="ＭＳ 明朝" w:cs="ＭＳ 明朝" w:hint="eastAsia"/>
          <w:lang w:eastAsia="ja-JP"/>
        </w:rPr>
        <w:t>形式的な包摂に限定されるものではなく、高齢者が社会的、政治的、法的、文化的活動に十分に関与することを妨げる障壁の除去を必要とするものである。</w:t>
      </w:r>
    </w:p>
    <w:p w14:paraId="7975260A" w14:textId="18078C67" w:rsidR="003D653A" w:rsidRPr="00CB5EC8" w:rsidRDefault="000E2BC2">
      <w:pPr>
        <w:pStyle w:val="a5"/>
        <w:numPr>
          <w:ilvl w:val="2"/>
          <w:numId w:val="5"/>
        </w:numPr>
        <w:tabs>
          <w:tab w:val="left" w:pos="1801"/>
        </w:tabs>
        <w:spacing w:before="264"/>
        <w:ind w:left="1801" w:right="0" w:hanging="502"/>
        <w:rPr>
          <w:b/>
          <w:bCs/>
          <w:i/>
          <w:sz w:val="24"/>
          <w:lang w:eastAsia="ja-JP"/>
        </w:rPr>
      </w:pPr>
      <w:bookmarkStart w:id="4" w:name="2.4.3_Independent_Living,_Community_Incl"/>
      <w:bookmarkEnd w:id="4"/>
      <w:r>
        <w:rPr>
          <w:rFonts w:ascii="ＭＳ 明朝" w:eastAsia="ＭＳ 明朝" w:hAnsi="ＭＳ 明朝" w:cs="ＭＳ 明朝" w:hint="eastAsia"/>
          <w:b/>
          <w:bCs/>
          <w:i/>
          <w:w w:val="80"/>
          <w:sz w:val="19"/>
          <w:lang w:eastAsia="ja-JP"/>
        </w:rPr>
        <w:t>独立</w:t>
      </w:r>
      <w:r w:rsidR="00DF0EC9" w:rsidRPr="00CB5EC8">
        <w:rPr>
          <w:b/>
          <w:bCs/>
          <w:i/>
          <w:w w:val="80"/>
          <w:sz w:val="19"/>
          <w:lang w:eastAsia="ja-JP"/>
        </w:rPr>
        <w:t>した生活、地域社会への包摂、および</w:t>
      </w:r>
      <w:r w:rsidR="00DF0EC9" w:rsidRPr="00CB5EC8">
        <w:rPr>
          <w:b/>
          <w:bCs/>
          <w:i/>
          <w:spacing w:val="-2"/>
          <w:w w:val="80"/>
          <w:sz w:val="19"/>
          <w:lang w:eastAsia="ja-JP"/>
        </w:rPr>
        <w:t>住み慣れた地域</w:t>
      </w:r>
      <w:r w:rsidR="00DF0EC9" w:rsidRPr="00CB5EC8">
        <w:rPr>
          <w:b/>
          <w:bCs/>
          <w:i/>
          <w:w w:val="80"/>
          <w:sz w:val="19"/>
          <w:lang w:eastAsia="ja-JP"/>
        </w:rPr>
        <w:t>で</w:t>
      </w:r>
      <w:r w:rsidR="00D21F8E">
        <w:rPr>
          <w:rFonts w:ascii="ＭＳ 明朝" w:eastAsia="ＭＳ 明朝" w:hAnsi="ＭＳ 明朝" w:cs="ＭＳ 明朝" w:hint="eastAsia"/>
          <w:b/>
          <w:bCs/>
          <w:i/>
          <w:w w:val="80"/>
          <w:sz w:val="19"/>
          <w:lang w:eastAsia="ja-JP"/>
        </w:rPr>
        <w:t>歳を重ねること</w:t>
      </w:r>
    </w:p>
    <w:p w14:paraId="4985E871" w14:textId="4F936DB2" w:rsidR="003D653A" w:rsidRDefault="00DF0EC9" w:rsidP="009939F4">
      <w:pPr>
        <w:pStyle w:val="50"/>
        <w:rPr>
          <w:lang w:eastAsia="ja-JP"/>
        </w:rPr>
      </w:pPr>
      <w:r>
        <w:rPr>
          <w:rFonts w:eastAsia="ＭＳ 明朝" w:hint="eastAsia"/>
          <w:lang w:eastAsia="ja-JP"/>
        </w:rPr>
        <w:t>参加と包摂の原則もまた認</w:t>
      </w:r>
      <w:r w:rsidR="00D21F8E">
        <w:rPr>
          <w:rFonts w:eastAsia="ＭＳ 明朝" w:hint="eastAsia"/>
          <w:lang w:eastAsia="ja-JP"/>
        </w:rPr>
        <w:t>められ</w:t>
      </w:r>
      <w:r>
        <w:rPr>
          <w:rFonts w:eastAsia="ＭＳ 明朝" w:hint="eastAsia"/>
          <w:lang w:eastAsia="ja-JP"/>
        </w:rPr>
        <w:t>なければならない。高齢者は、政治的・公的</w:t>
      </w:r>
      <w:r w:rsidR="00D21F8E">
        <w:rPr>
          <w:rFonts w:eastAsia="ＭＳ 明朝" w:hint="eastAsia"/>
          <w:lang w:eastAsia="ja-JP"/>
        </w:rPr>
        <w:t>活動</w:t>
      </w:r>
      <w:r>
        <w:rPr>
          <w:rFonts w:eastAsia="ＭＳ 明朝" w:hint="eastAsia"/>
          <w:lang w:eastAsia="ja-JP"/>
        </w:rPr>
        <w:t>を含む生活のあらゆる側面、および自身に影響を及ぼす決定に、全面的に参加する権利を</w:t>
      </w:r>
      <w:r w:rsidR="00D21F8E">
        <w:rPr>
          <w:rFonts w:eastAsia="ＭＳ 明朝" w:hint="eastAsia"/>
          <w:lang w:eastAsia="ja-JP"/>
        </w:rPr>
        <w:t>もつ</w:t>
      </w:r>
      <w:r>
        <w:rPr>
          <w:rFonts w:eastAsia="ＭＳ 明朝" w:hint="eastAsia"/>
          <w:lang w:eastAsia="ja-JP"/>
        </w:rPr>
        <w:t>べきである。これには、高齢化に関する法律や政策の策定への参加も含まれる。自立生活と地域社会への包摂の原則も同様に重要である。</w:t>
      </w:r>
      <w:r w:rsidR="00D21F8E">
        <w:rPr>
          <w:rFonts w:eastAsia="ＭＳ 明朝" w:hint="eastAsia"/>
          <w:lang w:eastAsia="ja-JP"/>
        </w:rPr>
        <w:t>分離</w:t>
      </w:r>
      <w:r>
        <w:rPr>
          <w:rFonts w:eastAsia="ＭＳ 明朝" w:hint="eastAsia"/>
          <w:lang w:eastAsia="ja-JP"/>
        </w:rPr>
        <w:t>や施設入所は、多くの</w:t>
      </w:r>
      <w:r w:rsidR="00D21F8E">
        <w:rPr>
          <w:rFonts w:eastAsia="ＭＳ 明朝" w:hint="eastAsia"/>
          <w:lang w:eastAsia="ja-JP"/>
        </w:rPr>
        <w:t>国</w:t>
      </w:r>
      <w:r>
        <w:rPr>
          <w:rFonts w:eastAsia="ＭＳ 明朝" w:hint="eastAsia"/>
          <w:lang w:eastAsia="ja-JP"/>
        </w:rPr>
        <w:t>において依然として高齢化政策の顕著な特徴であり、自由の剥奪に関する重大な懸念を引き起こしている。</w:t>
      </w:r>
      <w:r w:rsidR="00D21F8E">
        <w:rPr>
          <w:rFonts w:eastAsia="ＭＳ 明朝" w:hint="eastAsia"/>
          <w:lang w:eastAsia="ja-JP"/>
        </w:rPr>
        <w:t>この文書</w:t>
      </w:r>
      <w:r>
        <w:rPr>
          <w:rFonts w:eastAsia="ＭＳ 明朝" w:hint="eastAsia"/>
          <w:lang w:eastAsia="ja-JP"/>
        </w:rPr>
        <w:t>は、高齢者が地域社会で生活し、必要に応じて支援を受ける権利を認めるべきである</w:t>
      </w:r>
      <w:r w:rsidR="00D21F8E">
        <w:rPr>
          <w:rStyle w:val="ac"/>
          <w:rFonts w:eastAsia="ＭＳ 明朝"/>
          <w:lang w:eastAsia="ja-JP"/>
        </w:rPr>
        <w:footnoteReference w:id="1"/>
      </w:r>
      <w:r>
        <w:rPr>
          <w:rFonts w:eastAsia="ＭＳ 明朝" w:hint="eastAsia"/>
          <w:lang w:eastAsia="ja-JP"/>
        </w:rPr>
        <w:t>。この権利を具体化するにあたり、草案は、障害者権利委員会の</w:t>
      </w:r>
      <w:r w:rsidR="002F42A3">
        <w:rPr>
          <w:rFonts w:eastAsia="ＭＳ 明朝" w:hint="eastAsia"/>
          <w:lang w:eastAsia="ja-JP"/>
        </w:rPr>
        <w:t>法的理解（</w:t>
      </w:r>
      <w:r w:rsidR="002F42A3" w:rsidRPr="002F42A3">
        <w:rPr>
          <w:rFonts w:eastAsia="ＭＳ 明朝"/>
          <w:lang w:eastAsia="ja-JP"/>
        </w:rPr>
        <w:t>jurisprudence</w:t>
      </w:r>
      <w:r w:rsidR="002F42A3">
        <w:rPr>
          <w:rFonts w:eastAsia="ＭＳ 明朝" w:hint="eastAsia"/>
          <w:lang w:eastAsia="ja-JP"/>
        </w:rPr>
        <w:t>）</w:t>
      </w:r>
      <w:r>
        <w:rPr>
          <w:rFonts w:eastAsia="ＭＳ 明朝" w:hint="eastAsia"/>
          <w:lang w:eastAsia="ja-JP"/>
        </w:rPr>
        <w:t>、特に第</w:t>
      </w:r>
      <w:r>
        <w:rPr>
          <w:lang w:eastAsia="ja-JP"/>
        </w:rPr>
        <w:t>19</w:t>
      </w:r>
      <w:r>
        <w:rPr>
          <w:rFonts w:eastAsia="ＭＳ 明朝" w:hint="eastAsia"/>
          <w:lang w:eastAsia="ja-JP"/>
        </w:rPr>
        <w:t>条の解釈と実質的に整合させるべきである</w:t>
      </w:r>
      <w:bookmarkStart w:id="5" w:name="_bookmark5"/>
      <w:bookmarkEnd w:id="5"/>
      <w:r w:rsidR="002F42A3">
        <w:rPr>
          <w:rFonts w:eastAsia="ＭＳ 明朝" w:hint="eastAsia"/>
          <w:lang w:eastAsia="ja-JP"/>
        </w:rPr>
        <w:t>。そこでは独立生活の権利と地域社会に包摂される権利の両方を保障している。またこの文書は、</w:t>
      </w:r>
      <w:r w:rsidR="291A752A" w:rsidRPr="291A752A">
        <w:rPr>
          <w:rFonts w:ascii="ＭＳ 明朝" w:eastAsia="ＭＳ 明朝" w:hAnsi="ＭＳ 明朝" w:cs="ＭＳ 明朝" w:hint="eastAsia"/>
          <w:lang w:eastAsia="ja-JP"/>
        </w:rPr>
        <w:t>「住み慣れた場所で</w:t>
      </w:r>
      <w:r w:rsidR="002F42A3">
        <w:rPr>
          <w:rFonts w:ascii="ＭＳ 明朝" w:eastAsia="ＭＳ 明朝" w:hAnsi="ＭＳ 明朝" w:cs="ＭＳ 明朝" w:hint="eastAsia"/>
          <w:lang w:eastAsia="ja-JP"/>
        </w:rPr>
        <w:t>歳をとる</w:t>
      </w:r>
      <w:r w:rsidR="291A752A" w:rsidRPr="291A752A">
        <w:rPr>
          <w:rFonts w:ascii="ＭＳ 明朝" w:eastAsia="ＭＳ 明朝" w:hAnsi="ＭＳ 明朝" w:cs="ＭＳ 明朝" w:hint="eastAsia"/>
          <w:lang w:eastAsia="ja-JP"/>
        </w:rPr>
        <w:t>」という概念に言及し、それが高齢者の実体験において中心的な位置を占めることを認</w:t>
      </w:r>
      <w:r w:rsidR="002F42A3">
        <w:rPr>
          <w:rFonts w:ascii="ＭＳ 明朝" w:eastAsia="ＭＳ 明朝" w:hAnsi="ＭＳ 明朝" w:cs="ＭＳ 明朝" w:hint="eastAsia"/>
          <w:lang w:eastAsia="ja-JP"/>
        </w:rPr>
        <w:t>め</w:t>
      </w:r>
      <w:r w:rsidR="291A752A" w:rsidRPr="291A752A">
        <w:rPr>
          <w:rFonts w:ascii="ＭＳ 明朝" w:eastAsia="ＭＳ 明朝" w:hAnsi="ＭＳ 明朝" w:cs="ＭＳ 明朝" w:hint="eastAsia"/>
          <w:lang w:eastAsia="ja-JP"/>
        </w:rPr>
        <w:t>るとともに、この権利のより広範な理解、および自律、選択、地域社会への包摂を重視する観点から、それが完全に実現されるよう確保しなければならない。</w:t>
      </w:r>
    </w:p>
    <w:p w14:paraId="313311CA" w14:textId="77777777" w:rsidR="003D653A" w:rsidRDefault="291A752A" w:rsidP="0078715B">
      <w:pPr>
        <w:pStyle w:val="5"/>
        <w:numPr>
          <w:ilvl w:val="2"/>
          <w:numId w:val="5"/>
        </w:numPr>
        <w:tabs>
          <w:tab w:val="left" w:pos="1821"/>
        </w:tabs>
        <w:spacing w:before="264"/>
        <w:ind w:left="1821" w:rightChars="645" w:right="1419" w:hanging="522"/>
      </w:pPr>
      <w:bookmarkStart w:id="6" w:name="2.4.4_Substantive_Equality_and_Intersect"/>
      <w:bookmarkEnd w:id="6"/>
      <w:r w:rsidRPr="291A752A">
        <w:rPr>
          <w:rFonts w:ascii="ＭＳ 明朝" w:eastAsia="ＭＳ 明朝" w:hAnsi="ＭＳ 明朝" w:cs="ＭＳ 明朝" w:hint="eastAsia"/>
          <w:spacing w:val="-2"/>
          <w:sz w:val="19"/>
          <w:szCs w:val="19"/>
        </w:rPr>
        <w:t>実</w:t>
      </w:r>
      <w:r w:rsidRPr="291A752A">
        <w:rPr>
          <w:spacing w:val="-2"/>
          <w:sz w:val="19"/>
          <w:szCs w:val="19"/>
        </w:rPr>
        <w:t>質的平等と交差性</w:t>
      </w:r>
    </w:p>
    <w:p w14:paraId="06719C50" w14:textId="65E42100" w:rsidR="008763C6" w:rsidRPr="008763C6" w:rsidRDefault="00DF0EC9" w:rsidP="009939F4">
      <w:pPr>
        <w:pStyle w:val="50"/>
        <w:rPr>
          <w:lang w:eastAsia="ja-JP"/>
        </w:rPr>
      </w:pPr>
      <w:r>
        <w:rPr>
          <w:rFonts w:ascii="ＭＳ 明朝" w:eastAsia="ＭＳ 明朝" w:hAnsi="ＭＳ 明朝" w:cs="ＭＳ 明朝" w:hint="eastAsia"/>
          <w:lang w:eastAsia="ja-JP"/>
        </w:rPr>
        <w:t>前述の通り、実質的平等への</w:t>
      </w:r>
      <w:r w:rsidR="0078715B">
        <w:rPr>
          <w:rFonts w:ascii="ＭＳ 明朝" w:eastAsia="ＭＳ 明朝" w:hAnsi="ＭＳ 明朝" w:cs="ＭＳ 明朝" w:hint="eastAsia"/>
          <w:lang w:eastAsia="ja-JP"/>
        </w:rPr>
        <w:t>希求（commitment）</w:t>
      </w:r>
      <w:r>
        <w:rPr>
          <w:rFonts w:ascii="ＭＳ 明朝" w:eastAsia="ＭＳ 明朝" w:hAnsi="ＭＳ 明朝" w:cs="ＭＳ 明朝" w:hint="eastAsia"/>
          <w:lang w:eastAsia="ja-JP"/>
        </w:rPr>
        <w:t>がすべての規定の基盤となるべきである。こ</w:t>
      </w:r>
      <w:r>
        <w:rPr>
          <w:rFonts w:ascii="ＭＳ 明朝" w:eastAsia="ＭＳ 明朝" w:hAnsi="ＭＳ 明朝" w:cs="ＭＳ 明朝" w:hint="eastAsia"/>
          <w:lang w:eastAsia="ja-JP"/>
        </w:rPr>
        <w:lastRenderedPageBreak/>
        <w:t>れには、国家が差別を禁止するだけでなく、構造的な不平等に対処し、権利への平等なアクセスを確保するための積極的な措置を講じることが求められる。</w:t>
      </w:r>
      <w:r w:rsidR="0078715B">
        <w:rPr>
          <w:rFonts w:ascii="ＭＳ 明朝" w:eastAsia="ＭＳ 明朝" w:hAnsi="ＭＳ 明朝" w:cs="ＭＳ 明朝" w:hint="eastAsia"/>
          <w:lang w:eastAsia="ja-JP"/>
        </w:rPr>
        <w:t>またこの文書は</w:t>
      </w:r>
      <w:r>
        <w:rPr>
          <w:rFonts w:ascii="ＭＳ 明朝" w:eastAsia="ＭＳ 明朝" w:hAnsi="ＭＳ 明朝" w:cs="ＭＳ 明朝" w:hint="eastAsia"/>
          <w:lang w:eastAsia="ja-JP"/>
        </w:rPr>
        <w:t>、高齢化の交差的な性質を認</w:t>
      </w:r>
      <w:r w:rsidR="0078715B">
        <w:rPr>
          <w:rFonts w:ascii="ＭＳ 明朝" w:eastAsia="ＭＳ 明朝" w:hAnsi="ＭＳ 明朝" w:cs="ＭＳ 明朝" w:hint="eastAsia"/>
          <w:lang w:eastAsia="ja-JP"/>
        </w:rPr>
        <w:t>め</w:t>
      </w:r>
      <w:r>
        <w:rPr>
          <w:rFonts w:ascii="ＭＳ 明朝" w:eastAsia="ＭＳ 明朝" w:hAnsi="ＭＳ 明朝" w:cs="ＭＳ 明朝" w:hint="eastAsia"/>
          <w:lang w:eastAsia="ja-JP"/>
        </w:rPr>
        <w:t>なければならない。高齢者は均質な集団ではなく、加齢の経験には、障害、</w:t>
      </w:r>
      <w:r w:rsidR="0078715B">
        <w:rPr>
          <w:rFonts w:ascii="ＭＳ 明朝" w:eastAsia="ＭＳ 明朝" w:hAnsi="ＭＳ 明朝" w:cs="ＭＳ 明朝" w:hint="eastAsia"/>
          <w:lang w:eastAsia="ja-JP"/>
        </w:rPr>
        <w:t>ジェンダー</w:t>
      </w:r>
      <w:r>
        <w:rPr>
          <w:rFonts w:ascii="ＭＳ 明朝" w:eastAsia="ＭＳ 明朝" w:hAnsi="ＭＳ 明朝" w:cs="ＭＳ 明朝" w:hint="eastAsia"/>
          <w:lang w:eastAsia="ja-JP"/>
        </w:rPr>
        <w:t>、社会経済的地位、民族、その他のマイノリティとしてのアイデンティティなど</w:t>
      </w:r>
      <w:hyperlink w:anchor="_bookmark6" w:history="1">
        <w:r w:rsidR="003D653A">
          <w:rPr>
            <w:rFonts w:ascii="ＭＳ 明朝" w:eastAsia="ＭＳ 明朝" w:hAnsi="ＭＳ 明朝" w:cs="ＭＳ 明朝" w:hint="eastAsia"/>
            <w:lang w:eastAsia="ja-JP"/>
          </w:rPr>
          <w:t>、</w:t>
        </w:r>
      </w:hyperlink>
      <w:r>
        <w:rPr>
          <w:rFonts w:ascii="ＭＳ 明朝" w:eastAsia="ＭＳ 明朝" w:hAnsi="ＭＳ 明朝" w:cs="ＭＳ 明朝" w:hint="eastAsia"/>
          <w:lang w:eastAsia="ja-JP"/>
        </w:rPr>
        <w:t>多様な要因が関わっている</w:t>
      </w:r>
      <w:r w:rsidR="0078715B">
        <w:rPr>
          <w:rStyle w:val="ac"/>
          <w:rFonts w:ascii="ＭＳ 明朝" w:eastAsia="ＭＳ 明朝" w:hAnsi="ＭＳ 明朝" w:cs="ＭＳ 明朝"/>
          <w:lang w:eastAsia="ja-JP"/>
        </w:rPr>
        <w:footnoteReference w:id="2"/>
      </w:r>
      <w:r>
        <w:rPr>
          <w:rFonts w:ascii="ＭＳ 明朝" w:eastAsia="ＭＳ 明朝" w:hAnsi="ＭＳ 明朝" w:cs="ＭＳ 明朝" w:hint="eastAsia"/>
          <w:lang w:eastAsia="ja-JP"/>
        </w:rPr>
        <w:t>。したがって、</w:t>
      </w:r>
      <w:r w:rsidR="0078715B">
        <w:rPr>
          <w:rFonts w:ascii="ＭＳ 明朝" w:eastAsia="ＭＳ 明朝" w:hAnsi="ＭＳ 明朝" w:cs="ＭＳ 明朝" w:hint="eastAsia"/>
          <w:lang w:eastAsia="ja-JP"/>
        </w:rPr>
        <w:t>この文書</w:t>
      </w:r>
      <w:r>
        <w:rPr>
          <w:rFonts w:ascii="ＭＳ 明朝" w:eastAsia="ＭＳ 明朝" w:hAnsi="ＭＳ 明朝" w:cs="ＭＳ 明朝" w:hint="eastAsia"/>
          <w:lang w:eastAsia="ja-JP"/>
        </w:rPr>
        <w:t>は、こうした複雑</w:t>
      </w:r>
      <w:r w:rsidR="0078715B">
        <w:rPr>
          <w:rFonts w:ascii="ＭＳ 明朝" w:eastAsia="ＭＳ 明朝" w:hAnsi="ＭＳ 明朝" w:cs="ＭＳ 明朝" w:hint="eastAsia"/>
          <w:lang w:eastAsia="ja-JP"/>
        </w:rPr>
        <w:t>さ</w:t>
      </w:r>
      <w:r>
        <w:rPr>
          <w:rFonts w:ascii="ＭＳ 明朝" w:eastAsia="ＭＳ 明朝" w:hAnsi="ＭＳ 明朝" w:cs="ＭＳ 明朝" w:hint="eastAsia"/>
          <w:lang w:eastAsia="ja-JP"/>
        </w:rPr>
        <w:t>を反映した交差性のアプローチを採用すべきである。</w:t>
      </w:r>
    </w:p>
    <w:p w14:paraId="63CE1A93" w14:textId="049325D8" w:rsidR="003D653A" w:rsidRDefault="00DF0EC9">
      <w:pPr>
        <w:pStyle w:val="3"/>
        <w:numPr>
          <w:ilvl w:val="0"/>
          <w:numId w:val="5"/>
        </w:numPr>
        <w:tabs>
          <w:tab w:val="left" w:pos="1573"/>
        </w:tabs>
        <w:ind w:left="1573" w:hanging="274"/>
        <w:rPr>
          <w:lang w:eastAsia="ja-JP"/>
        </w:rPr>
      </w:pPr>
      <w:r>
        <w:rPr>
          <w:sz w:val="23"/>
          <w:lang w:eastAsia="ja-JP"/>
        </w:rPr>
        <w:t>高齢者の定義は？</w:t>
      </w:r>
    </w:p>
    <w:p w14:paraId="74DE727C" w14:textId="7BD2E6F2" w:rsidR="003D653A" w:rsidRPr="009939F4" w:rsidRDefault="00DF0EC9" w:rsidP="009939F4">
      <w:pPr>
        <w:pStyle w:val="a3"/>
        <w:spacing w:before="269" w:line="235" w:lineRule="auto"/>
        <w:ind w:left="1299" w:right="1432" w:firstLineChars="100" w:firstLine="210"/>
        <w:rPr>
          <w:rStyle w:val="51"/>
        </w:rPr>
      </w:pPr>
      <w:r w:rsidRPr="00041072">
        <w:rPr>
          <w:rStyle w:val="51"/>
          <w:rFonts w:ascii="ＭＳ 明朝" w:eastAsia="ＭＳ 明朝" w:hAnsi="ＭＳ 明朝" w:cs="ＭＳ 明朝" w:hint="eastAsia"/>
        </w:rPr>
        <w:t>「高齢者」をいかに定義するかという問題</w:t>
      </w:r>
      <w:r w:rsidRPr="009939F4">
        <w:rPr>
          <w:rStyle w:val="51"/>
          <w:rFonts w:ascii="ＭＳ 明朝" w:eastAsia="ＭＳ 明朝" w:hAnsi="ＭＳ 明朝" w:cs="ＭＳ 明朝" w:hint="eastAsia"/>
        </w:rPr>
        <w:t>は、法的拘束力のある文書の策定において中心的かつ論争の的となり得る課題であり、初期段階から慎重な検討を要する。障害者権利条約の経験は参考になる</w:t>
      </w:r>
      <w:r w:rsidR="00BB65A9">
        <w:rPr>
          <w:rStyle w:val="ac"/>
          <w:rFonts w:ascii="ＭＳ 明朝" w:eastAsia="ＭＳ 明朝" w:hAnsi="ＭＳ 明朝" w:cs="ＭＳ 明朝"/>
          <w:sz w:val="21"/>
          <w:szCs w:val="21"/>
        </w:rPr>
        <w:footnoteReference w:id="3"/>
      </w:r>
      <w:r w:rsidRPr="009939F4">
        <w:rPr>
          <w:rStyle w:val="51"/>
          <w:rFonts w:ascii="ＭＳ 明朝" w:eastAsia="ＭＳ 明朝" w:hAnsi="ＭＳ 明朝" w:cs="ＭＳ 明朝" w:hint="eastAsia"/>
        </w:rPr>
        <w:t>。障害の定義をめぐる議論では、開放的で進化する概念を支持する立場と、義務の範囲を限定するためにより厳密な定義を求める立場との間に緊張関係が露呈した</w:t>
      </w:r>
      <w:r w:rsidR="00BB65A9">
        <w:rPr>
          <w:rStyle w:val="ac"/>
          <w:rFonts w:ascii="ＭＳ 明朝" w:eastAsia="ＭＳ 明朝" w:hAnsi="ＭＳ 明朝" w:cs="ＭＳ 明朝"/>
          <w:sz w:val="21"/>
          <w:szCs w:val="21"/>
        </w:rPr>
        <w:footnoteReference w:id="4"/>
      </w:r>
      <w:r w:rsidRPr="009939F4">
        <w:rPr>
          <w:rStyle w:val="51"/>
          <w:rFonts w:ascii="ＭＳ 明朝" w:eastAsia="ＭＳ 明朝" w:hAnsi="ＭＳ 明朝" w:cs="ＭＳ 明朝" w:hint="eastAsia"/>
        </w:rPr>
        <w:t>。高齢化の文脈においても、同様の力学が生じる可能性が高い。しかし、障害とは異なり、年齢はしばしば、定年退職、年金や社会福祉へのアクセス、サービス利用資格など、文脈によって異なる固定的な法的基準と結びついている。これは課題であると同時に機会でもある。厳格な暦年齢による定義は、恣意的な区別を強化し、加齢に伴う不利益を早期に、あるいは異なる形で経験する人々を</w:t>
      </w:r>
      <w:r w:rsidR="00CF0E9A">
        <w:rPr>
          <w:rStyle w:val="51"/>
          <w:rFonts w:ascii="ＭＳ 明朝" w:eastAsia="ＭＳ 明朝" w:hAnsi="ＭＳ 明朝" w:cs="ＭＳ 明朝" w:hint="eastAsia"/>
          <w:lang w:eastAsia="ja-JP"/>
        </w:rPr>
        <w:t>保護の対象から漏らす</w:t>
      </w:r>
      <w:r w:rsidRPr="009939F4">
        <w:rPr>
          <w:rStyle w:val="51"/>
          <w:rFonts w:ascii="ＭＳ 明朝" w:eastAsia="ＭＳ 明朝" w:hAnsi="ＭＳ 明朝" w:cs="ＭＳ 明朝" w:hint="eastAsia"/>
        </w:rPr>
        <w:t>リスクがある一方で、定義が全く存在しない</w:t>
      </w:r>
      <w:r w:rsidR="00CF0E9A">
        <w:rPr>
          <w:rStyle w:val="51"/>
          <w:rFonts w:ascii="ＭＳ 明朝" w:eastAsia="ＭＳ 明朝" w:hAnsi="ＭＳ 明朝" w:cs="ＭＳ 明朝" w:hint="eastAsia"/>
          <w:lang w:eastAsia="ja-JP"/>
        </w:rPr>
        <w:t>の</w:t>
      </w:r>
      <w:r w:rsidRPr="009939F4">
        <w:rPr>
          <w:rStyle w:val="51"/>
          <w:rFonts w:ascii="ＭＳ 明朝" w:eastAsia="ＭＳ 明朝" w:hAnsi="ＭＳ 明朝" w:cs="ＭＳ 明朝" w:hint="eastAsia"/>
        </w:rPr>
        <w:t>は実施</w:t>
      </w:r>
      <w:r w:rsidR="00CF0E9A">
        <w:rPr>
          <w:rStyle w:val="51"/>
          <w:rFonts w:ascii="ＭＳ 明朝" w:eastAsia="ＭＳ 明朝" w:hAnsi="ＭＳ 明朝" w:cs="ＭＳ 明朝" w:hint="eastAsia"/>
          <w:lang w:eastAsia="ja-JP"/>
        </w:rPr>
        <w:t>の曖昧さを</w:t>
      </w:r>
      <w:r w:rsidRPr="009939F4">
        <w:rPr>
          <w:rStyle w:val="51"/>
          <w:rFonts w:ascii="ＭＳ 明朝" w:eastAsia="ＭＳ 明朝" w:hAnsi="ＭＳ 明朝" w:cs="ＭＳ 明朝" w:hint="eastAsia"/>
        </w:rPr>
        <w:t>生</w:t>
      </w:r>
      <w:r w:rsidR="00CF0E9A">
        <w:rPr>
          <w:rStyle w:val="51"/>
          <w:rFonts w:ascii="ＭＳ 明朝" w:eastAsia="ＭＳ 明朝" w:hAnsi="ＭＳ 明朝" w:cs="ＭＳ 明朝" w:hint="eastAsia"/>
          <w:lang w:eastAsia="ja-JP"/>
        </w:rPr>
        <w:t>む</w:t>
      </w:r>
      <w:r w:rsidRPr="009939F4">
        <w:rPr>
          <w:rStyle w:val="51"/>
          <w:rFonts w:ascii="ＭＳ 明朝" w:eastAsia="ＭＳ 明朝" w:hAnsi="ＭＳ 明朝" w:cs="ＭＳ 明朝" w:hint="eastAsia"/>
        </w:rPr>
        <w:t>恐れがある。典型的な高齢者など存在しない</w:t>
      </w:r>
      <w:r w:rsidR="00CF0E9A">
        <w:rPr>
          <w:rStyle w:val="ac"/>
          <w:rFonts w:ascii="ＭＳ 明朝" w:eastAsia="ＭＳ 明朝" w:hAnsi="ＭＳ 明朝" w:cs="ＭＳ 明朝"/>
          <w:sz w:val="21"/>
          <w:szCs w:val="21"/>
        </w:rPr>
        <w:footnoteReference w:id="5"/>
      </w:r>
      <w:r w:rsidRPr="009939F4">
        <w:rPr>
          <w:rStyle w:val="51"/>
          <w:rFonts w:ascii="ＭＳ 明朝" w:eastAsia="ＭＳ 明朝" w:hAnsi="ＭＳ 明朝" w:cs="ＭＳ 明朝" w:hint="eastAsia"/>
        </w:rPr>
        <w:t>。したがって、高齢者の経験の多様性を認識し、意図せず保護の範囲を狭めてしまうような定義を避けるため、柔軟かつ文脈に応じたアプローチを採用すべきである。この問題への早期の取り組みは、本条約の適用範囲と国家の義務の程度を形作る可能性が高いことから、不可欠となるだろう。</w:t>
      </w:r>
    </w:p>
    <w:p w14:paraId="14DAED45" w14:textId="1229B4E4" w:rsidR="003D653A" w:rsidRDefault="291A752A">
      <w:pPr>
        <w:pStyle w:val="3"/>
        <w:numPr>
          <w:ilvl w:val="0"/>
          <w:numId w:val="5"/>
        </w:numPr>
        <w:tabs>
          <w:tab w:val="left" w:pos="1572"/>
        </w:tabs>
        <w:spacing w:before="258"/>
        <w:ind w:left="1572" w:hanging="273"/>
        <w:rPr>
          <w:lang w:eastAsia="ja-JP"/>
        </w:rPr>
      </w:pPr>
      <w:r w:rsidRPr="291A752A">
        <w:rPr>
          <w:spacing w:val="-2"/>
          <w:sz w:val="23"/>
          <w:szCs w:val="23"/>
          <w:lang w:eastAsia="ja-JP"/>
        </w:rPr>
        <w:t>条約の構成と権利の</w:t>
      </w:r>
      <w:r w:rsidR="00CF0E9A">
        <w:rPr>
          <w:rFonts w:ascii="ＭＳ 明朝" w:eastAsia="ＭＳ 明朝" w:hAnsi="ＭＳ 明朝" w:cs="ＭＳ 明朝" w:hint="eastAsia"/>
          <w:spacing w:val="-2"/>
          <w:sz w:val="23"/>
          <w:szCs w:val="23"/>
          <w:lang w:eastAsia="ja-JP"/>
        </w:rPr>
        <w:t>種類</w:t>
      </w:r>
    </w:p>
    <w:p w14:paraId="06A82AA1" w14:textId="5FACA433" w:rsidR="003D653A" w:rsidRPr="008370C6" w:rsidRDefault="003A5F03" w:rsidP="008370C6">
      <w:pPr>
        <w:pStyle w:val="a3"/>
        <w:spacing w:before="270" w:line="235" w:lineRule="auto"/>
        <w:ind w:left="1299" w:right="1435" w:firstLineChars="100" w:firstLine="210"/>
        <w:rPr>
          <w:sz w:val="21"/>
          <w:szCs w:val="21"/>
          <w:lang w:eastAsia="ja-JP"/>
        </w:rPr>
      </w:pPr>
      <w:r w:rsidRPr="003A5F03">
        <w:rPr>
          <w:rStyle w:val="51"/>
          <w:rFonts w:ascii="ＭＳ 明朝" w:eastAsia="ＭＳ 明朝" w:hAnsi="ＭＳ 明朝" w:cs="ＭＳ 明朝" w:hint="eastAsia"/>
          <w:lang w:eastAsia="ja-JP"/>
        </w:rPr>
        <w:t>構成</w:t>
      </w:r>
      <w:r w:rsidR="00DF0EC9" w:rsidRPr="003A5F03">
        <w:rPr>
          <w:rStyle w:val="51"/>
          <w:rFonts w:ascii="ＭＳ 明朝" w:eastAsia="ＭＳ 明朝" w:hAnsi="ＭＳ 明朝" w:cs="ＭＳ 明朝" w:hint="eastAsia"/>
        </w:rPr>
        <w:t>の面では、この文書は、確立された条約の慣行を反映しつつ、より最近の</w:t>
      </w:r>
      <w:r w:rsidRPr="003A5F03">
        <w:rPr>
          <w:rStyle w:val="51"/>
          <w:rFonts w:ascii="ＭＳ 明朝" w:eastAsia="ＭＳ 明朝" w:hAnsi="ＭＳ 明朝" w:cs="ＭＳ 明朝" w:hint="eastAsia"/>
          <w:lang w:eastAsia="ja-JP"/>
        </w:rPr>
        <w:t>条約</w:t>
      </w:r>
      <w:r w:rsidR="00DF0EC9" w:rsidRPr="003A5F03">
        <w:rPr>
          <w:rStyle w:val="51"/>
          <w:rFonts w:ascii="ＭＳ 明朝" w:eastAsia="ＭＳ 明朝" w:hAnsi="ＭＳ 明朝" w:cs="ＭＳ 明朝" w:hint="eastAsia"/>
        </w:rPr>
        <w:t>の教訓を取り入れた、明確かつ首尾一貫した</w:t>
      </w:r>
      <w:r w:rsidRPr="003A5F03">
        <w:rPr>
          <w:rStyle w:val="51"/>
          <w:rFonts w:ascii="ＭＳ 明朝" w:eastAsia="ＭＳ 明朝" w:hAnsi="ＭＳ 明朝" w:cs="ＭＳ 明朝" w:hint="eastAsia"/>
          <w:lang w:eastAsia="ja-JP"/>
        </w:rPr>
        <w:t>構造</w:t>
      </w:r>
      <w:r w:rsidR="00DF0EC9" w:rsidRPr="003A5F03">
        <w:rPr>
          <w:rStyle w:val="51"/>
          <w:rFonts w:ascii="ＭＳ 明朝" w:eastAsia="ＭＳ 明朝" w:hAnsi="ＭＳ 明朝" w:cs="ＭＳ 明朝" w:hint="eastAsia"/>
        </w:rPr>
        <w:t>を採用すべきである。</w:t>
      </w:r>
      <w:r w:rsidR="00DF0EC9" w:rsidRPr="003A5F03">
        <w:rPr>
          <w:rFonts w:ascii="ＭＳ 明朝" w:eastAsia="ＭＳ 明朝" w:hAnsi="ＭＳ 明朝" w:cs="ＭＳ 明朝" w:hint="eastAsia"/>
          <w:sz w:val="21"/>
          <w:szCs w:val="21"/>
          <w:lang w:eastAsia="ja-JP"/>
        </w:rPr>
        <w:t>前文では、本条約をより広</w:t>
      </w:r>
      <w:r w:rsidRPr="003A5F03">
        <w:rPr>
          <w:rFonts w:ascii="ＭＳ 明朝" w:eastAsia="ＭＳ 明朝" w:hAnsi="ＭＳ 明朝" w:cs="ＭＳ 明朝" w:hint="eastAsia"/>
          <w:sz w:val="21"/>
          <w:szCs w:val="21"/>
          <w:lang w:eastAsia="ja-JP"/>
        </w:rPr>
        <w:t>い</w:t>
      </w:r>
      <w:r w:rsidR="00DF0EC9" w:rsidRPr="003A5F03">
        <w:rPr>
          <w:rFonts w:ascii="ＭＳ 明朝" w:eastAsia="ＭＳ 明朝" w:hAnsi="ＭＳ 明朝" w:cs="ＭＳ 明朝" w:hint="eastAsia"/>
          <w:sz w:val="21"/>
          <w:szCs w:val="21"/>
          <w:lang w:eastAsia="ja-JP"/>
        </w:rPr>
        <w:t>人権の枠組みの中に位置づけ、</w:t>
      </w:r>
      <w:r w:rsidRPr="003A5F03">
        <w:rPr>
          <w:rFonts w:ascii="ＭＳ 明朝" w:eastAsia="ＭＳ 明朝" w:hAnsi="ＭＳ 明朝" w:cs="ＭＳ 明朝" w:hint="eastAsia"/>
          <w:sz w:val="21"/>
          <w:szCs w:val="21"/>
          <w:lang w:eastAsia="ja-JP"/>
        </w:rPr>
        <w:t>エイジズム（</w:t>
      </w:r>
      <w:r w:rsidR="00DF0EC9" w:rsidRPr="003A5F03">
        <w:rPr>
          <w:rFonts w:ascii="ＭＳ 明朝" w:eastAsia="ＭＳ 明朝" w:hAnsi="ＭＳ 明朝" w:cs="ＭＳ 明朝" w:hint="eastAsia"/>
          <w:sz w:val="21"/>
          <w:szCs w:val="21"/>
          <w:lang w:eastAsia="ja-JP"/>
        </w:rPr>
        <w:t>年齢差別</w:t>
      </w:r>
      <w:r w:rsidRPr="003A5F03">
        <w:rPr>
          <w:rFonts w:ascii="ＭＳ 明朝" w:eastAsia="ＭＳ 明朝" w:hAnsi="ＭＳ 明朝" w:cs="ＭＳ 明朝" w:hint="eastAsia"/>
          <w:sz w:val="21"/>
          <w:szCs w:val="21"/>
          <w:lang w:eastAsia="ja-JP"/>
        </w:rPr>
        <w:t>）</w:t>
      </w:r>
      <w:r w:rsidR="00DF0EC9" w:rsidRPr="003A5F03">
        <w:rPr>
          <w:rFonts w:ascii="ＭＳ 明朝" w:eastAsia="ＭＳ 明朝" w:hAnsi="ＭＳ 明朝" w:cs="ＭＳ 明朝" w:hint="eastAsia"/>
          <w:sz w:val="21"/>
          <w:szCs w:val="21"/>
          <w:lang w:eastAsia="ja-JP"/>
        </w:rPr>
        <w:t>や人口動態の変化が及ぼす影響を</w:t>
      </w:r>
      <w:r>
        <w:rPr>
          <w:rFonts w:ascii="ＭＳ 明朝" w:eastAsia="ＭＳ 明朝" w:hAnsi="ＭＳ 明朝" w:cs="ＭＳ 明朝" w:hint="eastAsia"/>
          <w:sz w:val="21"/>
          <w:szCs w:val="21"/>
          <w:lang w:eastAsia="ja-JP"/>
        </w:rPr>
        <w:t>明記する</w:t>
      </w:r>
      <w:r w:rsidR="00DF0EC9" w:rsidRPr="003A5F03">
        <w:rPr>
          <w:rFonts w:ascii="ＭＳ 明朝" w:eastAsia="ＭＳ 明朝" w:hAnsi="ＭＳ 明朝" w:cs="ＭＳ 明朝" w:hint="eastAsia"/>
          <w:sz w:val="21"/>
          <w:szCs w:val="21"/>
          <w:lang w:eastAsia="ja-JP"/>
        </w:rPr>
        <w:t>べき</w:t>
      </w:r>
      <w:r w:rsidR="00DF0EC9" w:rsidRPr="008370C6">
        <w:rPr>
          <w:rFonts w:ascii="ＭＳ 明朝" w:eastAsia="ＭＳ 明朝" w:hAnsi="ＭＳ 明朝" w:cs="ＭＳ 明朝" w:hint="eastAsia"/>
          <w:sz w:val="21"/>
          <w:szCs w:val="21"/>
          <w:lang w:eastAsia="ja-JP"/>
        </w:rPr>
        <w:t>である。また、高齢化に対する権利に基づくアプローチへの転換の必要性を強調すべきである。</w:t>
      </w:r>
      <w:r w:rsidR="008370C6" w:rsidRPr="008370C6">
        <w:rPr>
          <w:rFonts w:ascii="ＭＳ 明朝" w:eastAsia="ＭＳ 明朝" w:hAnsi="ＭＳ 明朝" w:cs="ＭＳ 明朝" w:hint="eastAsia"/>
          <w:sz w:val="21"/>
          <w:szCs w:val="21"/>
          <w:lang w:eastAsia="ja-JP"/>
        </w:rPr>
        <w:t>条約本体では、</w:t>
      </w:r>
      <w:r w:rsidR="00DF0EC9" w:rsidRPr="008370C6">
        <w:rPr>
          <w:rFonts w:ascii="ＭＳ 明朝" w:eastAsia="ＭＳ 明朝" w:hAnsi="ＭＳ 明朝" w:cs="ＭＳ 明朝" w:hint="eastAsia"/>
          <w:sz w:val="21"/>
          <w:szCs w:val="21"/>
          <w:lang w:eastAsia="ja-JP"/>
        </w:rPr>
        <w:t>一般原則および一般</w:t>
      </w:r>
      <w:r w:rsidR="008370C6" w:rsidRPr="008370C6">
        <w:rPr>
          <w:rFonts w:ascii="ＭＳ 明朝" w:eastAsia="ＭＳ 明朝" w:hAnsi="ＭＳ 明朝" w:cs="ＭＳ 明朝" w:hint="eastAsia"/>
          <w:sz w:val="21"/>
          <w:szCs w:val="21"/>
          <w:lang w:eastAsia="ja-JP"/>
        </w:rPr>
        <w:t>的</w:t>
      </w:r>
      <w:r w:rsidR="00DF0EC9" w:rsidRPr="008370C6">
        <w:rPr>
          <w:rFonts w:ascii="ＭＳ 明朝" w:eastAsia="ＭＳ 明朝" w:hAnsi="ＭＳ 明朝" w:cs="ＭＳ 明朝" w:hint="eastAsia"/>
          <w:sz w:val="21"/>
          <w:szCs w:val="21"/>
          <w:lang w:eastAsia="ja-JP"/>
        </w:rPr>
        <w:t>義務に関する条項を含め、その後に実質的な権利を規定すべきである。実施の重要性を踏まえ、本条約には</w:t>
      </w:r>
      <w:r w:rsidR="008370C6" w:rsidRPr="008370C6">
        <w:rPr>
          <w:rFonts w:ascii="ＭＳ 明朝" w:eastAsia="ＭＳ 明朝" w:hAnsi="ＭＳ 明朝" w:cs="ＭＳ 明朝" w:hint="eastAsia"/>
          <w:sz w:val="21"/>
          <w:szCs w:val="21"/>
          <w:lang w:eastAsia="ja-JP"/>
        </w:rPr>
        <w:t>強固な監視メカニズム</w:t>
      </w:r>
      <w:r w:rsidR="008370C6">
        <w:rPr>
          <w:rFonts w:ascii="ＭＳ 明朝" w:eastAsia="ＭＳ 明朝" w:hAnsi="ＭＳ 明朝" w:cs="ＭＳ 明朝" w:hint="eastAsia"/>
          <w:sz w:val="21"/>
          <w:szCs w:val="21"/>
          <w:lang w:eastAsia="ja-JP"/>
        </w:rPr>
        <w:t>を含めるべきである。そこには、</w:t>
      </w:r>
      <w:r w:rsidR="00DF0EC9" w:rsidRPr="008370C6">
        <w:rPr>
          <w:rFonts w:ascii="ＭＳ 明朝" w:eastAsia="ＭＳ 明朝" w:hAnsi="ＭＳ 明朝" w:cs="ＭＳ 明朝" w:hint="eastAsia"/>
          <w:sz w:val="21"/>
          <w:szCs w:val="21"/>
          <w:lang w:eastAsia="ja-JP"/>
        </w:rPr>
        <w:t>専用の条約</w:t>
      </w:r>
      <w:r w:rsidR="008370C6">
        <w:rPr>
          <w:rFonts w:ascii="ＭＳ 明朝" w:eastAsia="ＭＳ 明朝" w:hAnsi="ＭＳ 明朝" w:cs="ＭＳ 明朝" w:hint="eastAsia"/>
          <w:sz w:val="21"/>
          <w:szCs w:val="21"/>
          <w:lang w:eastAsia="ja-JP"/>
        </w:rPr>
        <w:t>体</w:t>
      </w:r>
      <w:r w:rsidR="00DF0EC9" w:rsidRPr="008370C6">
        <w:rPr>
          <w:rFonts w:ascii="ＭＳ 明朝" w:eastAsia="ＭＳ 明朝" w:hAnsi="ＭＳ 明朝" w:cs="ＭＳ 明朝" w:hint="eastAsia"/>
          <w:sz w:val="21"/>
          <w:szCs w:val="21"/>
          <w:lang w:eastAsia="ja-JP"/>
        </w:rPr>
        <w:t>の設置、定期報告の手続き、および</w:t>
      </w:r>
      <w:bookmarkStart w:id="7" w:name="_bookmark6"/>
      <w:bookmarkStart w:id="8" w:name="_bookmark7"/>
      <w:bookmarkStart w:id="9" w:name="_bookmark9"/>
      <w:bookmarkEnd w:id="7"/>
      <w:bookmarkEnd w:id="8"/>
      <w:bookmarkEnd w:id="9"/>
      <w:r w:rsidR="00DF0EC9" w:rsidRPr="008370C6">
        <w:rPr>
          <w:rFonts w:ascii="ＭＳ 明朝" w:eastAsia="ＭＳ 明朝" w:hAnsi="ＭＳ 明朝" w:cs="ＭＳ 明朝" w:hint="eastAsia"/>
          <w:sz w:val="21"/>
          <w:szCs w:val="21"/>
          <w:lang w:eastAsia="ja-JP"/>
        </w:rPr>
        <w:t>適切な、個別または集団的な苦情申立て</w:t>
      </w:r>
      <w:r w:rsidR="008370C6">
        <w:rPr>
          <w:rFonts w:ascii="ＭＳ 明朝" w:eastAsia="ＭＳ 明朝" w:hAnsi="ＭＳ 明朝" w:cs="ＭＳ 明朝" w:hint="eastAsia"/>
          <w:sz w:val="21"/>
          <w:szCs w:val="21"/>
          <w:lang w:eastAsia="ja-JP"/>
        </w:rPr>
        <w:t>などが含まれる。</w:t>
      </w:r>
      <w:r w:rsidR="00DF0EC9" w:rsidRPr="008370C6">
        <w:rPr>
          <w:rFonts w:ascii="ＭＳ 明朝" w:eastAsia="ＭＳ 明朝" w:hAnsi="ＭＳ 明朝" w:cs="ＭＳ 明朝" w:hint="eastAsia"/>
          <w:sz w:val="21"/>
          <w:szCs w:val="21"/>
          <w:lang w:eastAsia="ja-JP"/>
        </w:rPr>
        <w:t>他の条約機関の経験は、権利を実質的に実現する上で、こうしたメカニズムがいかに重要であるかを示している。</w:t>
      </w:r>
    </w:p>
    <w:p w14:paraId="7C781716" w14:textId="64F2CBF8" w:rsidR="003D653A" w:rsidRDefault="00DF0EC9" w:rsidP="009939F4">
      <w:pPr>
        <w:pStyle w:val="50"/>
        <w:rPr>
          <w:lang w:eastAsia="ja-JP"/>
        </w:rPr>
      </w:pPr>
      <w:r w:rsidRPr="0031682B">
        <w:rPr>
          <w:rFonts w:ascii="ＭＳ 明朝" w:eastAsia="ＭＳ 明朝" w:hAnsi="ＭＳ 明朝" w:cs="ＭＳ 明朝" w:hint="eastAsia"/>
          <w:lang w:eastAsia="ja-JP"/>
        </w:rPr>
        <w:t>高齢者の権利に関する新たな法的拘束力のあ</w:t>
      </w:r>
      <w:r>
        <w:rPr>
          <w:rFonts w:ascii="ＭＳ 明朝" w:eastAsia="ＭＳ 明朝" w:hAnsi="ＭＳ 明朝" w:cs="ＭＳ 明朝" w:hint="eastAsia"/>
          <w:lang w:eastAsia="ja-JP"/>
        </w:rPr>
        <w:t>る文書の実質的な権利の部分について考える上で</w:t>
      </w:r>
      <w:r w:rsidR="0031682B">
        <w:rPr>
          <w:rFonts w:ascii="ＭＳ 明朝" w:eastAsia="ＭＳ 明朝" w:hAnsi="ＭＳ 明朝" w:cs="ＭＳ 明朝" w:hint="eastAsia"/>
          <w:lang w:eastAsia="ja-JP"/>
        </w:rPr>
        <w:t>役立つ</w:t>
      </w:r>
      <w:r>
        <w:rPr>
          <w:rFonts w:ascii="ＭＳ 明朝" w:eastAsia="ＭＳ 明朝" w:hAnsi="ＭＳ 明朝" w:cs="ＭＳ 明朝" w:hint="eastAsia"/>
          <w:lang w:eastAsia="ja-JP"/>
        </w:rPr>
        <w:t>出発点は、それらの権利が、重複しつつも有用ないくつかのカテゴリーに分類されることを認識することである</w:t>
      </w:r>
      <w:hyperlink w:anchor="_bookmark10" w:history="1">
        <w:r w:rsidR="003D653A">
          <w:rPr>
            <w:rFonts w:ascii="ＭＳ 明朝" w:eastAsia="ＭＳ 明朝" w:hAnsi="ＭＳ 明朝" w:cs="ＭＳ 明朝" w:hint="eastAsia"/>
            <w:lang w:eastAsia="ja-JP"/>
          </w:rPr>
          <w:t>。</w:t>
        </w:r>
      </w:hyperlink>
      <w:r>
        <w:rPr>
          <w:rFonts w:ascii="ＭＳ 明朝" w:eastAsia="ＭＳ 明朝" w:hAnsi="ＭＳ 明朝" w:cs="ＭＳ 明朝" w:hint="eastAsia"/>
          <w:lang w:eastAsia="ja-JP"/>
        </w:rPr>
        <w:t>実質的な権利は、いくつかの広範なグループから構成されると理解することができる</w:t>
      </w:r>
      <w:r w:rsidR="0031682B">
        <w:rPr>
          <w:rStyle w:val="ac"/>
          <w:rFonts w:ascii="ＭＳ 明朝" w:eastAsia="ＭＳ 明朝" w:hAnsi="ＭＳ 明朝" w:cs="ＭＳ 明朝"/>
          <w:lang w:eastAsia="ja-JP"/>
        </w:rPr>
        <w:footnoteReference w:id="6"/>
      </w:r>
      <w:hyperlink w:anchor="_bookmark10" w:history="1">
        <w:r w:rsidR="003D653A">
          <w:rPr>
            <w:rFonts w:ascii="ＭＳ 明朝" w:eastAsia="ＭＳ 明朝" w:hAnsi="ＭＳ 明朝" w:cs="ＭＳ 明朝" w:hint="eastAsia"/>
            <w:lang w:eastAsia="ja-JP"/>
          </w:rPr>
          <w:t>。</w:t>
        </w:r>
      </w:hyperlink>
      <w:r>
        <w:rPr>
          <w:rFonts w:ascii="ＭＳ 明朝" w:eastAsia="ＭＳ 明朝" w:hAnsi="ＭＳ 明朝" w:cs="ＭＳ 明朝" w:hint="eastAsia"/>
          <w:lang w:eastAsia="ja-JP"/>
        </w:rPr>
        <w:t>ここでも、将来の高齢者の権利に関する条約の</w:t>
      </w:r>
      <w:r w:rsidR="0031682B">
        <w:rPr>
          <w:rFonts w:ascii="ＭＳ 明朝" w:eastAsia="ＭＳ 明朝" w:hAnsi="ＭＳ 明朝" w:cs="ＭＳ 明朝" w:hint="eastAsia"/>
          <w:lang w:eastAsia="ja-JP"/>
        </w:rPr>
        <w:t>設計を</w:t>
      </w:r>
      <w:r>
        <w:rPr>
          <w:rFonts w:ascii="ＭＳ 明朝" w:eastAsia="ＭＳ 明朝" w:hAnsi="ＭＳ 明朝" w:cs="ＭＳ 明朝" w:hint="eastAsia"/>
          <w:lang w:eastAsia="ja-JP"/>
        </w:rPr>
        <w:t>事前に検討する上で、同様のアプローチが有用であるかもしれない。</w:t>
      </w:r>
    </w:p>
    <w:p w14:paraId="261A9477" w14:textId="34855E37" w:rsidR="003D653A" w:rsidRDefault="00DF0EC9">
      <w:pPr>
        <w:pStyle w:val="5"/>
        <w:numPr>
          <w:ilvl w:val="0"/>
          <w:numId w:val="4"/>
        </w:numPr>
        <w:tabs>
          <w:tab w:val="left" w:pos="2379"/>
        </w:tabs>
        <w:spacing w:before="263"/>
        <w:ind w:left="2379" w:hanging="719"/>
      </w:pPr>
      <w:r>
        <w:rPr>
          <w:sz w:val="19"/>
        </w:rPr>
        <w:t>個人を</w:t>
      </w:r>
      <w:r w:rsidR="0031682B">
        <w:rPr>
          <w:rFonts w:ascii="ＭＳ 明朝" w:eastAsia="ＭＳ 明朝" w:hAnsi="ＭＳ 明朝" w:cs="ＭＳ 明朝" w:hint="eastAsia"/>
          <w:sz w:val="19"/>
          <w:lang w:eastAsia="ja-JP"/>
        </w:rPr>
        <w:t>守る</w:t>
      </w:r>
      <w:r>
        <w:rPr>
          <w:sz w:val="19"/>
        </w:rPr>
        <w:t>権利</w:t>
      </w:r>
    </w:p>
    <w:p w14:paraId="5021F902" w14:textId="003DD054" w:rsidR="00F20725" w:rsidRPr="00F20725" w:rsidRDefault="00DF0EC9" w:rsidP="008157B1">
      <w:pPr>
        <w:pStyle w:val="50"/>
        <w:rPr>
          <w:rFonts w:eastAsiaTheme="minorEastAsia"/>
          <w:lang w:eastAsia="ja-JP"/>
        </w:rPr>
      </w:pPr>
      <w:r>
        <w:rPr>
          <w:rFonts w:ascii="ＭＳ 明朝" w:eastAsia="ＭＳ 明朝" w:hAnsi="ＭＳ 明朝" w:cs="ＭＳ 明朝" w:hint="eastAsia"/>
          <w:lang w:eastAsia="ja-JP"/>
        </w:rPr>
        <w:t>これらは、高齢者を危害や虐待から守り、その尊厳と</w:t>
      </w:r>
      <w:r w:rsidR="00B357D6">
        <w:rPr>
          <w:rFonts w:ascii="ＭＳ 明朝" w:eastAsia="ＭＳ 明朝" w:hAnsi="ＭＳ 明朝" w:cs="ＭＳ 明朝" w:hint="eastAsia"/>
          <w:lang w:eastAsia="ja-JP"/>
        </w:rPr>
        <w:t>そのままの状態での保護</w:t>
      </w:r>
      <w:bookmarkStart w:id="10" w:name="_Hlk233059132"/>
      <w:r w:rsidR="00B357D6" w:rsidRPr="00B357D6">
        <w:rPr>
          <w:rFonts w:ascii="ＭＳ 明朝" w:eastAsia="ＭＳ 明朝" w:hAnsi="ＭＳ 明朝" w:cs="ＭＳ 明朝" w:hint="eastAsia"/>
          <w:sz w:val="16"/>
          <w:szCs w:val="16"/>
          <w:lang w:eastAsia="ja-JP"/>
        </w:rPr>
        <w:t>(</w:t>
      </w:r>
      <w:r w:rsidR="00B357D6" w:rsidRPr="00B357D6">
        <w:rPr>
          <w:rFonts w:ascii="ＭＳ 明朝" w:eastAsia="ＭＳ 明朝" w:hAnsi="ＭＳ 明朝" w:cs="ＭＳ 明朝"/>
          <w:sz w:val="16"/>
          <w:szCs w:val="16"/>
          <w:lang w:eastAsia="ja-JP"/>
        </w:rPr>
        <w:t>integrity</w:t>
      </w:r>
      <w:r w:rsidR="00B357D6" w:rsidRPr="00B357D6">
        <w:rPr>
          <w:rFonts w:ascii="ＭＳ 明朝" w:eastAsia="ＭＳ 明朝" w:hAnsi="ＭＳ 明朝" w:cs="ＭＳ 明朝" w:hint="eastAsia"/>
          <w:sz w:val="16"/>
          <w:szCs w:val="16"/>
          <w:lang w:eastAsia="ja-JP"/>
        </w:rPr>
        <w:t>)</w:t>
      </w:r>
      <w:bookmarkEnd w:id="10"/>
      <w:r>
        <w:rPr>
          <w:rFonts w:ascii="ＭＳ 明朝" w:eastAsia="ＭＳ 明朝" w:hAnsi="ＭＳ 明朝" w:cs="ＭＳ 明朝" w:hint="eastAsia"/>
          <w:lang w:eastAsia="ja-JP"/>
        </w:rPr>
        <w:t>を確</w:t>
      </w:r>
      <w:r>
        <w:rPr>
          <w:rFonts w:ascii="ＭＳ 明朝" w:eastAsia="ＭＳ 明朝" w:hAnsi="ＭＳ 明朝" w:cs="ＭＳ 明朝" w:hint="eastAsia"/>
          <w:lang w:eastAsia="ja-JP"/>
        </w:rPr>
        <w:lastRenderedPageBreak/>
        <w:t>保することを目的とした権利である。高齢者の文脈においては、これには搾取、暴力、虐待、ネグレクトからの保護に加え、拷問、非人道的なまたは品位を傷つける扱いからの保護、ならびに身体的・精神的完全性</w:t>
      </w:r>
      <w:r w:rsidR="00B357D6" w:rsidRPr="00B357D6">
        <w:rPr>
          <w:rFonts w:ascii="ＭＳ 明朝" w:eastAsia="ＭＳ 明朝" w:hAnsi="ＭＳ 明朝" w:cs="ＭＳ 明朝"/>
          <w:sz w:val="16"/>
          <w:szCs w:val="16"/>
          <w:lang w:eastAsia="ja-JP"/>
        </w:rPr>
        <w:t>(integrity)</w:t>
      </w:r>
      <w:r>
        <w:rPr>
          <w:rFonts w:ascii="ＭＳ 明朝" w:eastAsia="ＭＳ 明朝" w:hAnsi="ＭＳ 明朝" w:cs="ＭＳ 明朝" w:hint="eastAsia"/>
          <w:lang w:eastAsia="ja-JP"/>
        </w:rPr>
        <w:t>の尊重が含まれる。これらは、高齢者が特に高いリスクにさらされる可能性のある施設、</w:t>
      </w:r>
      <w:r w:rsidR="00B357D6">
        <w:rPr>
          <w:rFonts w:ascii="ＭＳ 明朝" w:eastAsia="ＭＳ 明朝" w:hAnsi="ＭＳ 明朝" w:cs="ＭＳ 明朝" w:hint="eastAsia"/>
          <w:lang w:eastAsia="ja-JP"/>
        </w:rPr>
        <w:t>ケア</w:t>
      </w:r>
      <w:r>
        <w:rPr>
          <w:rFonts w:ascii="ＭＳ 明朝" w:eastAsia="ＭＳ 明朝" w:hAnsi="ＭＳ 明朝" w:cs="ＭＳ 明朝" w:hint="eastAsia"/>
          <w:lang w:eastAsia="ja-JP"/>
        </w:rPr>
        <w:t>、医療、拘禁の現場において特に重要である。</w:t>
      </w:r>
    </w:p>
    <w:p w14:paraId="75BF3455" w14:textId="72FAB4C6" w:rsidR="003D653A" w:rsidRDefault="00DF0EC9">
      <w:pPr>
        <w:pStyle w:val="5"/>
        <w:numPr>
          <w:ilvl w:val="0"/>
          <w:numId w:val="4"/>
        </w:numPr>
        <w:tabs>
          <w:tab w:val="left" w:pos="2379"/>
        </w:tabs>
        <w:spacing w:before="263"/>
        <w:ind w:left="2379" w:hanging="719"/>
        <w:rPr>
          <w:lang w:eastAsia="ja-JP"/>
        </w:rPr>
      </w:pPr>
      <w:r>
        <w:rPr>
          <w:rFonts w:ascii="ＭＳ 明朝" w:eastAsia="ＭＳ 明朝" w:hAnsi="ＭＳ 明朝" w:cs="ＭＳ 明朝" w:hint="eastAsia"/>
          <w:sz w:val="19"/>
          <w:lang w:eastAsia="ja-JP"/>
        </w:rPr>
        <w:t>自</w:t>
      </w:r>
      <w:r>
        <w:rPr>
          <w:sz w:val="19"/>
          <w:lang w:eastAsia="ja-JP"/>
        </w:rPr>
        <w:t>律、選択、</w:t>
      </w:r>
      <w:r w:rsidR="00B357D6">
        <w:rPr>
          <w:rFonts w:ascii="ＭＳ 明朝" w:eastAsia="ＭＳ 明朝" w:hAnsi="ＭＳ 明朝" w:cs="ＭＳ 明朝" w:hint="eastAsia"/>
          <w:sz w:val="19"/>
          <w:lang w:eastAsia="ja-JP"/>
        </w:rPr>
        <w:t>独</w:t>
      </w:r>
      <w:r>
        <w:rPr>
          <w:sz w:val="19"/>
          <w:lang w:eastAsia="ja-JP"/>
        </w:rPr>
        <w:t>立を回復・保障する権利</w:t>
      </w:r>
    </w:p>
    <w:p w14:paraId="4347A6C7" w14:textId="5187E540" w:rsidR="003D653A" w:rsidRDefault="00DF0EC9" w:rsidP="009939F4">
      <w:pPr>
        <w:pStyle w:val="50"/>
        <w:rPr>
          <w:lang w:eastAsia="ja-JP"/>
        </w:rPr>
      </w:pPr>
      <w:r>
        <w:rPr>
          <w:rFonts w:ascii="ＭＳ 明朝" w:eastAsia="ＭＳ 明朝" w:hAnsi="ＭＳ 明朝" w:cs="ＭＳ 明朝" w:hint="eastAsia"/>
          <w:lang w:eastAsia="ja-JP"/>
        </w:rPr>
        <w:t>これらは、虐待から個人を守るための保護や安全確保にとどまらず、自身の生活に関する決定を下</w:t>
      </w:r>
      <w:r w:rsidR="00B357D6">
        <w:rPr>
          <w:rFonts w:ascii="ＭＳ 明朝" w:eastAsia="ＭＳ 明朝" w:hAnsi="ＭＳ 明朝" w:cs="ＭＳ 明朝" w:hint="eastAsia"/>
          <w:lang w:eastAsia="ja-JP"/>
        </w:rPr>
        <w:t>せ</w:t>
      </w:r>
      <w:r>
        <w:rPr>
          <w:rFonts w:ascii="ＭＳ 明朝" w:eastAsia="ＭＳ 明朝" w:hAnsi="ＭＳ 明朝" w:cs="ＭＳ 明朝" w:hint="eastAsia"/>
          <w:lang w:eastAsia="ja-JP"/>
        </w:rPr>
        <w:t>る権利保有者としての地位を認め、支援する権利である。高齢者の文脈において、このカテゴリーには、法的能力、支援付き意思決定、プライバシー、家族生活、身体の自律、そして</w:t>
      </w:r>
      <w:r w:rsidR="00B357D6">
        <w:rPr>
          <w:rFonts w:ascii="ＭＳ 明朝" w:eastAsia="ＭＳ 明朝" w:hAnsi="ＭＳ 明朝" w:cs="ＭＳ 明朝" w:hint="eastAsia"/>
          <w:lang w:eastAsia="ja-JP"/>
        </w:rPr>
        <w:t>独</w:t>
      </w:r>
      <w:r>
        <w:rPr>
          <w:rFonts w:ascii="ＭＳ 明朝" w:eastAsia="ＭＳ 明朝" w:hAnsi="ＭＳ 明朝" w:cs="ＭＳ 明朝" w:hint="eastAsia"/>
          <w:lang w:eastAsia="ja-JP"/>
        </w:rPr>
        <w:t>立して生活し、地域社会に</w:t>
      </w:r>
      <w:r w:rsidR="00B357D6">
        <w:rPr>
          <w:rFonts w:ascii="ＭＳ 明朝" w:eastAsia="ＭＳ 明朝" w:hAnsi="ＭＳ 明朝" w:cs="ＭＳ 明朝" w:hint="eastAsia"/>
          <w:lang w:eastAsia="ja-JP"/>
        </w:rPr>
        <w:t>包摂され</w:t>
      </w:r>
      <w:r>
        <w:rPr>
          <w:rFonts w:ascii="ＭＳ 明朝" w:eastAsia="ＭＳ 明朝" w:hAnsi="ＭＳ 明朝" w:cs="ＭＳ 明朝" w:hint="eastAsia"/>
          <w:lang w:eastAsia="ja-JP"/>
        </w:rPr>
        <w:t>る権利が含まれる。これらの権利は、</w:t>
      </w:r>
      <w:r w:rsidR="00B357D6">
        <w:rPr>
          <w:rFonts w:ascii="ＭＳ 明朝" w:eastAsia="ＭＳ 明朝" w:hAnsi="ＭＳ 明朝" w:cs="ＭＳ 明朝" w:hint="eastAsia"/>
          <w:lang w:eastAsia="ja-JP"/>
        </w:rPr>
        <w:t>依然として</w:t>
      </w:r>
      <w:r>
        <w:rPr>
          <w:rFonts w:ascii="ＭＳ 明朝" w:eastAsia="ＭＳ 明朝" w:hAnsi="ＭＳ 明朝" w:cs="ＭＳ 明朝" w:hint="eastAsia"/>
          <w:lang w:eastAsia="ja-JP"/>
        </w:rPr>
        <w:t>高齢化や高齢者への対応</w:t>
      </w:r>
      <w:r w:rsidR="00B357D6">
        <w:rPr>
          <w:rFonts w:ascii="ＭＳ 明朝" w:eastAsia="ＭＳ 明朝" w:hAnsi="ＭＳ 明朝" w:cs="ＭＳ 明朝" w:hint="eastAsia"/>
          <w:lang w:eastAsia="ja-JP"/>
        </w:rPr>
        <w:t>に影響している</w:t>
      </w:r>
      <w:r>
        <w:rPr>
          <w:rFonts w:ascii="ＭＳ 明朝" w:eastAsia="ＭＳ 明朝" w:hAnsi="ＭＳ 明朝" w:cs="ＭＳ 明朝" w:hint="eastAsia"/>
          <w:lang w:eastAsia="ja-JP"/>
        </w:rPr>
        <w:t>父権的な前提に抵抗する上で、特に重要である。</w:t>
      </w:r>
    </w:p>
    <w:p w14:paraId="2ED5EA8C" w14:textId="77777777" w:rsidR="003D653A" w:rsidRDefault="00DF0EC9">
      <w:pPr>
        <w:pStyle w:val="5"/>
        <w:numPr>
          <w:ilvl w:val="0"/>
          <w:numId w:val="4"/>
        </w:numPr>
        <w:tabs>
          <w:tab w:val="left" w:pos="2379"/>
        </w:tabs>
        <w:spacing w:before="263"/>
        <w:ind w:left="2379" w:hanging="719"/>
      </w:pPr>
      <w:r>
        <w:rPr>
          <w:sz w:val="19"/>
        </w:rPr>
        <w:t>アクセスと参加の権利</w:t>
      </w:r>
    </w:p>
    <w:p w14:paraId="5F93D6EC" w14:textId="1A3BCF38" w:rsidR="003D653A" w:rsidRDefault="00DF0EC9" w:rsidP="009939F4">
      <w:pPr>
        <w:pStyle w:val="50"/>
        <w:rPr>
          <w:lang w:eastAsia="ja-JP"/>
        </w:rPr>
      </w:pPr>
      <w:r>
        <w:rPr>
          <w:rFonts w:ascii="ＭＳ 明朝" w:eastAsia="ＭＳ 明朝" w:hAnsi="ＭＳ 明朝" w:cs="ＭＳ 明朝" w:hint="eastAsia"/>
          <w:lang w:eastAsia="ja-JP"/>
        </w:rPr>
        <w:t>これらの権利は、社会的、政治的、法的、文化的活動の主流への参画を阻む障壁を取り除くこと</w:t>
      </w:r>
      <w:r w:rsidR="00B357D6">
        <w:rPr>
          <w:rFonts w:ascii="ＭＳ 明朝" w:eastAsia="ＭＳ 明朝" w:hAnsi="ＭＳ 明朝" w:cs="ＭＳ 明朝" w:hint="eastAsia"/>
          <w:lang w:eastAsia="ja-JP"/>
        </w:rPr>
        <w:t>に関わる</w:t>
      </w:r>
      <w:r>
        <w:rPr>
          <w:rFonts w:ascii="ＭＳ 明朝" w:eastAsia="ＭＳ 明朝" w:hAnsi="ＭＳ 明朝" w:cs="ＭＳ 明朝" w:hint="eastAsia"/>
          <w:lang w:eastAsia="ja-JP"/>
        </w:rPr>
        <w:t>。将来の高齢者に関する国際条約において、このカテゴリーには、アクセシビリティ、情報へのアクセス、司法へのアクセス、政治参加、および社会的・文化的・地域社会生活への参加が含まれる可能性がある。高齢者が権利の保有者として認められ、父権主義や代理意思決定を回避するためには、これらの権利が不可欠である。</w:t>
      </w:r>
    </w:p>
    <w:p w14:paraId="45A90250" w14:textId="77777777" w:rsidR="003D653A" w:rsidRDefault="291A752A">
      <w:pPr>
        <w:pStyle w:val="5"/>
        <w:numPr>
          <w:ilvl w:val="0"/>
          <w:numId w:val="4"/>
        </w:numPr>
        <w:tabs>
          <w:tab w:val="left" w:pos="2379"/>
        </w:tabs>
        <w:spacing w:before="264"/>
        <w:ind w:left="2379" w:hanging="719"/>
      </w:pPr>
      <w:r w:rsidRPr="291A752A">
        <w:rPr>
          <w:spacing w:val="-5"/>
          <w:sz w:val="19"/>
          <w:szCs w:val="19"/>
        </w:rPr>
        <w:t>自由権</w:t>
      </w:r>
    </w:p>
    <w:p w14:paraId="7FCA8416" w14:textId="71DA6923" w:rsidR="003D653A" w:rsidRDefault="00DF0EC9" w:rsidP="009939F4">
      <w:pPr>
        <w:pStyle w:val="50"/>
        <w:rPr>
          <w:lang w:eastAsia="ja-JP"/>
        </w:rPr>
      </w:pPr>
      <w:r>
        <w:rPr>
          <w:rFonts w:ascii="ＭＳ 明朝" w:eastAsia="ＭＳ 明朝" w:hAnsi="ＭＳ 明朝" w:cs="ＭＳ 明朝" w:hint="eastAsia"/>
          <w:lang w:eastAsia="ja-JP"/>
        </w:rPr>
        <w:t>これらは、移動の自由、身体の自由と安全、および恣意的な自由の剥奪からの保護に関する権利である。高齢者の文脈においては、施設入所、</w:t>
      </w:r>
      <w:r w:rsidR="0043624F">
        <w:rPr>
          <w:rFonts w:ascii="ＭＳ 明朝" w:eastAsia="ＭＳ 明朝" w:hAnsi="ＭＳ 明朝" w:cs="ＭＳ 明朝" w:hint="eastAsia"/>
          <w:lang w:eastAsia="ja-JP"/>
        </w:rPr>
        <w:t>ケア</w:t>
      </w:r>
      <w:r>
        <w:rPr>
          <w:rFonts w:ascii="ＭＳ 明朝" w:eastAsia="ＭＳ 明朝" w:hAnsi="ＭＳ 明朝" w:cs="ＭＳ 明朝" w:hint="eastAsia"/>
          <w:lang w:eastAsia="ja-JP"/>
        </w:rPr>
        <w:t>施設への非自発的入所、強制的ケアの実践、拘禁、および高齢受刑者の処遇に特に関連する。このカテゴリーは、</w:t>
      </w:r>
      <w:r w:rsidR="0043624F">
        <w:rPr>
          <w:rFonts w:ascii="ＭＳ 明朝" w:eastAsia="ＭＳ 明朝" w:hAnsi="ＭＳ 明朝" w:cs="ＭＳ 明朝" w:hint="eastAsia"/>
          <w:lang w:eastAsia="ja-JP"/>
        </w:rPr>
        <w:t>「</w:t>
      </w:r>
      <w:r>
        <w:rPr>
          <w:rFonts w:ascii="ＭＳ 明朝" w:eastAsia="ＭＳ 明朝" w:hAnsi="ＭＳ 明朝" w:cs="ＭＳ 明朝" w:hint="eastAsia"/>
          <w:lang w:eastAsia="ja-JP"/>
        </w:rPr>
        <w:t>最善の利益</w:t>
      </w:r>
      <w:r w:rsidR="0043624F">
        <w:rPr>
          <w:rFonts w:ascii="ＭＳ 明朝" w:eastAsia="ＭＳ 明朝" w:hAnsi="ＭＳ 明朝" w:cs="ＭＳ 明朝" w:hint="eastAsia"/>
          <w:lang w:eastAsia="ja-JP"/>
        </w:rPr>
        <w:t>」</w:t>
      </w:r>
      <w:r>
        <w:rPr>
          <w:rFonts w:ascii="ＭＳ 明朝" w:eastAsia="ＭＳ 明朝" w:hAnsi="ＭＳ 明朝" w:cs="ＭＳ 明朝" w:hint="eastAsia"/>
          <w:lang w:eastAsia="ja-JP"/>
        </w:rPr>
        <w:t>を根拠とし</w:t>
      </w:r>
      <w:r w:rsidR="0043624F">
        <w:rPr>
          <w:rFonts w:ascii="ＭＳ 明朝" w:eastAsia="ＭＳ 明朝" w:hAnsi="ＭＳ 明朝" w:cs="ＭＳ 明朝" w:hint="eastAsia"/>
          <w:lang w:eastAsia="ja-JP"/>
        </w:rPr>
        <w:t>た</w:t>
      </w:r>
      <w:r>
        <w:rPr>
          <w:rFonts w:ascii="ＭＳ 明朝" w:eastAsia="ＭＳ 明朝" w:hAnsi="ＭＳ 明朝" w:cs="ＭＳ 明朝" w:hint="eastAsia"/>
          <w:lang w:eastAsia="ja-JP"/>
        </w:rPr>
        <w:t>年齢に基づく先入観が自由の制限を正当化する文脈において特に重要である。</w:t>
      </w:r>
    </w:p>
    <w:p w14:paraId="173A35B5" w14:textId="77777777" w:rsidR="003D653A" w:rsidRDefault="00DF0EC9">
      <w:pPr>
        <w:pStyle w:val="5"/>
        <w:numPr>
          <w:ilvl w:val="0"/>
          <w:numId w:val="4"/>
        </w:numPr>
        <w:tabs>
          <w:tab w:val="left" w:pos="2379"/>
        </w:tabs>
        <w:spacing w:before="264"/>
        <w:ind w:left="2379" w:hanging="719"/>
      </w:pPr>
      <w:r>
        <w:rPr>
          <w:sz w:val="19"/>
        </w:rPr>
        <w:t>経済的、社会的、文化的権利</w:t>
      </w:r>
    </w:p>
    <w:p w14:paraId="6FB31A69" w14:textId="1E05E364" w:rsidR="003D653A" w:rsidRDefault="00DF0EC9" w:rsidP="009939F4">
      <w:pPr>
        <w:pStyle w:val="50"/>
        <w:rPr>
          <w:lang w:eastAsia="ja-JP"/>
        </w:rPr>
      </w:pPr>
      <w:r>
        <w:rPr>
          <w:rFonts w:ascii="ＭＳ 明朝" w:eastAsia="ＭＳ 明朝" w:hAnsi="ＭＳ 明朝" w:cs="ＭＳ 明朝" w:hint="eastAsia"/>
          <w:lang w:eastAsia="ja-JP"/>
        </w:rPr>
        <w:t>これらの権利は、高齢者が地域社会において尊厳と安全を</w:t>
      </w:r>
      <w:r w:rsidR="0043624F">
        <w:rPr>
          <w:rFonts w:ascii="ＭＳ 明朝" w:eastAsia="ＭＳ 明朝" w:hAnsi="ＭＳ 明朝" w:cs="ＭＳ 明朝" w:hint="eastAsia"/>
          <w:lang w:eastAsia="ja-JP"/>
        </w:rPr>
        <w:t>伴って</w:t>
      </w:r>
      <w:r>
        <w:rPr>
          <w:rFonts w:ascii="ＭＳ 明朝" w:eastAsia="ＭＳ 明朝" w:hAnsi="ＭＳ 明朝" w:cs="ＭＳ 明朝" w:hint="eastAsia"/>
          <w:lang w:eastAsia="ja-JP"/>
        </w:rPr>
        <w:t>生活できることを確保する上で中心的な役割を果たす。高齢化の文脈においては、これには健康、住居、社会</w:t>
      </w:r>
      <w:bookmarkStart w:id="11" w:name="_bookmark10"/>
      <w:bookmarkEnd w:id="11"/>
      <w:r w:rsidR="0043624F">
        <w:rPr>
          <w:rFonts w:ascii="ＭＳ 明朝" w:eastAsia="ＭＳ 明朝" w:hAnsi="ＭＳ 明朝" w:cs="ＭＳ 明朝" w:hint="eastAsia"/>
          <w:lang w:eastAsia="ja-JP"/>
        </w:rPr>
        <w:t>的保障</w:t>
      </w:r>
      <w:r>
        <w:rPr>
          <w:rFonts w:ascii="ＭＳ 明朝" w:eastAsia="ＭＳ 明朝" w:hAnsi="ＭＳ 明朝" w:cs="ＭＳ 明朝" w:hint="eastAsia"/>
          <w:lang w:eastAsia="ja-JP"/>
        </w:rPr>
        <w:t>、ケアと支援、労働、および適切な生活水準に関する権利が含まれる。これらの権利は、自律、包摂、そして平等な立場で社会に参加するために必要な条件を確保することを目的とする。</w:t>
      </w:r>
    </w:p>
    <w:p w14:paraId="45090E6D" w14:textId="4A8AAF4D" w:rsidR="003D653A" w:rsidRDefault="00DF0EC9" w:rsidP="009939F4">
      <w:pPr>
        <w:pStyle w:val="50"/>
        <w:rPr>
          <w:lang w:eastAsia="ja-JP"/>
        </w:rPr>
      </w:pPr>
      <w:r>
        <w:rPr>
          <w:rFonts w:ascii="ＭＳ 明朝" w:eastAsia="ＭＳ 明朝" w:hAnsi="ＭＳ 明朝" w:cs="ＭＳ 明朝" w:hint="eastAsia"/>
          <w:lang w:eastAsia="ja-JP"/>
        </w:rPr>
        <w:t>これらのカテゴリーは</w:t>
      </w:r>
      <w:r w:rsidR="0043624F">
        <w:rPr>
          <w:rFonts w:ascii="ＭＳ 明朝" w:eastAsia="ＭＳ 明朝" w:hAnsi="ＭＳ 明朝" w:cs="ＭＳ 明朝" w:hint="eastAsia"/>
          <w:lang w:eastAsia="ja-JP"/>
        </w:rPr>
        <w:t>厳密に区分</w:t>
      </w:r>
      <w:r>
        <w:rPr>
          <w:rFonts w:ascii="ＭＳ 明朝" w:eastAsia="ＭＳ 明朝" w:hAnsi="ＭＳ 明朝" w:cs="ＭＳ 明朝" w:hint="eastAsia"/>
          <w:lang w:eastAsia="ja-JP"/>
        </w:rPr>
        <w:t>されたものではなく、多くの権利が重複する。これは、権利の相互依存性と不可分性を反映しており、将来の条約が、保護、自律、参加、自由、およびサービスや支援へのアクセスとの間に人為的な区別を再現しないようにする必要があることを示している</w:t>
      </w:r>
      <w:r w:rsidR="00A2271F">
        <w:rPr>
          <w:rStyle w:val="ac"/>
          <w:rFonts w:ascii="ＭＳ 明朝" w:eastAsia="ＭＳ 明朝" w:hAnsi="ＭＳ 明朝" w:cs="ＭＳ 明朝"/>
          <w:lang w:eastAsia="ja-JP"/>
        </w:rPr>
        <w:footnoteReference w:id="7"/>
      </w:r>
      <w:hyperlink w:anchor="_bookmark11" w:history="1">
        <w:r w:rsidR="003D653A">
          <w:rPr>
            <w:rFonts w:ascii="ＭＳ 明朝" w:eastAsia="ＭＳ 明朝" w:hAnsi="ＭＳ 明朝" w:cs="ＭＳ 明朝" w:hint="eastAsia"/>
            <w:lang w:eastAsia="ja-JP"/>
          </w:rPr>
          <w:t>。</w:t>
        </w:r>
      </w:hyperlink>
      <w:r>
        <w:rPr>
          <w:rFonts w:ascii="ＭＳ 明朝" w:eastAsia="ＭＳ 明朝" w:hAnsi="ＭＳ 明朝" w:cs="ＭＳ 明朝" w:hint="eastAsia"/>
          <w:lang w:eastAsia="ja-JP"/>
        </w:rPr>
        <w:t>しかし、それらは、将来の条約の実質的権利部分の想定される構造について考える上で有用な枠組みを提供する。</w:t>
      </w:r>
    </w:p>
    <w:p w14:paraId="077B552D" w14:textId="57E81543" w:rsidR="003D653A" w:rsidRDefault="00A2271F" w:rsidP="009939F4">
      <w:pPr>
        <w:pStyle w:val="50"/>
        <w:rPr>
          <w:lang w:eastAsia="ja-JP"/>
        </w:rPr>
      </w:pPr>
      <w:r>
        <w:rPr>
          <w:rFonts w:ascii="ＭＳ 明朝" w:eastAsia="ＭＳ 明朝" w:hAnsi="ＭＳ 明朝" w:cs="ＭＳ 明朝" w:hint="eastAsia"/>
          <w:lang w:eastAsia="ja-JP"/>
        </w:rPr>
        <w:t>この</w:t>
      </w:r>
      <w:r w:rsidR="00DF0EC9">
        <w:rPr>
          <w:rFonts w:ascii="ＭＳ 明朝" w:eastAsia="ＭＳ 明朝" w:hAnsi="ＭＳ 明朝" w:cs="ＭＳ 明朝" w:hint="eastAsia"/>
          <w:lang w:eastAsia="ja-JP"/>
        </w:rPr>
        <w:t>意見書では、犯罪、刑罰、権利、および刑事司法制度の文脈で生じる主要な権利問題のいくつかに特に焦点を当てる。</w:t>
      </w:r>
    </w:p>
    <w:p w14:paraId="217F5034" w14:textId="7D8486E6" w:rsidR="003D653A" w:rsidRDefault="00DF0EC9">
      <w:pPr>
        <w:pStyle w:val="3"/>
        <w:numPr>
          <w:ilvl w:val="0"/>
          <w:numId w:val="5"/>
        </w:numPr>
        <w:tabs>
          <w:tab w:val="left" w:pos="1573"/>
        </w:tabs>
        <w:spacing w:before="262"/>
        <w:ind w:left="1573" w:hanging="274"/>
        <w:rPr>
          <w:lang w:eastAsia="ja-JP"/>
        </w:rPr>
      </w:pPr>
      <w:r>
        <w:rPr>
          <w:sz w:val="23"/>
          <w:lang w:eastAsia="ja-JP"/>
        </w:rPr>
        <w:t>高齢化と刑事司法の交差における主要な課題</w:t>
      </w:r>
    </w:p>
    <w:p w14:paraId="2C349EDA" w14:textId="0F6CBC20" w:rsidR="003D653A" w:rsidRDefault="00DF0EC9" w:rsidP="009939F4">
      <w:pPr>
        <w:pStyle w:val="50"/>
        <w:rPr>
          <w:lang w:eastAsia="ja-JP"/>
        </w:rPr>
      </w:pPr>
      <w:r>
        <w:rPr>
          <w:rFonts w:ascii="ＭＳ 明朝" w:eastAsia="ＭＳ 明朝" w:hAnsi="ＭＳ 明朝" w:cs="ＭＳ 明朝" w:hint="eastAsia"/>
          <w:lang w:eastAsia="ja-JP"/>
        </w:rPr>
        <w:t>本節では、高齢化、刑事司法、および人権</w:t>
      </w:r>
      <w:r w:rsidR="00A2271F">
        <w:rPr>
          <w:rFonts w:ascii="ＭＳ 明朝" w:eastAsia="ＭＳ 明朝" w:hAnsi="ＭＳ 明朝" w:cs="ＭＳ 明朝" w:hint="eastAsia"/>
          <w:lang w:eastAsia="ja-JP"/>
        </w:rPr>
        <w:t>が</w:t>
      </w:r>
      <w:r>
        <w:rPr>
          <w:rFonts w:ascii="ＭＳ 明朝" w:eastAsia="ＭＳ 明朝" w:hAnsi="ＭＳ 明朝" w:cs="ＭＳ 明朝" w:hint="eastAsia"/>
          <w:lang w:eastAsia="ja-JP"/>
        </w:rPr>
        <w:t>交差</w:t>
      </w:r>
      <w:r w:rsidR="00A2271F">
        <w:rPr>
          <w:rFonts w:ascii="ＭＳ 明朝" w:eastAsia="ＭＳ 明朝" w:hAnsi="ＭＳ 明朝" w:cs="ＭＳ 明朝" w:hint="eastAsia"/>
          <w:lang w:eastAsia="ja-JP"/>
        </w:rPr>
        <w:t>する</w:t>
      </w:r>
      <w:r>
        <w:rPr>
          <w:rFonts w:ascii="ＭＳ 明朝" w:eastAsia="ＭＳ 明朝" w:hAnsi="ＭＳ 明朝" w:cs="ＭＳ 明朝" w:hint="eastAsia"/>
          <w:lang w:eastAsia="ja-JP"/>
        </w:rPr>
        <w:t>点にあるいくつかの重要な問題を取り上げる。これらは、新たな法的拘束力のある文書の策定において、慎重かつ先を見越した検討を要するものである。障害者権利条約の起草および実施の経験から、特に法的能力、自由の剥奪、刑事責任に関連する特定の分野において、第</w:t>
      </w:r>
      <w:r>
        <w:rPr>
          <w:lang w:eastAsia="ja-JP"/>
        </w:rPr>
        <w:t>12</w:t>
      </w:r>
      <w:r>
        <w:rPr>
          <w:rFonts w:ascii="ＭＳ 明朝" w:eastAsia="ＭＳ 明朝" w:hAnsi="ＭＳ 明朝" w:cs="ＭＳ 明朝" w:hint="eastAsia"/>
          <w:lang w:eastAsia="ja-JP"/>
        </w:rPr>
        <w:t>条および第</w:t>
      </w:r>
      <w:r>
        <w:rPr>
          <w:lang w:eastAsia="ja-JP"/>
        </w:rPr>
        <w:t>14</w:t>
      </w:r>
      <w:r>
        <w:rPr>
          <w:rFonts w:ascii="ＭＳ 明朝" w:eastAsia="ＭＳ 明朝" w:hAnsi="ＭＳ 明朝" w:cs="ＭＳ 明朝" w:hint="eastAsia"/>
          <w:lang w:eastAsia="ja-JP"/>
        </w:rPr>
        <w:t>条に関して大きな議論が生じ、締約国による膨大な解釈宣言や留保につながったことが示されている。これらの問題は、国際人権法に</w:t>
      </w:r>
      <w:r>
        <w:rPr>
          <w:rFonts w:ascii="ＭＳ 明朝" w:eastAsia="ＭＳ 明朝" w:hAnsi="ＭＳ 明朝" w:cs="ＭＳ 明朝" w:hint="eastAsia"/>
          <w:lang w:eastAsia="ja-JP"/>
        </w:rPr>
        <w:lastRenderedPageBreak/>
        <w:t>おいて最も複雑で議論の分かれる問題の一つであることが証明されている。</w:t>
      </w:r>
    </w:p>
    <w:p w14:paraId="79BEE15E" w14:textId="4F32362B" w:rsidR="003D653A" w:rsidRDefault="00DF0EC9" w:rsidP="009939F4">
      <w:pPr>
        <w:pStyle w:val="50"/>
        <w:rPr>
          <w:lang w:eastAsia="ja-JP"/>
        </w:rPr>
      </w:pPr>
      <w:r w:rsidRPr="00322D64">
        <w:rPr>
          <w:rFonts w:ascii="ＭＳ 明朝" w:eastAsia="ＭＳ 明朝" w:hAnsi="ＭＳ 明朝" w:cs="ＭＳ 明朝" w:hint="eastAsia"/>
          <w:lang w:eastAsia="ja-JP"/>
        </w:rPr>
        <w:t>高齢化の文脈においても、特に自律、意思決定、および保護的または強制的な介入における国家の役割に関する疑問が生じる場合、</w:t>
      </w:r>
      <w:r>
        <w:rPr>
          <w:rFonts w:ascii="ＭＳ 明朝" w:eastAsia="ＭＳ 明朝" w:hAnsi="ＭＳ 明朝" w:cs="ＭＳ 明朝" w:hint="eastAsia"/>
          <w:lang w:eastAsia="ja-JP"/>
        </w:rPr>
        <w:t>同様の緊張が生じる可能性が高い。したがって、規範的枠組みを明確にし、国際人権法の</w:t>
      </w:r>
      <w:r w:rsidR="00322D64">
        <w:rPr>
          <w:rFonts w:ascii="ＭＳ 明朝" w:eastAsia="ＭＳ 明朝" w:hAnsi="ＭＳ 明朝" w:cs="ＭＳ 明朝" w:hint="eastAsia"/>
          <w:lang w:eastAsia="ja-JP"/>
        </w:rPr>
        <w:t>開発</w:t>
      </w:r>
      <w:r>
        <w:rPr>
          <w:rFonts w:ascii="ＭＳ 明朝" w:eastAsia="ＭＳ 明朝" w:hAnsi="ＭＳ 明朝" w:cs="ＭＳ 明朝" w:hint="eastAsia"/>
          <w:lang w:eastAsia="ja-JP"/>
        </w:rPr>
        <w:t>における断片化</w:t>
      </w:r>
      <w:r w:rsidR="00322D64">
        <w:rPr>
          <w:rFonts w:ascii="ＭＳ 明朝" w:eastAsia="ＭＳ 明朝" w:hAnsi="ＭＳ 明朝" w:cs="ＭＳ 明朝" w:hint="eastAsia"/>
          <w:lang w:eastAsia="ja-JP"/>
        </w:rPr>
        <w:t>（バラバラになること）</w:t>
      </w:r>
      <w:r>
        <w:rPr>
          <w:rFonts w:ascii="ＭＳ 明朝" w:eastAsia="ＭＳ 明朝" w:hAnsi="ＭＳ 明朝" w:cs="ＭＳ 明朝" w:hint="eastAsia"/>
          <w:lang w:eastAsia="ja-JP"/>
        </w:rPr>
        <w:t>を回避するのに役立つ可能性があるため、早い段階でこれらの議論に取り組むことに価値がある。また、高齢者に関する新たな枠組み</w:t>
      </w:r>
      <w:r w:rsidR="00322D64">
        <w:rPr>
          <w:rFonts w:ascii="ＭＳ 明朝" w:eastAsia="ＭＳ 明朝" w:hAnsi="ＭＳ 明朝" w:cs="ＭＳ 明朝" w:hint="eastAsia"/>
          <w:lang w:eastAsia="ja-JP"/>
        </w:rPr>
        <w:t>は</w:t>
      </w:r>
      <w:r>
        <w:rPr>
          <w:rFonts w:ascii="ＭＳ 明朝" w:eastAsia="ＭＳ 明朝" w:hAnsi="ＭＳ 明朝" w:cs="ＭＳ 明朝" w:hint="eastAsia"/>
          <w:lang w:eastAsia="ja-JP"/>
        </w:rPr>
        <w:t>、</w:t>
      </w:r>
      <w:r w:rsidR="0084643F">
        <w:rPr>
          <w:rFonts w:ascii="ＭＳ 明朝" w:eastAsia="ＭＳ 明朝" w:hAnsi="ＭＳ 明朝" w:cs="ＭＳ 明朝" w:hint="eastAsia"/>
          <w:lang w:eastAsia="ja-JP"/>
        </w:rPr>
        <w:t>障害の文脈で生じた未解決の問題を再検討する機会</w:t>
      </w:r>
      <w:r w:rsidR="0084643F">
        <w:rPr>
          <w:rFonts w:ascii="ＭＳ 明朝" w:eastAsia="ＭＳ 明朝" w:hAnsi="ＭＳ 明朝" w:cs="ＭＳ 明朝" w:hint="eastAsia"/>
          <w:lang w:eastAsia="ja-JP"/>
        </w:rPr>
        <w:t>を</w:t>
      </w:r>
      <w:r w:rsidR="0084643F">
        <w:rPr>
          <w:rFonts w:ascii="ＭＳ 明朝" w:eastAsia="ＭＳ 明朝" w:hAnsi="ＭＳ 明朝" w:cs="ＭＳ 明朝" w:hint="eastAsia"/>
          <w:lang w:eastAsia="ja-JP"/>
        </w:rPr>
        <w:t>提供</w:t>
      </w:r>
      <w:r w:rsidR="0084643F">
        <w:rPr>
          <w:rFonts w:ascii="ＭＳ 明朝" w:eastAsia="ＭＳ 明朝" w:hAnsi="ＭＳ 明朝" w:cs="ＭＳ 明朝" w:hint="eastAsia"/>
          <w:lang w:eastAsia="ja-JP"/>
        </w:rPr>
        <w:t>す</w:t>
      </w:r>
      <w:r w:rsidR="0084643F">
        <w:rPr>
          <w:rFonts w:ascii="ＭＳ 明朝" w:eastAsia="ＭＳ 明朝" w:hAnsi="ＭＳ 明朝" w:cs="ＭＳ 明朝" w:hint="eastAsia"/>
          <w:lang w:eastAsia="ja-JP"/>
        </w:rPr>
        <w:t>る。障害分野の再検討がなされれば、</w:t>
      </w:r>
      <w:r>
        <w:rPr>
          <w:rFonts w:ascii="ＭＳ 明朝" w:eastAsia="ＭＳ 明朝" w:hAnsi="ＭＳ 明朝" w:cs="ＭＳ 明朝" w:hint="eastAsia"/>
          <w:lang w:eastAsia="ja-JP"/>
        </w:rPr>
        <w:t>締約国による</w:t>
      </w:r>
      <w:r w:rsidR="0084643F">
        <w:rPr>
          <w:rFonts w:ascii="ＭＳ 明朝" w:eastAsia="ＭＳ 明朝" w:hAnsi="ＭＳ 明朝" w:cs="ＭＳ 明朝" w:hint="eastAsia"/>
          <w:lang w:eastAsia="ja-JP"/>
        </w:rPr>
        <w:t>高齢分野の条約の</w:t>
      </w:r>
      <w:r>
        <w:rPr>
          <w:rFonts w:ascii="ＭＳ 明朝" w:eastAsia="ＭＳ 明朝" w:hAnsi="ＭＳ 明朝" w:cs="ＭＳ 明朝" w:hint="eastAsia"/>
          <w:lang w:eastAsia="ja-JP"/>
        </w:rPr>
        <w:t>実施に必要な法改正</w:t>
      </w:r>
      <w:r w:rsidR="0084643F">
        <w:rPr>
          <w:rFonts w:ascii="ＭＳ 明朝" w:eastAsia="ＭＳ 明朝" w:hAnsi="ＭＳ 明朝" w:cs="ＭＳ 明朝" w:hint="eastAsia"/>
          <w:lang w:eastAsia="ja-JP"/>
        </w:rPr>
        <w:t>の取り組みが、</w:t>
      </w:r>
      <w:r w:rsidR="0084643F">
        <w:rPr>
          <w:rFonts w:ascii="ＭＳ 明朝" w:eastAsia="ＭＳ 明朝" w:hAnsi="ＭＳ 明朝" w:cs="ＭＳ 明朝" w:hint="eastAsia"/>
          <w:lang w:eastAsia="ja-JP"/>
        </w:rPr>
        <w:t>世界的な</w:t>
      </w:r>
      <w:r>
        <w:rPr>
          <w:rFonts w:ascii="ＭＳ 明朝" w:eastAsia="ＭＳ 明朝" w:hAnsi="ＭＳ 明朝" w:cs="ＭＳ 明朝" w:hint="eastAsia"/>
          <w:lang w:eastAsia="ja-JP"/>
        </w:rPr>
        <w:t>プログラム</w:t>
      </w:r>
      <w:r w:rsidR="0084643F">
        <w:rPr>
          <w:rFonts w:ascii="ＭＳ 明朝" w:eastAsia="ＭＳ 明朝" w:hAnsi="ＭＳ 明朝" w:cs="ＭＳ 明朝" w:hint="eastAsia"/>
          <w:lang w:eastAsia="ja-JP"/>
        </w:rPr>
        <w:t>として</w:t>
      </w:r>
      <w:r>
        <w:rPr>
          <w:rFonts w:ascii="ＭＳ 明朝" w:eastAsia="ＭＳ 明朝" w:hAnsi="ＭＳ 明朝" w:cs="ＭＳ 明朝" w:hint="eastAsia"/>
          <w:lang w:eastAsia="ja-JP"/>
        </w:rPr>
        <w:t>推進</w:t>
      </w:r>
      <w:r w:rsidR="0084643F">
        <w:rPr>
          <w:rFonts w:ascii="ＭＳ 明朝" w:eastAsia="ＭＳ 明朝" w:hAnsi="ＭＳ 明朝" w:cs="ＭＳ 明朝" w:hint="eastAsia"/>
          <w:lang w:eastAsia="ja-JP"/>
        </w:rPr>
        <w:t>されることに役立つと思われる。</w:t>
      </w:r>
    </w:p>
    <w:p w14:paraId="2AD8BAA0" w14:textId="77777777" w:rsidR="003D653A" w:rsidRDefault="291A752A">
      <w:pPr>
        <w:pStyle w:val="4"/>
        <w:numPr>
          <w:ilvl w:val="1"/>
          <w:numId w:val="5"/>
        </w:numPr>
        <w:tabs>
          <w:tab w:val="left" w:pos="1627"/>
        </w:tabs>
        <w:ind w:left="1627" w:hanging="328"/>
      </w:pPr>
      <w:r w:rsidRPr="291A752A">
        <w:rPr>
          <w:spacing w:val="-2"/>
          <w:sz w:val="20"/>
          <w:szCs w:val="20"/>
        </w:rPr>
        <w:t>法的能力と刑事責任</w:t>
      </w:r>
    </w:p>
    <w:p w14:paraId="2F4B7933" w14:textId="0F65485E" w:rsidR="003D653A" w:rsidRDefault="291A752A" w:rsidP="009939F4">
      <w:pPr>
        <w:pStyle w:val="50"/>
        <w:rPr>
          <w:lang w:eastAsia="ja-JP"/>
        </w:rPr>
      </w:pPr>
      <w:r w:rsidRPr="291A752A">
        <w:rPr>
          <w:rFonts w:ascii="ＭＳ 明朝" w:eastAsia="ＭＳ 明朝" w:hAnsi="ＭＳ 明朝" w:cs="ＭＳ 明朝" w:hint="eastAsia"/>
          <w:lang w:eastAsia="ja-JP"/>
        </w:rPr>
        <w:t>法的能力は、刑事司法の文脈において「ゲートキーパー的権利」として理解されなければならない</w:t>
      </w:r>
      <w:r w:rsidR="007515D2">
        <w:rPr>
          <w:rStyle w:val="ac"/>
          <w:rFonts w:ascii="ＭＳ 明朝" w:eastAsia="ＭＳ 明朝" w:hAnsi="ＭＳ 明朝" w:cs="ＭＳ 明朝"/>
          <w:lang w:eastAsia="ja-JP"/>
        </w:rPr>
        <w:footnoteReference w:id="8"/>
      </w:r>
      <w:r w:rsidRPr="291A752A">
        <w:rPr>
          <w:rFonts w:ascii="ＭＳ 明朝" w:eastAsia="ＭＳ 明朝" w:hAnsi="ＭＳ 明朝" w:cs="ＭＳ 明朝" w:hint="eastAsia"/>
          <w:lang w:eastAsia="ja-JP"/>
        </w:rPr>
        <w:t>。それは多くの点で、他のすべての権利を効果的に享受するための鍵となるものである</w:t>
      </w:r>
      <w:r w:rsidR="007515D2">
        <w:rPr>
          <w:rStyle w:val="ac"/>
          <w:rFonts w:ascii="ＭＳ 明朝" w:eastAsia="ＭＳ 明朝" w:hAnsi="ＭＳ 明朝" w:cs="ＭＳ 明朝"/>
          <w:lang w:eastAsia="ja-JP"/>
        </w:rPr>
        <w:footnoteReference w:id="9"/>
      </w:r>
      <w:r w:rsidRPr="291A752A">
        <w:rPr>
          <w:rFonts w:ascii="ＭＳ 明朝" w:eastAsia="ＭＳ 明朝" w:hAnsi="ＭＳ 明朝" w:cs="ＭＳ 明朝" w:hint="eastAsia"/>
          <w:lang w:eastAsia="ja-JP"/>
        </w:rPr>
        <w:t>。法の前での人格としての承認がなく、法的に有効な決定を下すことが許されない場合、高齢者は司法制度の中で自らの権利を主張し、行使し、または擁護しようとする際に、深刻な不利益に置かれることになる。法定代理人への指示、</w:t>
      </w:r>
      <w:r w:rsidR="00B77DEF">
        <w:rPr>
          <w:rFonts w:ascii="ＭＳ 明朝" w:eastAsia="ＭＳ 明朝" w:hAnsi="ＭＳ 明朝" w:cs="ＭＳ 明朝" w:hint="eastAsia"/>
          <w:lang w:eastAsia="ja-JP"/>
        </w:rPr>
        <w:t>司法</w:t>
      </w:r>
      <w:r w:rsidRPr="291A752A">
        <w:rPr>
          <w:rFonts w:ascii="ＭＳ 明朝" w:eastAsia="ＭＳ 明朝" w:hAnsi="ＭＳ 明朝" w:cs="ＭＳ 明朝" w:hint="eastAsia"/>
          <w:lang w:eastAsia="ja-JP"/>
        </w:rPr>
        <w:t>手続への参加、証言、および人権侵害への異議申し立ての能力は、すべて法的能力の承認に依存している。したがって、法的に有効な決定を行う能力を有する権利主体として高齢者を承認することは、捜査、公判、量刑、拘禁を含む刑事手続の全段階に直接的な影響を及ぼす。障害者権利条約の策定過程で見られたように、</w:t>
      </w:r>
      <w:bookmarkStart w:id="12" w:name="_bookmark11"/>
      <w:bookmarkStart w:id="13" w:name="_bookmark13"/>
      <w:bookmarkEnd w:id="12"/>
      <w:bookmarkEnd w:id="13"/>
      <w:r w:rsidR="00DF0EC9">
        <w:rPr>
          <w:rFonts w:ascii="ＭＳ 明朝" w:eastAsia="ＭＳ 明朝" w:hAnsi="ＭＳ 明朝" w:cs="ＭＳ 明朝" w:hint="eastAsia"/>
          <w:lang w:eastAsia="ja-JP"/>
        </w:rPr>
        <w:t>他者と対等な立場で法的能力を認めることは、意思決定権限を第三者に委ねるモデルからの大きな転換を意味する。</w:t>
      </w:r>
    </w:p>
    <w:p w14:paraId="7D7573AA" w14:textId="0FFEC266" w:rsidR="003D653A" w:rsidRDefault="00DF0EC9" w:rsidP="009939F4">
      <w:pPr>
        <w:pStyle w:val="50"/>
        <w:rPr>
          <w:lang w:eastAsia="ja-JP"/>
        </w:rPr>
      </w:pPr>
      <w:r>
        <w:rPr>
          <w:rFonts w:ascii="ＭＳ 明朝" w:eastAsia="ＭＳ 明朝" w:hAnsi="ＭＳ 明朝" w:cs="ＭＳ 明朝" w:hint="eastAsia"/>
          <w:lang w:eastAsia="ja-JP"/>
        </w:rPr>
        <w:t>高齢化という文脈においては、精神的能力に</w:t>
      </w:r>
      <w:r w:rsidR="00B77DEF">
        <w:rPr>
          <w:rFonts w:ascii="ＭＳ 明朝" w:eastAsia="ＭＳ 明朝" w:hAnsi="ＭＳ 明朝" w:cs="ＭＳ 明朝" w:hint="eastAsia"/>
          <w:lang w:eastAsia="ja-JP"/>
        </w:rPr>
        <w:t>ついての</w:t>
      </w:r>
      <w:r>
        <w:rPr>
          <w:rFonts w:ascii="ＭＳ 明朝" w:eastAsia="ＭＳ 明朝" w:hAnsi="ＭＳ 明朝" w:cs="ＭＳ 明朝" w:hint="eastAsia"/>
          <w:lang w:eastAsia="ja-JP"/>
        </w:rPr>
        <w:t>年齢関連</w:t>
      </w:r>
      <w:r w:rsidR="00B77DEF">
        <w:rPr>
          <w:rFonts w:ascii="ＭＳ 明朝" w:eastAsia="ＭＳ 明朝" w:hAnsi="ＭＳ 明朝" w:cs="ＭＳ 明朝" w:hint="eastAsia"/>
          <w:lang w:eastAsia="ja-JP"/>
        </w:rPr>
        <w:t>の</w:t>
      </w:r>
      <w:r>
        <w:rPr>
          <w:rFonts w:ascii="ＭＳ 明朝" w:eastAsia="ＭＳ 明朝" w:hAnsi="ＭＳ 明朝" w:cs="ＭＳ 明朝" w:hint="eastAsia"/>
          <w:lang w:eastAsia="ja-JP"/>
        </w:rPr>
        <w:t>仮定が、特に刑事手続において、法的能力の制限につながるリスクがある。これは、裁判を受ける能力、証言、または法定代理人への指示能力などの分野で生じうる</w:t>
      </w:r>
      <w:r w:rsidR="00B77DEF">
        <w:rPr>
          <w:rStyle w:val="ac"/>
          <w:rFonts w:ascii="ＭＳ 明朝" w:eastAsia="ＭＳ 明朝" w:hAnsi="ＭＳ 明朝" w:cs="ＭＳ 明朝"/>
          <w:lang w:eastAsia="ja-JP"/>
        </w:rPr>
        <w:footnoteReference w:id="10"/>
      </w:r>
      <w:hyperlink w:anchor="_bookmark14" w:history="1">
        <w:r w:rsidR="003D653A">
          <w:rPr>
            <w:rFonts w:ascii="ＭＳ 明朝" w:eastAsia="ＭＳ 明朝" w:hAnsi="ＭＳ 明朝" w:cs="ＭＳ 明朝" w:hint="eastAsia"/>
            <w:spacing w:val="-4"/>
            <w:lang w:eastAsia="ja-JP"/>
          </w:rPr>
          <w:t>。</w:t>
        </w:r>
      </w:hyperlink>
      <w:r>
        <w:rPr>
          <w:rFonts w:ascii="ＭＳ 明朝" w:eastAsia="ＭＳ 明朝" w:hAnsi="ＭＳ 明朝" w:cs="ＭＳ 明朝" w:hint="eastAsia"/>
          <w:lang w:eastAsia="ja-JP"/>
        </w:rPr>
        <w:t>新しい条約は、年齢のみをもって法的能力の否認や制限を正当化することは決してできないことを明確にし、高齢者が刑事手続に効果的に参加できるよう、各国に適切な支援を提供することを義務付けるべきである。</w:t>
      </w:r>
    </w:p>
    <w:p w14:paraId="1DE32E4E" w14:textId="26D00098" w:rsidR="003D653A" w:rsidRDefault="291A752A">
      <w:pPr>
        <w:pStyle w:val="4"/>
        <w:numPr>
          <w:ilvl w:val="1"/>
          <w:numId w:val="5"/>
        </w:numPr>
        <w:tabs>
          <w:tab w:val="left" w:pos="1646"/>
        </w:tabs>
        <w:spacing w:before="254"/>
        <w:ind w:left="1646" w:hanging="347"/>
        <w:rPr>
          <w:lang w:eastAsia="ja-JP"/>
        </w:rPr>
      </w:pPr>
      <w:r w:rsidRPr="291A752A">
        <w:rPr>
          <w:spacing w:val="-2"/>
          <w:sz w:val="20"/>
          <w:szCs w:val="20"/>
          <w:lang w:eastAsia="ja-JP"/>
        </w:rPr>
        <w:t>刑事</w:t>
      </w:r>
      <w:r w:rsidR="00F903A4">
        <w:rPr>
          <w:rFonts w:ascii="ＭＳ 明朝" w:eastAsia="ＭＳ 明朝" w:hAnsi="ＭＳ 明朝" w:cs="ＭＳ 明朝" w:hint="eastAsia"/>
          <w:spacing w:val="-2"/>
          <w:sz w:val="20"/>
          <w:szCs w:val="20"/>
          <w:lang w:eastAsia="ja-JP"/>
        </w:rPr>
        <w:t>手続き</w:t>
      </w:r>
      <w:r w:rsidRPr="291A752A">
        <w:rPr>
          <w:spacing w:val="-2"/>
          <w:sz w:val="20"/>
          <w:szCs w:val="20"/>
          <w:lang w:eastAsia="ja-JP"/>
        </w:rPr>
        <w:t>の回避、支援、および刑事</w:t>
      </w:r>
      <w:r w:rsidR="00F903A4">
        <w:rPr>
          <w:rFonts w:ascii="ＭＳ 明朝" w:eastAsia="ＭＳ 明朝" w:hAnsi="ＭＳ 明朝" w:cs="ＭＳ 明朝" w:hint="eastAsia"/>
          <w:spacing w:val="-2"/>
          <w:sz w:val="20"/>
          <w:szCs w:val="20"/>
          <w:lang w:eastAsia="ja-JP"/>
        </w:rPr>
        <w:t>手続き</w:t>
      </w:r>
      <w:r w:rsidRPr="291A752A">
        <w:rPr>
          <w:spacing w:val="-2"/>
          <w:sz w:val="20"/>
          <w:szCs w:val="20"/>
          <w:lang w:eastAsia="ja-JP"/>
        </w:rPr>
        <w:t>に代わる措置</w:t>
      </w:r>
    </w:p>
    <w:p w14:paraId="2F742F64" w14:textId="7C3D3E2F" w:rsidR="003D653A" w:rsidRPr="009939F4" w:rsidRDefault="00DF0EC9" w:rsidP="00FD3165">
      <w:pPr>
        <w:pStyle w:val="a3"/>
        <w:spacing w:before="266" w:line="235" w:lineRule="auto"/>
        <w:ind w:left="1299" w:right="1437" w:firstLineChars="100" w:firstLine="210"/>
        <w:jc w:val="both"/>
        <w:rPr>
          <w:rStyle w:val="51"/>
        </w:rPr>
      </w:pPr>
      <w:r w:rsidRPr="00C05F1A">
        <w:rPr>
          <w:rStyle w:val="51"/>
          <w:rFonts w:ascii="ＭＳ 明朝" w:eastAsia="ＭＳ 明朝" w:hAnsi="ＭＳ 明朝" w:cs="ＭＳ 明朝" w:hint="eastAsia"/>
        </w:rPr>
        <w:t>法的能力の認定にあたっては、刑事司法制度における</w:t>
      </w:r>
      <w:r w:rsidRPr="00FD3165">
        <w:rPr>
          <w:rStyle w:val="51"/>
          <w:rFonts w:ascii="ＭＳ 明朝" w:eastAsia="ＭＳ 明朝" w:hAnsi="ＭＳ 明朝" w:cs="ＭＳ 明朝" w:hint="eastAsia"/>
        </w:rPr>
        <w:t>「転向措置」</w:t>
      </w:r>
      <w:r w:rsidR="00C05F1A">
        <w:rPr>
          <w:rStyle w:val="51"/>
          <w:rFonts w:ascii="ＭＳ 明朝" w:eastAsia="ＭＳ 明朝" w:hAnsi="ＭＳ 明朝" w:cs="ＭＳ 明朝" w:hint="eastAsia"/>
          <w:lang w:eastAsia="ja-JP"/>
        </w:rPr>
        <w:t>（diversion）</w:t>
      </w:r>
      <w:r w:rsidRPr="00FD3165">
        <w:rPr>
          <w:rStyle w:val="51"/>
          <w:rFonts w:ascii="ＭＳ 明朝" w:eastAsia="ＭＳ 明朝" w:hAnsi="ＭＳ 明朝" w:cs="ＭＳ 明朝" w:hint="eastAsia"/>
        </w:rPr>
        <w:t>の運用についても慎重な検討が必要である。実務上、高齢者、とりわけ支援を必要とする高齢者は、正式な刑事手続きから外され、</w:t>
      </w:r>
      <w:r w:rsidR="00F903A4">
        <w:rPr>
          <w:rStyle w:val="51"/>
          <w:rFonts w:ascii="ＭＳ 明朝" w:eastAsia="ＭＳ 明朝" w:hAnsi="ＭＳ 明朝" w:cs="ＭＳ 明朝" w:hint="eastAsia"/>
          <w:lang w:eastAsia="ja-JP"/>
        </w:rPr>
        <w:t>ケア</w:t>
      </w:r>
      <w:r w:rsidRPr="00FD3165">
        <w:rPr>
          <w:rStyle w:val="51"/>
          <w:rFonts w:ascii="ＭＳ 明朝" w:eastAsia="ＭＳ 明朝" w:hAnsi="ＭＳ 明朝" w:cs="ＭＳ 明朝" w:hint="eastAsia"/>
        </w:rPr>
        <w:t>や治療</w:t>
      </w:r>
      <w:r w:rsidRPr="009939F4">
        <w:rPr>
          <w:rStyle w:val="51"/>
          <w:rFonts w:ascii="ＭＳ 明朝" w:eastAsia="ＭＳ 明朝" w:hAnsi="ＭＳ 明朝" w:cs="ＭＳ 明朝" w:hint="eastAsia"/>
        </w:rPr>
        <w:t>の場へと転向させられることがある。転向措置は、高齢者に対する</w:t>
      </w:r>
      <w:r w:rsidR="00C05F1A">
        <w:rPr>
          <w:rStyle w:val="51"/>
          <w:rFonts w:ascii="ＭＳ 明朝" w:eastAsia="ＭＳ 明朝" w:hAnsi="ＭＳ 明朝" w:cs="ＭＳ 明朝" w:hint="eastAsia"/>
          <w:lang w:eastAsia="ja-JP"/>
        </w:rPr>
        <w:t>投獄が</w:t>
      </w:r>
      <w:r w:rsidRPr="009939F4">
        <w:rPr>
          <w:rStyle w:val="51"/>
          <w:rFonts w:ascii="ＭＳ 明朝" w:eastAsia="ＭＳ 明朝" w:hAnsi="ＭＳ 明朝" w:cs="ＭＳ 明朝" w:hint="eastAsia"/>
        </w:rPr>
        <w:t>もたらす不均衡かつしばしば有害な影響を回避する上で重要な役割を果たし得る一方で、手続き上の保障措置が非公式または行政的な管理に置き換えられる結果となる場合、重大な人権上の懸念を引き起こす。障害の文脈、特に</w:t>
      </w:r>
      <w:r w:rsidRPr="009939F4">
        <w:rPr>
          <w:rStyle w:val="51"/>
        </w:rPr>
        <w:t>CRPD</w:t>
      </w:r>
      <w:r w:rsidRPr="009939F4">
        <w:rPr>
          <w:rStyle w:val="51"/>
          <w:rFonts w:ascii="ＭＳ 明朝" w:eastAsia="ＭＳ 明朝" w:hAnsi="ＭＳ 明朝" w:cs="ＭＳ 明朝" w:hint="eastAsia"/>
        </w:rPr>
        <w:t>（障害者権利条約）に基づく議論を踏まえると、</w:t>
      </w:r>
      <w:r w:rsidR="00D2282B">
        <w:rPr>
          <w:rStyle w:val="51"/>
          <w:rFonts w:ascii="ＭＳ 明朝" w:eastAsia="ＭＳ 明朝" w:hAnsi="ＭＳ 明朝" w:cs="ＭＳ 明朝" w:hint="eastAsia"/>
          <w:lang w:eastAsia="ja-JP"/>
        </w:rPr>
        <w:t>転向</w:t>
      </w:r>
      <w:r w:rsidRPr="009939F4">
        <w:rPr>
          <w:rStyle w:val="51"/>
          <w:rFonts w:ascii="ＭＳ 明朝" w:eastAsia="ＭＳ 明朝" w:hAnsi="ＭＳ 明朝" w:cs="ＭＳ 明朝" w:hint="eastAsia"/>
        </w:rPr>
        <w:t>措置が適正手続きの権利を回避する手段として、あるいは同意なしに強制的な介入を課す手段として利用されないよう確保する必要がある</w:t>
      </w:r>
      <w:r w:rsidR="004447F9">
        <w:rPr>
          <w:rStyle w:val="ac"/>
          <w:rFonts w:ascii="ＭＳ 明朝" w:eastAsia="ＭＳ 明朝" w:hAnsi="ＭＳ 明朝" w:cs="ＭＳ 明朝"/>
          <w:sz w:val="21"/>
          <w:szCs w:val="21"/>
        </w:rPr>
        <w:footnoteReference w:id="11"/>
      </w:r>
      <w:r w:rsidRPr="009939F4">
        <w:rPr>
          <w:rStyle w:val="51"/>
          <w:rFonts w:ascii="ＭＳ 明朝" w:eastAsia="ＭＳ 明朝" w:hAnsi="ＭＳ 明朝" w:cs="ＭＳ 明朝" w:hint="eastAsia"/>
        </w:rPr>
        <w:t>。</w:t>
      </w:r>
    </w:p>
    <w:p w14:paraId="174AECFE" w14:textId="77777777" w:rsidR="003D653A" w:rsidRDefault="291A752A">
      <w:pPr>
        <w:pStyle w:val="4"/>
        <w:numPr>
          <w:ilvl w:val="1"/>
          <w:numId w:val="5"/>
        </w:numPr>
        <w:tabs>
          <w:tab w:val="left" w:pos="1647"/>
        </w:tabs>
        <w:ind w:left="1647" w:hanging="348"/>
      </w:pPr>
      <w:r w:rsidRPr="291A752A">
        <w:rPr>
          <w:spacing w:val="-2"/>
          <w:sz w:val="20"/>
          <w:szCs w:val="20"/>
        </w:rPr>
        <w:t>高齢受刑者</w:t>
      </w:r>
    </w:p>
    <w:p w14:paraId="307281B3" w14:textId="0AF500BA" w:rsidR="003D653A" w:rsidRDefault="00DF0EC9" w:rsidP="00FD3165">
      <w:pPr>
        <w:pStyle w:val="50"/>
        <w:ind w:firstLine="206"/>
        <w:rPr>
          <w:lang w:eastAsia="ja-JP"/>
        </w:rPr>
      </w:pPr>
      <w:r>
        <w:rPr>
          <w:rFonts w:ascii="ＭＳ 明朝" w:eastAsia="ＭＳ 明朝" w:hAnsi="ＭＳ 明朝" w:cs="ＭＳ 明朝" w:hint="eastAsia"/>
          <w:spacing w:val="-4"/>
          <w:lang w:eastAsia="ja-JP"/>
        </w:rPr>
        <w:t>高齢化と人権に関して見過ごされがちな側面の一つは、拘禁施設</w:t>
      </w:r>
      <w:r w:rsidR="004447F9">
        <w:rPr>
          <w:rFonts w:ascii="ＭＳ 明朝" w:eastAsia="ＭＳ 明朝" w:hAnsi="ＭＳ 明朝" w:cs="ＭＳ 明朝" w:hint="eastAsia"/>
          <w:spacing w:val="-4"/>
          <w:lang w:eastAsia="ja-JP"/>
        </w:rPr>
        <w:t>の</w:t>
      </w:r>
      <w:r>
        <w:rPr>
          <w:rFonts w:ascii="ＭＳ 明朝" w:eastAsia="ＭＳ 明朝" w:hAnsi="ＭＳ 明朝" w:cs="ＭＳ 明朝" w:hint="eastAsia"/>
          <w:spacing w:val="-4"/>
          <w:lang w:eastAsia="ja-JP"/>
        </w:rPr>
        <w:t>高齢者の立場である</w:t>
      </w:r>
      <w:r w:rsidR="004447F9">
        <w:rPr>
          <w:rStyle w:val="ac"/>
          <w:rFonts w:ascii="ＭＳ 明朝" w:eastAsia="ＭＳ 明朝" w:hAnsi="ＭＳ 明朝" w:cs="ＭＳ 明朝"/>
          <w:spacing w:val="-4"/>
          <w:lang w:eastAsia="ja-JP"/>
        </w:rPr>
        <w:footnoteReference w:id="12"/>
      </w:r>
      <w:r w:rsidR="004447F9">
        <w:rPr>
          <w:rFonts w:ascii="ＭＳ 明朝" w:eastAsia="ＭＳ 明朝" w:hAnsi="ＭＳ 明朝" w:cs="ＭＳ 明朝" w:hint="eastAsia"/>
          <w:spacing w:val="-4"/>
          <w:lang w:eastAsia="ja-JP"/>
        </w:rPr>
        <w:t>。</w:t>
      </w:r>
      <w:r>
        <w:rPr>
          <w:rFonts w:ascii="ＭＳ 明朝" w:eastAsia="ＭＳ 明朝" w:hAnsi="ＭＳ 明朝" w:cs="ＭＳ 明朝" w:hint="eastAsia"/>
          <w:lang w:eastAsia="ja-JP"/>
        </w:rPr>
        <w:t>受刑者人口は伝統的に若い男性が大部分を占めてきたが、多くの</w:t>
      </w:r>
      <w:r w:rsidR="00D2282B">
        <w:rPr>
          <w:rFonts w:ascii="ＭＳ 明朝" w:eastAsia="ＭＳ 明朝" w:hAnsi="ＭＳ 明朝" w:cs="ＭＳ 明朝" w:hint="eastAsia"/>
          <w:lang w:eastAsia="ja-JP"/>
        </w:rPr>
        <w:t>国で</w:t>
      </w:r>
      <w:r>
        <w:rPr>
          <w:rFonts w:ascii="ＭＳ 明朝" w:eastAsia="ＭＳ 明朝" w:hAnsi="ＭＳ 明朝" w:cs="ＭＳ 明朝" w:hint="eastAsia"/>
          <w:lang w:eastAsia="ja-JP"/>
        </w:rPr>
        <w:t>、高齢の受刑者へと向かう明確かつ持続的な人口</w:t>
      </w:r>
      <w:r w:rsidR="00D2282B">
        <w:rPr>
          <w:rFonts w:ascii="ＭＳ 明朝" w:eastAsia="ＭＳ 明朝" w:hAnsi="ＭＳ 明朝" w:cs="ＭＳ 明朝" w:hint="eastAsia"/>
          <w:lang w:eastAsia="ja-JP"/>
        </w:rPr>
        <w:t>的</w:t>
      </w:r>
      <w:r>
        <w:rPr>
          <w:rFonts w:ascii="ＭＳ 明朝" w:eastAsia="ＭＳ 明朝" w:hAnsi="ＭＳ 明朝" w:cs="ＭＳ 明朝" w:hint="eastAsia"/>
          <w:lang w:eastAsia="ja-JP"/>
        </w:rPr>
        <w:t>変化が見られる</w:t>
      </w:r>
      <w:r w:rsidR="004447F9">
        <w:rPr>
          <w:rStyle w:val="ac"/>
          <w:rFonts w:ascii="ＭＳ 明朝" w:eastAsia="ＭＳ 明朝" w:hAnsi="ＭＳ 明朝" w:cs="ＭＳ 明朝"/>
          <w:lang w:eastAsia="ja-JP"/>
        </w:rPr>
        <w:footnoteReference w:id="13"/>
      </w:r>
      <w:hyperlink w:anchor="_bookmark17" w:history="1">
        <w:r w:rsidR="003D653A">
          <w:rPr>
            <w:rFonts w:ascii="ＭＳ 明朝" w:eastAsia="ＭＳ 明朝" w:hAnsi="ＭＳ 明朝" w:cs="ＭＳ 明朝" w:hint="eastAsia"/>
            <w:lang w:eastAsia="ja-JP"/>
          </w:rPr>
          <w:t>。</w:t>
        </w:r>
      </w:hyperlink>
      <w:r>
        <w:rPr>
          <w:rFonts w:ascii="ＭＳ 明朝" w:eastAsia="ＭＳ 明朝" w:hAnsi="ＭＳ 明朝" w:cs="ＭＳ 明朝" w:hint="eastAsia"/>
          <w:lang w:eastAsia="ja-JP"/>
        </w:rPr>
        <w:t>この傾向は、刑期の長期化、量刑慣行の変化、欧州にお</w:t>
      </w:r>
      <w:r>
        <w:rPr>
          <w:rFonts w:ascii="ＭＳ 明朝" w:eastAsia="ＭＳ 明朝" w:hAnsi="ＭＳ 明朝" w:cs="ＭＳ 明朝" w:hint="eastAsia"/>
          <w:lang w:eastAsia="ja-JP"/>
        </w:rPr>
        <w:lastRenderedPageBreak/>
        <w:t>ける死刑の廃止など、複数の要因によって引き起こされており、その結果、高齢になっても長期刑や終身刑に服している人々の層が増大している。</w:t>
      </w:r>
    </w:p>
    <w:p w14:paraId="6B252259" w14:textId="750E59B8" w:rsidR="003261FB" w:rsidRDefault="00DF0EC9" w:rsidP="00763ADE">
      <w:pPr>
        <w:pStyle w:val="50"/>
        <w:rPr>
          <w:rFonts w:ascii="ＭＳ 明朝" w:eastAsia="ＭＳ 明朝" w:hAnsi="ＭＳ 明朝" w:cs="ＭＳ 明朝"/>
          <w:sz w:val="19"/>
          <w:lang w:eastAsia="ja-JP"/>
        </w:rPr>
      </w:pPr>
      <w:r>
        <w:rPr>
          <w:rFonts w:ascii="ＭＳ 明朝" w:eastAsia="ＭＳ 明朝" w:hAnsi="ＭＳ 明朝" w:cs="ＭＳ 明朝" w:hint="eastAsia"/>
          <w:lang w:eastAsia="ja-JP"/>
        </w:rPr>
        <w:t>こうした変化にもかかわらず、刑務所制度は依然として、若く身体的に健康な受刑者のニーズや能力を中心に構築されている。刑務所の物理的設計や日常生活の運営は、高齢化の現実に対応できていない場合が多い。エレベーターのない多階建ての収容施設、急勾配の階段、安全に昇降できない二段ベッド、そして場所間の迅速な移動を要求する生活様式はすべて、多くの高齢受刑者には当てはまらない身体能力に関する制度的な前提を反映している</w:t>
      </w:r>
      <w:r w:rsidR="00763ADE">
        <w:rPr>
          <w:rStyle w:val="ac"/>
          <w:rFonts w:ascii="ＭＳ 明朝" w:eastAsia="ＭＳ 明朝" w:hAnsi="ＭＳ 明朝" w:cs="ＭＳ 明朝"/>
          <w:lang w:eastAsia="ja-JP"/>
        </w:rPr>
        <w:footnoteReference w:id="14"/>
      </w:r>
      <w:hyperlink w:anchor="_bookmark18" w:history="1">
        <w:r w:rsidR="003D653A">
          <w:rPr>
            <w:rFonts w:ascii="ＭＳ 明朝" w:eastAsia="ＭＳ 明朝" w:hAnsi="ＭＳ 明朝" w:cs="ＭＳ 明朝" w:hint="eastAsia"/>
            <w:spacing w:val="-2"/>
            <w:lang w:eastAsia="ja-JP"/>
          </w:rPr>
          <w:t>。</w:t>
        </w:r>
      </w:hyperlink>
      <w:r>
        <w:rPr>
          <w:rFonts w:ascii="ＭＳ 明朝" w:eastAsia="ＭＳ 明朝" w:hAnsi="ＭＳ 明朝" w:cs="ＭＳ 明朝" w:hint="eastAsia"/>
          <w:spacing w:val="-2"/>
          <w:lang w:eastAsia="ja-JP"/>
        </w:rPr>
        <w:t>その結果、収容されている高齢者は、単に制度</w:t>
      </w:r>
      <w:r w:rsidR="00D2282B">
        <w:rPr>
          <w:rFonts w:ascii="ＭＳ 明朝" w:eastAsia="ＭＳ 明朝" w:hAnsi="ＭＳ 明朝" w:cs="ＭＳ 明朝" w:hint="eastAsia"/>
          <w:spacing w:val="-2"/>
          <w:lang w:eastAsia="ja-JP"/>
        </w:rPr>
        <w:t>の設計</w:t>
      </w:r>
      <w:r>
        <w:rPr>
          <w:rFonts w:ascii="ＭＳ 明朝" w:eastAsia="ＭＳ 明朝" w:hAnsi="ＭＳ 明朝" w:cs="ＭＳ 明朝" w:hint="eastAsia"/>
          <w:spacing w:val="-2"/>
          <w:lang w:eastAsia="ja-JP"/>
        </w:rPr>
        <w:t>が彼らを念頭に</w:t>
      </w:r>
      <w:r w:rsidR="00D2282B">
        <w:rPr>
          <w:rFonts w:ascii="ＭＳ 明朝" w:eastAsia="ＭＳ 明朝" w:hAnsi="ＭＳ 明朝" w:cs="ＭＳ 明朝" w:hint="eastAsia"/>
          <w:spacing w:val="-2"/>
          <w:lang w:eastAsia="ja-JP"/>
        </w:rPr>
        <w:t>お</w:t>
      </w:r>
      <w:r>
        <w:rPr>
          <w:rFonts w:ascii="ＭＳ 明朝" w:eastAsia="ＭＳ 明朝" w:hAnsi="ＭＳ 明朝" w:cs="ＭＳ 明朝" w:hint="eastAsia"/>
          <w:spacing w:val="-2"/>
          <w:lang w:eastAsia="ja-JP"/>
        </w:rPr>
        <w:t>いていないという理由だけで、間接的な差別を受けたり、活動から排除されたり、サービスへのアクセスが制限されたりする可能性がある</w:t>
      </w:r>
      <w:hyperlink w:anchor="_bookmark19" w:history="1">
        <w:r w:rsidR="003D653A">
          <w:rPr>
            <w:rFonts w:ascii="ＭＳ 明朝" w:eastAsia="ＭＳ 明朝" w:hAnsi="ＭＳ 明朝" w:cs="ＭＳ 明朝" w:hint="eastAsia"/>
            <w:lang w:eastAsia="ja-JP"/>
          </w:rPr>
          <w:t>。</w:t>
        </w:r>
      </w:hyperlink>
      <w:r>
        <w:rPr>
          <w:rFonts w:ascii="ＭＳ 明朝" w:eastAsia="ＭＳ 明朝" w:hAnsi="ＭＳ 明朝" w:cs="ＭＳ 明朝" w:hint="eastAsia"/>
          <w:spacing w:val="-2"/>
          <w:lang w:eastAsia="ja-JP"/>
        </w:rPr>
        <w:t>欧州評議会はこれらの課題を認識しており、刑務所の環境や管理体制は高齢受刑者には不適切な場合が多く、人道的な処遇と尊厳を確保するためには</w:t>
      </w:r>
      <w:r w:rsidR="00D2282B">
        <w:rPr>
          <w:rFonts w:ascii="ＭＳ 明朝" w:eastAsia="ＭＳ 明朝" w:hAnsi="ＭＳ 明朝" w:cs="ＭＳ 明朝" w:hint="eastAsia"/>
          <w:spacing w:val="-2"/>
          <w:lang w:eastAsia="ja-JP"/>
        </w:rPr>
        <w:t>修正</w:t>
      </w:r>
      <w:r>
        <w:rPr>
          <w:rFonts w:ascii="ＭＳ 明朝" w:eastAsia="ＭＳ 明朝" w:hAnsi="ＭＳ 明朝" w:cs="ＭＳ 明朝" w:hint="eastAsia"/>
          <w:spacing w:val="-2"/>
          <w:lang w:eastAsia="ja-JP"/>
        </w:rPr>
        <w:t>が必要であると指摘している</w:t>
      </w:r>
      <w:r w:rsidR="00763ADE">
        <w:rPr>
          <w:rStyle w:val="ac"/>
          <w:rFonts w:ascii="ＭＳ 明朝" w:eastAsia="ＭＳ 明朝" w:hAnsi="ＭＳ 明朝" w:cs="ＭＳ 明朝"/>
          <w:spacing w:val="-2"/>
          <w:lang w:eastAsia="ja-JP"/>
        </w:rPr>
        <w:footnoteReference w:id="15"/>
      </w:r>
      <w:hyperlink w:anchor="_bookmark19" w:history="1">
        <w:r w:rsidR="003D653A">
          <w:rPr>
            <w:rFonts w:ascii="ＭＳ 明朝" w:eastAsia="ＭＳ 明朝" w:hAnsi="ＭＳ 明朝" w:cs="ＭＳ 明朝" w:hint="eastAsia"/>
            <w:lang w:eastAsia="ja-JP"/>
          </w:rPr>
          <w:t>。</w:t>
        </w:r>
      </w:hyperlink>
      <w:bookmarkStart w:id="14" w:name="_bookmark14"/>
      <w:bookmarkStart w:id="15" w:name="_bookmark18"/>
      <w:bookmarkEnd w:id="14"/>
      <w:bookmarkEnd w:id="15"/>
    </w:p>
    <w:p w14:paraId="1FF700C2" w14:textId="68F1AC97" w:rsidR="003D653A" w:rsidRDefault="00DF0EC9" w:rsidP="00FD3165">
      <w:pPr>
        <w:pStyle w:val="50"/>
        <w:rPr>
          <w:lang w:eastAsia="ja-JP"/>
        </w:rPr>
      </w:pPr>
      <w:r>
        <w:rPr>
          <w:rFonts w:eastAsia="ＭＳ 明朝" w:hint="eastAsia"/>
          <w:lang w:eastAsia="ja-JP"/>
        </w:rPr>
        <w:t>この新たな現実が</w:t>
      </w:r>
      <w:r w:rsidR="007536D7">
        <w:rPr>
          <w:rFonts w:eastAsia="ＭＳ 明朝" w:hint="eastAsia"/>
          <w:lang w:eastAsia="ja-JP"/>
        </w:rPr>
        <w:t>示して</w:t>
      </w:r>
      <w:r>
        <w:rPr>
          <w:rFonts w:eastAsia="ＭＳ 明朝" w:hint="eastAsia"/>
          <w:lang w:eastAsia="ja-JP"/>
        </w:rPr>
        <w:t>いるのは、法的に拘束力を持つ新たな文書</w:t>
      </w:r>
      <w:r w:rsidR="007536D7">
        <w:rPr>
          <w:rFonts w:eastAsia="ＭＳ 明朝" w:hint="eastAsia"/>
          <w:lang w:eastAsia="ja-JP"/>
        </w:rPr>
        <w:t>では</w:t>
      </w:r>
      <w:r>
        <w:rPr>
          <w:rFonts w:eastAsia="ＭＳ 明朝" w:hint="eastAsia"/>
          <w:lang w:eastAsia="ja-JP"/>
        </w:rPr>
        <w:t>、被拘禁の高齢者の権利に明示的に言及することの重要性である。これには、平等に関する一般的な保障以上のものが必要となる。具体的には、アクセシビリティ、合理的配慮、拘禁中の人道的な処遇、医療および支援へのアクセスに関する具体的な義務、ならびに正当な目的を果たさなくなった場合の継続的な拘禁に代わる措置の検討が求められる。</w:t>
      </w:r>
    </w:p>
    <w:p w14:paraId="61E4D396" w14:textId="77777777" w:rsidR="003D653A" w:rsidRDefault="291A752A">
      <w:pPr>
        <w:pStyle w:val="4"/>
        <w:numPr>
          <w:ilvl w:val="1"/>
          <w:numId w:val="5"/>
        </w:numPr>
        <w:tabs>
          <w:tab w:val="left" w:pos="1647"/>
        </w:tabs>
        <w:spacing w:before="255"/>
        <w:ind w:left="1647" w:hanging="348"/>
      </w:pPr>
      <w:r w:rsidRPr="291A752A">
        <w:rPr>
          <w:rFonts w:ascii="ＭＳ 明朝" w:eastAsia="ＭＳ 明朝" w:hAnsi="ＭＳ 明朝" w:cs="ＭＳ 明朝" w:hint="eastAsia"/>
          <w:spacing w:val="-2"/>
          <w:sz w:val="20"/>
          <w:szCs w:val="20"/>
        </w:rPr>
        <w:t>搾</w:t>
      </w:r>
      <w:r w:rsidRPr="291A752A">
        <w:rPr>
          <w:spacing w:val="-2"/>
          <w:sz w:val="20"/>
          <w:szCs w:val="20"/>
        </w:rPr>
        <w:t>取、暴力、虐待</w:t>
      </w:r>
    </w:p>
    <w:p w14:paraId="22961BC7" w14:textId="4DF919F3" w:rsidR="003D653A" w:rsidRDefault="00DF0EC9" w:rsidP="00FD3165">
      <w:pPr>
        <w:pStyle w:val="50"/>
        <w:rPr>
          <w:lang w:eastAsia="ja-JP"/>
        </w:rPr>
      </w:pPr>
      <w:r w:rsidRPr="00EB2F1D">
        <w:rPr>
          <w:rFonts w:ascii="ＭＳ 明朝" w:eastAsia="ＭＳ 明朝" w:hAnsi="ＭＳ 明朝" w:cs="ＭＳ 明朝" w:hint="eastAsia"/>
          <w:lang w:eastAsia="ja-JP"/>
        </w:rPr>
        <w:t>搾取、暴力、および虐待の防止には、</w:t>
      </w:r>
      <w:r w:rsidR="00EB2F1D">
        <w:rPr>
          <w:rFonts w:ascii="ＭＳ 明朝" w:eastAsia="ＭＳ 明朝" w:hAnsi="ＭＳ 明朝" w:cs="ＭＳ 明朝" w:hint="eastAsia"/>
          <w:lang w:eastAsia="ja-JP"/>
        </w:rPr>
        <w:t>この</w:t>
      </w:r>
      <w:r>
        <w:rPr>
          <w:rFonts w:ascii="ＭＳ 明朝" w:eastAsia="ＭＳ 明朝" w:hAnsi="ＭＳ 明朝" w:cs="ＭＳ 明朝" w:hint="eastAsia"/>
          <w:lang w:eastAsia="ja-JP"/>
        </w:rPr>
        <w:t>文書での明示的かつ的を絞った認識が必要である。高齢の権利保有者は、経済的搾取、強制的支配、</w:t>
      </w:r>
      <w:r w:rsidR="00EB2F1D">
        <w:rPr>
          <w:rFonts w:ascii="ＭＳ 明朝" w:eastAsia="ＭＳ 明朝" w:hAnsi="ＭＳ 明朝" w:cs="ＭＳ 明朝" w:hint="eastAsia"/>
          <w:lang w:eastAsia="ja-JP"/>
        </w:rPr>
        <w:t>ケア</w:t>
      </w:r>
      <w:r>
        <w:rPr>
          <w:rFonts w:ascii="ＭＳ 明朝" w:eastAsia="ＭＳ 明朝" w:hAnsi="ＭＳ 明朝" w:cs="ＭＳ 明朝" w:hint="eastAsia"/>
          <w:lang w:eastAsia="ja-JP"/>
        </w:rPr>
        <w:t>現場におけるネグレクト、ならびに病院、居住型</w:t>
      </w:r>
      <w:r w:rsidR="00EB2F1D">
        <w:rPr>
          <w:rFonts w:ascii="ＭＳ 明朝" w:eastAsia="ＭＳ 明朝" w:hAnsi="ＭＳ 明朝" w:cs="ＭＳ 明朝" w:hint="eastAsia"/>
          <w:lang w:eastAsia="ja-JP"/>
        </w:rPr>
        <w:t>ケア</w:t>
      </w:r>
      <w:r>
        <w:rPr>
          <w:rFonts w:ascii="ＭＳ 明朝" w:eastAsia="ＭＳ 明朝" w:hAnsi="ＭＳ 明朝" w:cs="ＭＳ 明朝" w:hint="eastAsia"/>
          <w:lang w:eastAsia="ja-JP"/>
        </w:rPr>
        <w:t>施設、</w:t>
      </w:r>
      <w:r w:rsidR="00EB2F1D">
        <w:rPr>
          <w:rFonts w:ascii="ＭＳ 明朝" w:eastAsia="ＭＳ 明朝" w:hAnsi="ＭＳ 明朝" w:cs="ＭＳ 明朝" w:hint="eastAsia"/>
          <w:lang w:eastAsia="ja-JP"/>
        </w:rPr>
        <w:t>拘留</w:t>
      </w:r>
      <w:r>
        <w:rPr>
          <w:rFonts w:ascii="ＭＳ 明朝" w:eastAsia="ＭＳ 明朝" w:hAnsi="ＭＳ 明朝" w:cs="ＭＳ 明朝" w:hint="eastAsia"/>
          <w:lang w:eastAsia="ja-JP"/>
        </w:rPr>
        <w:t>施設などの施設環境内での虐待など、独特で、しばしば十分に認識されていない形態の被害に直面している</w:t>
      </w:r>
      <w:r w:rsidR="00EB2F1D">
        <w:rPr>
          <w:rStyle w:val="ac"/>
          <w:rFonts w:ascii="ＭＳ 明朝" w:eastAsia="ＭＳ 明朝" w:hAnsi="ＭＳ 明朝" w:cs="ＭＳ 明朝"/>
          <w:lang w:eastAsia="ja-JP"/>
        </w:rPr>
        <w:footnoteReference w:id="16"/>
      </w:r>
      <w:r w:rsidR="00EB2F1D" w:rsidRPr="00EB2F1D">
        <w:rPr>
          <w:rFonts w:ascii="ＭＳ 明朝" w:eastAsia="ＭＳ 明朝" w:hAnsi="ＭＳ 明朝" w:cs="ＭＳ 明朝" w:hint="eastAsia"/>
        </w:rPr>
        <w:t>。</w:t>
      </w:r>
      <w:r>
        <w:rPr>
          <w:rFonts w:ascii="ＭＳ 明朝" w:eastAsia="ＭＳ 明朝" w:hAnsi="ＭＳ 明朝" w:cs="ＭＳ 明朝" w:hint="eastAsia"/>
          <w:lang w:eastAsia="ja-JP"/>
        </w:rPr>
        <w:t>これらの犯罪は、依存関係、信頼関係、および不平等な力関係という文脈で頻繁に発生し、高齢者の可視性や信頼性を損なう</w:t>
      </w:r>
      <w:r w:rsidR="00EB2F1D">
        <w:rPr>
          <w:rFonts w:ascii="ＭＳ 明朝" w:eastAsia="ＭＳ 明朝" w:hAnsi="ＭＳ 明朝" w:cs="ＭＳ 明朝" w:hint="eastAsia"/>
          <w:lang w:eastAsia="ja-JP"/>
        </w:rPr>
        <w:t>エイジズムの</w:t>
      </w:r>
      <w:r>
        <w:rPr>
          <w:rFonts w:ascii="ＭＳ 明朝" w:eastAsia="ＭＳ 明朝" w:hAnsi="ＭＳ 明朝" w:cs="ＭＳ 明朝" w:hint="eastAsia"/>
          <w:lang w:eastAsia="ja-JP"/>
        </w:rPr>
        <w:t>先入観によって、しばしば覆い隠されてしまう</w:t>
      </w:r>
      <w:r w:rsidR="00763ADE">
        <w:rPr>
          <w:rStyle w:val="ac"/>
          <w:rFonts w:ascii="ＭＳ 明朝" w:eastAsia="ＭＳ 明朝" w:hAnsi="ＭＳ 明朝" w:cs="ＭＳ 明朝"/>
          <w:lang w:eastAsia="ja-JP"/>
        </w:rPr>
        <w:footnoteReference w:id="17"/>
      </w:r>
      <w:r w:rsidR="00EB2F1D">
        <w:rPr>
          <w:rFonts w:ascii="ＭＳ 明朝" w:eastAsia="ＭＳ 明朝" w:hAnsi="ＭＳ 明朝" w:cs="ＭＳ 明朝" w:hint="eastAsia"/>
          <w:lang w:eastAsia="ja-JP"/>
        </w:rPr>
        <w:t>。</w:t>
      </w:r>
      <w:r>
        <w:rPr>
          <w:rFonts w:ascii="ＭＳ 明朝" w:eastAsia="ＭＳ 明朝" w:hAnsi="ＭＳ 明朝" w:cs="ＭＳ 明朝" w:hint="eastAsia"/>
          <w:lang w:eastAsia="ja-JP"/>
        </w:rPr>
        <w:t>既存の人権枠組みは、非人道的かつ品位を傷つける扱いおよび拷問を禁止しているが、</w:t>
      </w:r>
      <w:r w:rsidR="00EB2F1D">
        <w:rPr>
          <w:rFonts w:ascii="ＭＳ 明朝" w:eastAsia="ＭＳ 明朝" w:hAnsi="ＭＳ 明朝" w:cs="ＭＳ 明朝" w:hint="eastAsia"/>
          <w:lang w:eastAsia="ja-JP"/>
        </w:rPr>
        <w:t>そ</w:t>
      </w:r>
      <w:r>
        <w:rPr>
          <w:rFonts w:ascii="ＭＳ 明朝" w:eastAsia="ＭＳ 明朝" w:hAnsi="ＭＳ 明朝" w:cs="ＭＳ 明朝" w:hint="eastAsia"/>
          <w:lang w:eastAsia="ja-JP"/>
        </w:rPr>
        <w:t>の基準を満たさない特定の虐待形態を十分に</w:t>
      </w:r>
      <w:r w:rsidR="00EB2F1D">
        <w:rPr>
          <w:rFonts w:ascii="ＭＳ 明朝" w:eastAsia="ＭＳ 明朝" w:hAnsi="ＭＳ 明朝" w:cs="ＭＳ 明朝" w:hint="eastAsia"/>
          <w:lang w:eastAsia="ja-JP"/>
        </w:rPr>
        <w:t>は</w:t>
      </w:r>
      <w:r>
        <w:rPr>
          <w:rFonts w:ascii="ＭＳ 明朝" w:eastAsia="ＭＳ 明朝" w:hAnsi="ＭＳ 明朝" w:cs="ＭＳ 明朝" w:hint="eastAsia"/>
          <w:lang w:eastAsia="ja-JP"/>
        </w:rPr>
        <w:t>捉え切れていない。搾取、暴力、虐待が発生する状況で生活している</w:t>
      </w:r>
      <w:r w:rsidR="00EB2F1D">
        <w:rPr>
          <w:rFonts w:ascii="ＭＳ 明朝" w:eastAsia="ＭＳ 明朝" w:hAnsi="ＭＳ 明朝" w:cs="ＭＳ 明朝" w:hint="eastAsia"/>
          <w:lang w:eastAsia="ja-JP"/>
        </w:rPr>
        <w:t>高齢</w:t>
      </w:r>
      <w:r w:rsidR="00EB2F1D">
        <w:rPr>
          <w:rFonts w:ascii="ＭＳ 明朝" w:eastAsia="ＭＳ 明朝" w:hAnsi="ＭＳ 明朝" w:cs="ＭＳ 明朝" w:hint="eastAsia"/>
          <w:lang w:eastAsia="ja-JP"/>
        </w:rPr>
        <w:t>者</w:t>
      </w:r>
      <w:r>
        <w:rPr>
          <w:rFonts w:ascii="ＭＳ 明朝" w:eastAsia="ＭＳ 明朝" w:hAnsi="ＭＳ 明朝" w:cs="ＭＳ 明朝" w:hint="eastAsia"/>
          <w:lang w:eastAsia="ja-JP"/>
        </w:rPr>
        <w:t>は少なくない。施設環境、</w:t>
      </w:r>
      <w:r w:rsidR="00EB2F1D">
        <w:rPr>
          <w:rFonts w:ascii="ＭＳ 明朝" w:eastAsia="ＭＳ 明朝" w:hAnsi="ＭＳ 明朝" w:cs="ＭＳ 明朝" w:hint="eastAsia"/>
          <w:lang w:eastAsia="ja-JP"/>
        </w:rPr>
        <w:t>ケア</w:t>
      </w:r>
      <w:r>
        <w:rPr>
          <w:rFonts w:ascii="ＭＳ 明朝" w:eastAsia="ＭＳ 明朝" w:hAnsi="ＭＳ 明朝" w:cs="ＭＳ 明朝" w:hint="eastAsia"/>
          <w:lang w:eastAsia="ja-JP"/>
        </w:rPr>
        <w:t>関係、社会的孤立</w:t>
      </w:r>
      <w:r w:rsidR="00295362">
        <w:rPr>
          <w:rFonts w:ascii="ＭＳ 明朝" w:eastAsia="ＭＳ 明朝" w:hAnsi="ＭＳ 明朝" w:cs="ＭＳ 明朝" w:hint="eastAsia"/>
          <w:lang w:eastAsia="ja-JP"/>
        </w:rPr>
        <w:t>は</w:t>
      </w:r>
      <w:r>
        <w:rPr>
          <w:rFonts w:ascii="ＭＳ 明朝" w:eastAsia="ＭＳ 明朝" w:hAnsi="ＭＳ 明朝" w:cs="ＭＳ 明朝" w:hint="eastAsia"/>
          <w:lang w:eastAsia="ja-JP"/>
        </w:rPr>
        <w:t>、虐待が発生しやすく、かつ発見や通報</w:t>
      </w:r>
      <w:r w:rsidR="00EB2F1D">
        <w:rPr>
          <w:rFonts w:ascii="ＭＳ 明朝" w:eastAsia="ＭＳ 明朝" w:hAnsi="ＭＳ 明朝" w:cs="ＭＳ 明朝" w:hint="eastAsia"/>
          <w:lang w:eastAsia="ja-JP"/>
        </w:rPr>
        <w:t>が</w:t>
      </w:r>
      <w:r>
        <w:rPr>
          <w:rFonts w:ascii="ＭＳ 明朝" w:eastAsia="ＭＳ 明朝" w:hAnsi="ＭＳ 明朝" w:cs="ＭＳ 明朝" w:hint="eastAsia"/>
          <w:lang w:eastAsia="ja-JP"/>
        </w:rPr>
        <w:t>されにくい環境を作り出す仕組み</w:t>
      </w:r>
      <w:r w:rsidR="00295362">
        <w:rPr>
          <w:rFonts w:ascii="ＭＳ 明朝" w:eastAsia="ＭＳ 明朝" w:hAnsi="ＭＳ 明朝" w:cs="ＭＳ 明朝" w:hint="eastAsia"/>
          <w:lang w:eastAsia="ja-JP"/>
        </w:rPr>
        <w:t>を生み出している。しかし</w:t>
      </w:r>
      <w:r w:rsidR="00295362">
        <w:rPr>
          <w:rFonts w:ascii="ＭＳ 明朝" w:eastAsia="ＭＳ 明朝" w:hAnsi="ＭＳ 明朝" w:cs="ＭＳ 明朝" w:hint="eastAsia"/>
          <w:lang w:eastAsia="ja-JP"/>
        </w:rPr>
        <w:t>国内法は、</w:t>
      </w:r>
      <w:r w:rsidR="00295362">
        <w:rPr>
          <w:rFonts w:ascii="ＭＳ 明朝" w:eastAsia="ＭＳ 明朝" w:hAnsi="ＭＳ 明朝" w:cs="ＭＳ 明朝" w:hint="eastAsia"/>
          <w:lang w:eastAsia="ja-JP"/>
        </w:rPr>
        <w:t>この仕組みに対応</w:t>
      </w:r>
      <w:r>
        <w:rPr>
          <w:rFonts w:ascii="ＭＳ 明朝" w:eastAsia="ＭＳ 明朝" w:hAnsi="ＭＳ 明朝" w:cs="ＭＳ 明朝" w:hint="eastAsia"/>
          <w:lang w:eastAsia="ja-JP"/>
        </w:rPr>
        <w:t>できていないことが多い。障害者権利条約第</w:t>
      </w:r>
      <w:r>
        <w:rPr>
          <w:lang w:eastAsia="ja-JP"/>
        </w:rPr>
        <w:t>16</w:t>
      </w:r>
      <w:r>
        <w:rPr>
          <w:rFonts w:ascii="ＭＳ 明朝" w:eastAsia="ＭＳ 明朝" w:hAnsi="ＭＳ 明朝" w:cs="ＭＳ 明朝" w:hint="eastAsia"/>
          <w:lang w:eastAsia="ja-JP"/>
        </w:rPr>
        <w:t>条で採用されたアプローチは、有用かつ示唆に富むモデルを提供している</w:t>
      </w:r>
      <w:r w:rsidR="00763ADE">
        <w:rPr>
          <w:rStyle w:val="ac"/>
          <w:rFonts w:ascii="ＭＳ 明朝" w:eastAsia="ＭＳ 明朝" w:hAnsi="ＭＳ 明朝" w:cs="ＭＳ 明朝"/>
          <w:lang w:eastAsia="ja-JP"/>
        </w:rPr>
        <w:footnoteReference w:id="18"/>
      </w:r>
      <w:r w:rsidR="00295362">
        <w:rPr>
          <w:rFonts w:ascii="ＭＳ 明朝" w:eastAsia="ＭＳ 明朝" w:hAnsi="ＭＳ 明朝" w:cs="ＭＳ 明朝" w:hint="eastAsia"/>
          <w:lang w:eastAsia="ja-JP"/>
        </w:rPr>
        <w:t>。</w:t>
      </w:r>
      <w:r w:rsidR="00295362">
        <w:rPr>
          <w:rFonts w:ascii="ＭＳ 明朝" w:eastAsia="ＭＳ 明朝" w:hAnsi="ＭＳ 明朝" w:cs="ＭＳ 明朝" w:hint="eastAsia"/>
          <w:lang w:eastAsia="ja-JP"/>
        </w:rPr>
        <w:t>この</w:t>
      </w:r>
      <w:r>
        <w:rPr>
          <w:rFonts w:ascii="ＭＳ 明朝" w:eastAsia="ＭＳ 明朝" w:hAnsi="ＭＳ 明朝" w:cs="ＭＳ 明朝" w:hint="eastAsia"/>
          <w:lang w:eastAsia="ja-JP"/>
        </w:rPr>
        <w:t>条項は、予防、保護、回復、説明責任を包括する枠組みの必要性を認めるとともに、リスクの高い人々を支援するため</w:t>
      </w:r>
      <w:r w:rsidR="00295362">
        <w:rPr>
          <w:rFonts w:ascii="ＭＳ 明朝" w:eastAsia="ＭＳ 明朝" w:hAnsi="ＭＳ 明朝" w:cs="ＭＳ 明朝" w:hint="eastAsia"/>
          <w:lang w:eastAsia="ja-JP"/>
        </w:rPr>
        <w:t>の</w:t>
      </w:r>
      <w:r>
        <w:rPr>
          <w:rFonts w:ascii="ＭＳ 明朝" w:eastAsia="ＭＳ 明朝" w:hAnsi="ＭＳ 明朝" w:cs="ＭＳ 明朝" w:hint="eastAsia"/>
          <w:lang w:eastAsia="ja-JP"/>
        </w:rPr>
        <w:t>施設やプログラムを監視する義務を定めている。高齢化の文脈においても、同様のアプローチが求められる。高齢者、特に施設や</w:t>
      </w:r>
      <w:r w:rsidR="00295362">
        <w:rPr>
          <w:rFonts w:ascii="ＭＳ 明朝" w:eastAsia="ＭＳ 明朝" w:hAnsi="ＭＳ 明朝" w:cs="ＭＳ 明朝" w:hint="eastAsia"/>
          <w:lang w:eastAsia="ja-JP"/>
        </w:rPr>
        <w:t>ケア</w:t>
      </w:r>
      <w:r>
        <w:rPr>
          <w:rFonts w:ascii="ＭＳ 明朝" w:eastAsia="ＭＳ 明朝" w:hAnsi="ＭＳ 明朝" w:cs="ＭＳ 明朝" w:hint="eastAsia"/>
          <w:lang w:eastAsia="ja-JP"/>
        </w:rPr>
        <w:t>の現場で直面するリスクは、単なる禁止にとどまらず、制度的かつ予防的な義務へと踏み出すことの重要性を示している。</w:t>
      </w:r>
      <w:r w:rsidR="00295362">
        <w:rPr>
          <w:rFonts w:ascii="ＭＳ 明朝" w:eastAsia="ＭＳ 明朝" w:hAnsi="ＭＳ 明朝" w:cs="ＭＳ 明朝" w:hint="eastAsia"/>
          <w:lang w:eastAsia="ja-JP"/>
        </w:rPr>
        <w:t>この</w:t>
      </w:r>
      <w:r>
        <w:rPr>
          <w:rFonts w:ascii="ＭＳ 明朝" w:eastAsia="ＭＳ 明朝" w:hAnsi="ＭＳ 明朝" w:cs="ＭＳ 明朝" w:hint="eastAsia"/>
          <w:lang w:eastAsia="ja-JP"/>
        </w:rPr>
        <w:t>条約に、搾取、暴力、虐待に関する専用の実質的規定を設けるべき強い根拠がある。</w:t>
      </w:r>
      <w:r w:rsidR="00EB2F1D">
        <w:rPr>
          <w:rFonts w:ascii="ＭＳ 明朝" w:eastAsia="ＭＳ 明朝" w:hAnsi="ＭＳ 明朝" w:cs="ＭＳ 明朝" w:hint="eastAsia"/>
          <w:lang w:eastAsia="ja-JP"/>
        </w:rPr>
        <w:t xml:space="preserve">　</w:t>
      </w:r>
    </w:p>
    <w:p w14:paraId="73B4658D" w14:textId="77777777" w:rsidR="003D653A" w:rsidRDefault="00DF0EC9">
      <w:pPr>
        <w:pStyle w:val="4"/>
        <w:numPr>
          <w:ilvl w:val="1"/>
          <w:numId w:val="5"/>
        </w:numPr>
        <w:tabs>
          <w:tab w:val="left" w:pos="1647"/>
        </w:tabs>
        <w:spacing w:before="249"/>
        <w:ind w:left="1647" w:hanging="348"/>
      </w:pPr>
      <w:r>
        <w:rPr>
          <w:sz w:val="20"/>
        </w:rPr>
        <w:t>司法へのアクセス</w:t>
      </w:r>
    </w:p>
    <w:p w14:paraId="6AA8BE44" w14:textId="707A1F25" w:rsidR="003D653A" w:rsidRDefault="00DF0EC9" w:rsidP="00FD3165">
      <w:pPr>
        <w:pStyle w:val="50"/>
        <w:rPr>
          <w:lang w:eastAsia="ja-JP"/>
        </w:rPr>
      </w:pPr>
      <w:r>
        <w:rPr>
          <w:rFonts w:ascii="ＭＳ 明朝" w:eastAsia="ＭＳ 明朝" w:hAnsi="ＭＳ 明朝" w:cs="ＭＳ 明朝" w:hint="eastAsia"/>
          <w:lang w:eastAsia="ja-JP"/>
        </w:rPr>
        <w:t>司法へのアクセスは高齢者の権利における極めて重要な側面であるが、依然として、法的支援を最も必要とする人々が</w:t>
      </w:r>
      <w:r w:rsidR="00D4549D">
        <w:rPr>
          <w:rFonts w:ascii="ＭＳ 明朝" w:eastAsia="ＭＳ 明朝" w:hAnsi="ＭＳ 明朝" w:cs="ＭＳ 明朝" w:hint="eastAsia"/>
          <w:lang w:eastAsia="ja-JP"/>
        </w:rPr>
        <w:t>最も大きな</w:t>
      </w:r>
      <w:r w:rsidR="00D4549D">
        <w:rPr>
          <w:rFonts w:ascii="ＭＳ 明朝" w:eastAsia="ＭＳ 明朝" w:hAnsi="ＭＳ 明朝" w:cs="ＭＳ 明朝" w:hint="eastAsia"/>
          <w:lang w:eastAsia="ja-JP"/>
        </w:rPr>
        <w:t>障壁に直面している</w:t>
      </w:r>
      <w:r w:rsidR="00D4549D">
        <w:rPr>
          <w:rFonts w:ascii="ＭＳ 明朝" w:eastAsia="ＭＳ 明朝" w:hAnsi="ＭＳ 明朝" w:cs="ＭＳ 明朝" w:hint="eastAsia"/>
          <w:lang w:eastAsia="ja-JP"/>
        </w:rPr>
        <w:t>分野の一つが、この</w:t>
      </w:r>
      <w:r>
        <w:rPr>
          <w:rFonts w:ascii="ＭＳ 明朝" w:eastAsia="ＭＳ 明朝" w:hAnsi="ＭＳ 明朝" w:cs="ＭＳ 明朝" w:hint="eastAsia"/>
          <w:lang w:eastAsia="ja-JP"/>
        </w:rPr>
        <w:t>司法へのアクセス</w:t>
      </w:r>
      <w:r w:rsidR="00D4549D">
        <w:rPr>
          <w:rFonts w:ascii="ＭＳ 明朝" w:eastAsia="ＭＳ 明朝" w:hAnsi="ＭＳ 明朝" w:cs="ＭＳ 明朝" w:hint="eastAsia"/>
          <w:lang w:eastAsia="ja-JP"/>
        </w:rPr>
        <w:t>の</w:t>
      </w:r>
      <w:r>
        <w:rPr>
          <w:rFonts w:ascii="ＭＳ 明朝" w:eastAsia="ＭＳ 明朝" w:hAnsi="ＭＳ 明朝" w:cs="ＭＳ 明朝" w:hint="eastAsia"/>
          <w:lang w:eastAsia="ja-JP"/>
        </w:rPr>
        <w:t>分野である。高齢者は、権利</w:t>
      </w:r>
      <w:r w:rsidR="00D4549D">
        <w:rPr>
          <w:rFonts w:ascii="ＭＳ 明朝" w:eastAsia="ＭＳ 明朝" w:hAnsi="ＭＳ 明朝" w:cs="ＭＳ 明朝" w:hint="eastAsia"/>
          <w:lang w:eastAsia="ja-JP"/>
        </w:rPr>
        <w:t>への</w:t>
      </w:r>
      <w:r>
        <w:rPr>
          <w:rFonts w:ascii="ＭＳ 明朝" w:eastAsia="ＭＳ 明朝" w:hAnsi="ＭＳ 明朝" w:cs="ＭＳ 明朝" w:hint="eastAsia"/>
          <w:lang w:eastAsia="ja-JP"/>
        </w:rPr>
        <w:t>認識の不足、依存関係や力の不均衡、</w:t>
      </w:r>
      <w:r w:rsidR="00D4549D">
        <w:rPr>
          <w:rFonts w:ascii="ＭＳ 明朝" w:eastAsia="ＭＳ 明朝" w:hAnsi="ＭＳ 明朝" w:cs="ＭＳ 明朝" w:hint="eastAsia"/>
          <w:lang w:eastAsia="ja-JP"/>
        </w:rPr>
        <w:t>制約の多い</w:t>
      </w:r>
      <w:r>
        <w:rPr>
          <w:rFonts w:ascii="ＭＳ 明朝" w:eastAsia="ＭＳ 明朝" w:hAnsi="ＭＳ 明朝" w:cs="ＭＳ 明朝" w:hint="eastAsia"/>
          <w:lang w:eastAsia="ja-JP"/>
        </w:rPr>
        <w:t>法律扶助の枠組み、</w:t>
      </w:r>
      <w:r w:rsidR="00D4549D">
        <w:rPr>
          <w:rFonts w:ascii="ＭＳ 明朝" w:eastAsia="ＭＳ 明朝" w:hAnsi="ＭＳ 明朝" w:cs="ＭＳ 明朝" w:hint="eastAsia"/>
          <w:lang w:eastAsia="ja-JP"/>
        </w:rPr>
        <w:t>アクセシブルでない</w:t>
      </w:r>
      <w:r>
        <w:rPr>
          <w:rFonts w:ascii="ＭＳ 明朝" w:eastAsia="ＭＳ 明朝" w:hAnsi="ＭＳ 明朝" w:cs="ＭＳ 明朝" w:hint="eastAsia"/>
          <w:lang w:eastAsia="ja-JP"/>
        </w:rPr>
        <w:t>手続き、デジタル・ディバイド、司法制度内の</w:t>
      </w:r>
      <w:r w:rsidR="00D4549D">
        <w:rPr>
          <w:rFonts w:ascii="ＭＳ 明朝" w:eastAsia="ＭＳ 明朝" w:hAnsi="ＭＳ 明朝" w:cs="ＭＳ 明朝" w:hint="eastAsia"/>
          <w:lang w:eastAsia="ja-JP"/>
        </w:rPr>
        <w:t>エイジズムの</w:t>
      </w:r>
      <w:r>
        <w:rPr>
          <w:rFonts w:ascii="ＭＳ 明朝" w:eastAsia="ＭＳ 明朝" w:hAnsi="ＭＳ 明朝" w:cs="ＭＳ 明朝" w:hint="eastAsia"/>
          <w:lang w:eastAsia="ja-JP"/>
        </w:rPr>
        <w:t>態度など、司法へのアクセスにおいて複数の障壁が重なり合って立ちはだか</w:t>
      </w:r>
      <w:r w:rsidR="00D4549D">
        <w:rPr>
          <w:rFonts w:ascii="ＭＳ 明朝" w:eastAsia="ＭＳ 明朝" w:hAnsi="ＭＳ 明朝" w:cs="ＭＳ 明朝" w:hint="eastAsia"/>
          <w:lang w:eastAsia="ja-JP"/>
        </w:rPr>
        <w:t>ってい</w:t>
      </w:r>
      <w:r>
        <w:rPr>
          <w:rFonts w:ascii="ＭＳ 明朝" w:eastAsia="ＭＳ 明朝" w:hAnsi="ＭＳ 明朝" w:cs="ＭＳ 明朝" w:hint="eastAsia"/>
          <w:lang w:eastAsia="ja-JP"/>
        </w:rPr>
        <w:t>る</w:t>
      </w:r>
      <w:r w:rsidR="00763ADE">
        <w:rPr>
          <w:rStyle w:val="ac"/>
          <w:rFonts w:ascii="ＭＳ 明朝" w:eastAsia="ＭＳ 明朝" w:hAnsi="ＭＳ 明朝" w:cs="ＭＳ 明朝"/>
          <w:lang w:eastAsia="ja-JP"/>
        </w:rPr>
        <w:footnoteReference w:id="19"/>
      </w:r>
      <w:r w:rsidR="00D4549D" w:rsidRPr="00D4549D">
        <w:rPr>
          <w:rFonts w:ascii="ＭＳ 明朝" w:eastAsia="ＭＳ 明朝" w:hAnsi="ＭＳ 明朝" w:cs="ＭＳ 明朝" w:hint="eastAsia"/>
        </w:rPr>
        <w:t>。</w:t>
      </w:r>
      <w:r>
        <w:rPr>
          <w:rFonts w:ascii="ＭＳ 明朝" w:eastAsia="ＭＳ 明朝" w:hAnsi="ＭＳ 明朝" w:cs="ＭＳ 明朝" w:hint="eastAsia"/>
          <w:spacing w:val="-2"/>
          <w:lang w:eastAsia="ja-JP"/>
        </w:rPr>
        <w:t>これは刑事司法制度において特に顕著であり、高齢者は被害者、証人、被告人、あるいは受刑者として関与す</w:t>
      </w:r>
      <w:r>
        <w:rPr>
          <w:rFonts w:ascii="ＭＳ 明朝" w:eastAsia="ＭＳ 明朝" w:hAnsi="ＭＳ 明朝" w:cs="ＭＳ 明朝" w:hint="eastAsia"/>
          <w:spacing w:val="-2"/>
          <w:lang w:eastAsia="ja-JP"/>
        </w:rPr>
        <w:lastRenderedPageBreak/>
        <w:t>る可能性がある。これらの役割のいずれにおいても、司法制度は高齢化の現実を考慮に入れ</w:t>
      </w:r>
      <w:r w:rsidR="00D4549D">
        <w:rPr>
          <w:rFonts w:ascii="ＭＳ 明朝" w:eastAsia="ＭＳ 明朝" w:hAnsi="ＭＳ 明朝" w:cs="ＭＳ 明朝" w:hint="eastAsia"/>
          <w:spacing w:val="-2"/>
          <w:lang w:eastAsia="ja-JP"/>
        </w:rPr>
        <w:t>ていない</w:t>
      </w:r>
      <w:r>
        <w:rPr>
          <w:rFonts w:ascii="ＭＳ 明朝" w:eastAsia="ＭＳ 明朝" w:hAnsi="ＭＳ 明朝" w:cs="ＭＳ 明朝" w:hint="eastAsia"/>
          <w:spacing w:val="-2"/>
          <w:lang w:eastAsia="ja-JP"/>
        </w:rPr>
        <w:t>ことが多く、その結果、排除、参加の機会の減少、そして場合によってはアクセスの拒否を招いている。</w:t>
      </w:r>
    </w:p>
    <w:p w14:paraId="763B51E2" w14:textId="4333E963" w:rsidR="0036592F" w:rsidRDefault="00DF0EC9" w:rsidP="0036592F">
      <w:pPr>
        <w:pStyle w:val="50"/>
        <w:rPr>
          <w:lang w:eastAsia="ja-JP"/>
        </w:rPr>
      </w:pPr>
      <w:r>
        <w:rPr>
          <w:rFonts w:ascii="ＭＳ 明朝" w:eastAsia="ＭＳ 明朝" w:hAnsi="ＭＳ 明朝" w:cs="ＭＳ 明朝" w:hint="eastAsia"/>
          <w:lang w:eastAsia="ja-JP"/>
        </w:rPr>
        <w:t>司法へのアクセスは、現在では国際人権法において独立した実質的な権利として認められており、その最も明確な規定は障害者権利条約第</w:t>
      </w:r>
      <w:r>
        <w:rPr>
          <w:lang w:eastAsia="ja-JP"/>
        </w:rPr>
        <w:t>13</w:t>
      </w:r>
      <w:r>
        <w:rPr>
          <w:rFonts w:ascii="ＭＳ 明朝" w:eastAsia="ＭＳ 明朝" w:hAnsi="ＭＳ 明朝" w:cs="ＭＳ 明朝" w:hint="eastAsia"/>
          <w:lang w:eastAsia="ja-JP"/>
        </w:rPr>
        <w:t>条に見られる。</w:t>
      </w:r>
      <w:r w:rsidR="00D4549D">
        <w:rPr>
          <w:rFonts w:ascii="ＭＳ 明朝" w:eastAsia="ＭＳ 明朝" w:hAnsi="ＭＳ 明朝" w:cs="ＭＳ 明朝" w:hint="eastAsia"/>
          <w:lang w:eastAsia="ja-JP"/>
        </w:rPr>
        <w:t>この</w:t>
      </w:r>
      <w:r>
        <w:rPr>
          <w:rFonts w:ascii="ＭＳ 明朝" w:eastAsia="ＭＳ 明朝" w:hAnsi="ＭＳ 明朝" w:cs="ＭＳ 明朝" w:hint="eastAsia"/>
          <w:lang w:eastAsia="ja-JP"/>
        </w:rPr>
        <w:t>条項の</w:t>
      </w:r>
      <w:r w:rsidR="00D4549D">
        <w:rPr>
          <w:rFonts w:ascii="ＭＳ 明朝" w:eastAsia="ＭＳ 明朝" w:hAnsi="ＭＳ 明朝" w:cs="ＭＳ 明朝" w:hint="eastAsia"/>
          <w:lang w:eastAsia="ja-JP"/>
        </w:rPr>
        <w:t>導入</w:t>
      </w:r>
      <w:r>
        <w:rPr>
          <w:rFonts w:ascii="ＭＳ 明朝" w:eastAsia="ＭＳ 明朝" w:hAnsi="ＭＳ 明朝" w:cs="ＭＳ 明朝" w:hint="eastAsia"/>
          <w:lang w:eastAsia="ja-JP"/>
        </w:rPr>
        <w:t>は、あらゆる権利を効果的に享受するためには、司法制度への</w:t>
      </w:r>
      <w:r w:rsidR="00D4549D">
        <w:rPr>
          <w:rFonts w:ascii="ＭＳ 明朝" w:eastAsia="ＭＳ 明朝" w:hAnsi="ＭＳ 明朝" w:cs="ＭＳ 明朝" w:hint="eastAsia"/>
          <w:lang w:eastAsia="ja-JP"/>
        </w:rPr>
        <w:t>他の者と平等な</w:t>
      </w:r>
      <w:r>
        <w:rPr>
          <w:rFonts w:ascii="ＭＳ 明朝" w:eastAsia="ＭＳ 明朝" w:hAnsi="ＭＳ 明朝" w:cs="ＭＳ 明朝" w:hint="eastAsia"/>
          <w:lang w:eastAsia="ja-JP"/>
        </w:rPr>
        <w:t>アクセスと参加が可能であることが不可欠であることを認めるという、重要な転換点を示した</w:t>
      </w:r>
      <w:r w:rsidR="00D4549D">
        <w:rPr>
          <w:rStyle w:val="ac"/>
          <w:rFonts w:ascii="ＭＳ 明朝" w:eastAsia="ＭＳ 明朝" w:hAnsi="ＭＳ 明朝" w:cs="ＭＳ 明朝"/>
          <w:lang w:eastAsia="ja-JP"/>
        </w:rPr>
        <w:footnoteReference w:id="20"/>
      </w:r>
      <w:r>
        <w:rPr>
          <w:rFonts w:ascii="ＭＳ 明朝" w:eastAsia="ＭＳ 明朝" w:hAnsi="ＭＳ 明朝" w:cs="ＭＳ 明朝" w:hint="eastAsia"/>
          <w:lang w:eastAsia="ja-JP"/>
        </w:rPr>
        <w:t>。</w:t>
      </w:r>
      <w:bookmarkStart w:id="16" w:name="_bookmark20"/>
      <w:bookmarkEnd w:id="16"/>
      <w:r w:rsidR="0036592F" w:rsidRPr="00D7071A">
        <w:rPr>
          <w:rFonts w:ascii="ＭＳ 明朝" w:eastAsia="ＭＳ 明朝" w:hAnsi="ＭＳ 明朝" w:cs="ＭＳ 明朝" w:hint="eastAsia"/>
          <w:lang w:eastAsia="ja-JP"/>
        </w:rPr>
        <w:t>この規定の策定は</w:t>
      </w:r>
      <w:hyperlink w:anchor="_bookmark24" w:history="1">
        <w:r w:rsidR="0036592F" w:rsidRPr="00D7071A">
          <w:rPr>
            <w:rFonts w:ascii="ＭＳ 明朝" w:eastAsia="ＭＳ 明朝" w:hAnsi="ＭＳ 明朝" w:cs="ＭＳ 明朝" w:hint="eastAsia"/>
            <w:vertAlign w:val="superscript"/>
            <w:lang w:eastAsia="ja-JP"/>
          </w:rPr>
          <w:t>、</w:t>
        </w:r>
      </w:hyperlink>
      <w:r w:rsidR="0036592F" w:rsidRPr="00D7071A">
        <w:rPr>
          <w:rFonts w:ascii="ＭＳ 明朝" w:eastAsia="ＭＳ 明朝" w:hAnsi="ＭＳ 明朝" w:cs="ＭＳ 明朝" w:hint="eastAsia"/>
          <w:lang w:eastAsia="ja-JP"/>
        </w:rPr>
        <w:t>権利</w:t>
      </w:r>
      <w:r w:rsidR="00D7071A">
        <w:rPr>
          <w:rFonts w:ascii="ＭＳ 明朝" w:eastAsia="ＭＳ 明朝" w:hAnsi="ＭＳ 明朝" w:cs="ＭＳ 明朝" w:hint="eastAsia"/>
          <w:lang w:eastAsia="ja-JP"/>
        </w:rPr>
        <w:t>の実現</w:t>
      </w:r>
      <w:r w:rsidR="0036592F" w:rsidRPr="00D7071A">
        <w:rPr>
          <w:rFonts w:ascii="ＭＳ 明朝" w:eastAsia="ＭＳ 明朝" w:hAnsi="ＭＳ 明朝" w:cs="ＭＳ 明朝" w:hint="eastAsia"/>
          <w:lang w:eastAsia="ja-JP"/>
        </w:rPr>
        <w:t>を強制する</w:t>
      </w:r>
      <w:r w:rsidR="00D7071A">
        <w:rPr>
          <w:rFonts w:ascii="ＭＳ 明朝" w:eastAsia="ＭＳ 明朝" w:hAnsi="ＭＳ 明朝" w:cs="ＭＳ 明朝" w:hint="eastAsia"/>
          <w:lang w:eastAsia="ja-JP"/>
        </w:rPr>
        <w:t>仕組み</w:t>
      </w:r>
      <w:r w:rsidR="0036592F" w:rsidRPr="00D7071A">
        <w:rPr>
          <w:rFonts w:ascii="ＭＳ 明朝" w:eastAsia="ＭＳ 明朝" w:hAnsi="ＭＳ 明朝" w:cs="ＭＳ 明朝" w:hint="eastAsia"/>
          <w:lang w:eastAsia="ja-JP"/>
        </w:rPr>
        <w:t>がなければ、権利の形式的な保障だけでは不十分であるという、より広範な認識を反映している。高齢者の権利に関する新たな法的拘束力のある文書という文脈において、司法へのアクセスは、権利の全体的な枠組みの中核的要素として、</w:t>
      </w:r>
      <w:r w:rsidR="0036592F">
        <w:rPr>
          <w:rFonts w:ascii="ＭＳ 明朝" w:eastAsia="ＭＳ 明朝" w:hAnsi="ＭＳ 明朝" w:cs="ＭＳ 明朝" w:hint="eastAsia"/>
          <w:lang w:eastAsia="ja-JP"/>
        </w:rPr>
        <w:t>同様に慎重な検討がなされなければならない。これは、</w:t>
      </w:r>
      <w:r w:rsidR="00D7071A">
        <w:rPr>
          <w:rFonts w:ascii="ＭＳ 明朝" w:eastAsia="ＭＳ 明朝" w:hAnsi="ＭＳ 明朝" w:cs="ＭＳ 明朝" w:hint="eastAsia"/>
          <w:lang w:eastAsia="ja-JP"/>
        </w:rPr>
        <w:t>構造的・制度的な障壁</w:t>
      </w:r>
      <w:r w:rsidR="00D7071A">
        <w:rPr>
          <w:rFonts w:ascii="ＭＳ 明朝" w:eastAsia="ＭＳ 明朝" w:hAnsi="ＭＳ 明朝" w:cs="ＭＳ 明朝" w:hint="eastAsia"/>
          <w:lang w:eastAsia="ja-JP"/>
        </w:rPr>
        <w:t>が、</w:t>
      </w:r>
      <w:r w:rsidR="0036592F">
        <w:rPr>
          <w:rFonts w:ascii="ＭＳ 明朝" w:eastAsia="ＭＳ 明朝" w:hAnsi="ＭＳ 明朝" w:cs="ＭＳ 明朝" w:hint="eastAsia"/>
          <w:lang w:eastAsia="ja-JP"/>
        </w:rPr>
        <w:t>効果的な救済措置を求め</w:t>
      </w:r>
      <w:r w:rsidR="00D7071A">
        <w:rPr>
          <w:rFonts w:ascii="ＭＳ 明朝" w:eastAsia="ＭＳ 明朝" w:hAnsi="ＭＳ 明朝" w:cs="ＭＳ 明朝" w:hint="eastAsia"/>
          <w:lang w:eastAsia="ja-JP"/>
        </w:rPr>
        <w:t>る</w:t>
      </w:r>
      <w:r w:rsidR="00D7071A">
        <w:rPr>
          <w:rFonts w:ascii="ＭＳ 明朝" w:eastAsia="ＭＳ 明朝" w:hAnsi="ＭＳ 明朝" w:cs="ＭＳ 明朝" w:hint="eastAsia"/>
          <w:lang w:eastAsia="ja-JP"/>
        </w:rPr>
        <w:t>高齢者</w:t>
      </w:r>
      <w:r w:rsidR="00D7071A">
        <w:rPr>
          <w:rFonts w:ascii="ＭＳ 明朝" w:eastAsia="ＭＳ 明朝" w:hAnsi="ＭＳ 明朝" w:cs="ＭＳ 明朝" w:hint="eastAsia"/>
          <w:lang w:eastAsia="ja-JP"/>
        </w:rPr>
        <w:t>の前に</w:t>
      </w:r>
      <w:r w:rsidR="00297926">
        <w:rPr>
          <w:rFonts w:ascii="ＭＳ 明朝" w:eastAsia="ＭＳ 明朝" w:hAnsi="ＭＳ 明朝" w:cs="ＭＳ 明朝" w:hint="eastAsia"/>
          <w:lang w:eastAsia="ja-JP"/>
        </w:rPr>
        <w:t>依然として</w:t>
      </w:r>
      <w:r w:rsidR="00297926">
        <w:rPr>
          <w:rFonts w:ascii="ＭＳ 明朝" w:eastAsia="ＭＳ 明朝" w:hAnsi="ＭＳ 明朝" w:cs="ＭＳ 明朝" w:hint="eastAsia"/>
          <w:lang w:eastAsia="ja-JP"/>
        </w:rPr>
        <w:t>立ちはだかっていることを</w:t>
      </w:r>
      <w:r w:rsidR="0036592F">
        <w:rPr>
          <w:rFonts w:ascii="ＭＳ 明朝" w:eastAsia="ＭＳ 明朝" w:hAnsi="ＭＳ 明朝" w:cs="ＭＳ 明朝" w:hint="eastAsia"/>
          <w:lang w:eastAsia="ja-JP"/>
        </w:rPr>
        <w:t>考慮すると、特に重要である。</w:t>
      </w:r>
    </w:p>
    <w:p w14:paraId="4931C2DE" w14:textId="5DD8C5BA" w:rsidR="003D653A" w:rsidRDefault="00DF0EC9" w:rsidP="00FD3165">
      <w:pPr>
        <w:pStyle w:val="50"/>
        <w:ind w:firstLine="208"/>
        <w:rPr>
          <w:lang w:eastAsia="ja-JP"/>
        </w:rPr>
      </w:pPr>
      <w:bookmarkStart w:id="17" w:name="_bookmark21"/>
      <w:bookmarkEnd w:id="17"/>
      <w:r>
        <w:rPr>
          <w:rFonts w:ascii="ＭＳ 明朝" w:eastAsia="ＭＳ 明朝" w:hAnsi="ＭＳ 明朝" w:cs="ＭＳ 明朝" w:hint="eastAsia"/>
          <w:spacing w:val="-2"/>
          <w:lang w:eastAsia="ja-JP"/>
        </w:rPr>
        <w:t>この文脈</w:t>
      </w:r>
      <w:r w:rsidR="00297926">
        <w:rPr>
          <w:rFonts w:ascii="ＭＳ 明朝" w:eastAsia="ＭＳ 明朝" w:hAnsi="ＭＳ 明朝" w:cs="ＭＳ 明朝" w:hint="eastAsia"/>
          <w:spacing w:val="-2"/>
          <w:lang w:eastAsia="ja-JP"/>
        </w:rPr>
        <w:t>で</w:t>
      </w:r>
      <w:r>
        <w:rPr>
          <w:rFonts w:ascii="ＭＳ 明朝" w:eastAsia="ＭＳ 明朝" w:hAnsi="ＭＳ 明朝" w:cs="ＭＳ 明朝" w:hint="eastAsia"/>
          <w:spacing w:val="-2"/>
          <w:lang w:eastAsia="ja-JP"/>
        </w:rPr>
        <w:t>、「障害者の司法へのアクセスに関する国際原則及び指針</w:t>
      </w:r>
      <w:r w:rsidR="00297926">
        <w:rPr>
          <w:rFonts w:ascii="ＭＳ 明朝" w:eastAsia="ＭＳ 明朝" w:hAnsi="ＭＳ 明朝" w:cs="ＭＳ 明朝" w:hint="eastAsia"/>
          <w:spacing w:val="-2"/>
          <w:lang w:eastAsia="ja-JP"/>
        </w:rPr>
        <w:t>」</w:t>
      </w:r>
      <w:r w:rsidR="009012F9">
        <w:rPr>
          <w:rStyle w:val="ac"/>
          <w:rFonts w:ascii="ＭＳ 明朝" w:eastAsia="ＭＳ 明朝" w:hAnsi="ＭＳ 明朝" w:cs="ＭＳ 明朝"/>
          <w:spacing w:val="-2"/>
          <w:lang w:eastAsia="ja-JP"/>
        </w:rPr>
        <w:footnoteReference w:id="21"/>
      </w:r>
      <w:r>
        <w:rPr>
          <w:rFonts w:ascii="ＭＳ 明朝" w:eastAsia="ＭＳ 明朝" w:hAnsi="ＭＳ 明朝" w:cs="ＭＳ 明朝" w:hint="eastAsia"/>
          <w:spacing w:val="-2"/>
          <w:lang w:eastAsia="ja-JP"/>
        </w:rPr>
        <w:t>も参考となる</w:t>
      </w:r>
      <w:r>
        <w:rPr>
          <w:rFonts w:ascii="ＭＳ 明朝" w:eastAsia="ＭＳ 明朝" w:hAnsi="ＭＳ 明朝" w:cs="ＭＳ 明朝" w:hint="eastAsia"/>
          <w:lang w:eastAsia="ja-JP"/>
        </w:rPr>
        <w:t>。これは障害分野で策定されたものであるが、法的手続きへの効果的な参加を確保する上で、年齢に応じた配慮や支援の重要性を明示的に認めている。特に、序文では「手続き</w:t>
      </w:r>
      <w:r w:rsidR="00297926">
        <w:rPr>
          <w:rFonts w:ascii="ＭＳ 明朝" w:eastAsia="ＭＳ 明朝" w:hAnsi="ＭＳ 明朝" w:cs="ＭＳ 明朝" w:hint="eastAsia"/>
          <w:lang w:eastAsia="ja-JP"/>
        </w:rPr>
        <w:t>的配慮および</w:t>
      </w:r>
      <w:r>
        <w:rPr>
          <w:rFonts w:ascii="ＭＳ 明朝" w:eastAsia="ＭＳ 明朝" w:hAnsi="ＭＳ 明朝" w:cs="ＭＳ 明朝" w:hint="eastAsia"/>
          <w:lang w:eastAsia="ja-JP"/>
        </w:rPr>
        <w:t>年齢に応じた配慮」の必要性に言及しており、原則</w:t>
      </w:r>
      <w:r>
        <w:rPr>
          <w:lang w:eastAsia="ja-JP"/>
        </w:rPr>
        <w:t>3</w:t>
      </w:r>
      <w:r>
        <w:rPr>
          <w:rFonts w:ascii="ＭＳ 明朝" w:eastAsia="ＭＳ 明朝" w:hAnsi="ＭＳ 明朝" w:cs="ＭＳ 明朝" w:hint="eastAsia"/>
          <w:lang w:eastAsia="ja-JP"/>
        </w:rPr>
        <w:t>では、司法への平等なアクセスを確保するために「性別および年齢に応じた個別の手続き</w:t>
      </w:r>
      <w:r w:rsidR="00297926">
        <w:rPr>
          <w:rFonts w:ascii="ＭＳ 明朝" w:eastAsia="ＭＳ 明朝" w:hAnsi="ＭＳ 明朝" w:cs="ＭＳ 明朝" w:hint="eastAsia"/>
          <w:lang w:eastAsia="ja-JP"/>
        </w:rPr>
        <w:t>的</w:t>
      </w:r>
      <w:r>
        <w:rPr>
          <w:rFonts w:ascii="ＭＳ 明朝" w:eastAsia="ＭＳ 明朝" w:hAnsi="ＭＳ 明朝" w:cs="ＭＳ 明朝" w:hint="eastAsia"/>
          <w:lang w:eastAsia="ja-JP"/>
        </w:rPr>
        <w:t>配慮」を求めている。これらの原則は、司法制度への実効的な参加が形式的な平等だけでは確保できないことを強調している点で、高齢者に</w:t>
      </w:r>
      <w:r w:rsidR="00297926">
        <w:rPr>
          <w:rFonts w:ascii="ＭＳ 明朝" w:eastAsia="ＭＳ 明朝" w:hAnsi="ＭＳ 明朝" w:cs="ＭＳ 明朝" w:hint="eastAsia"/>
          <w:lang w:eastAsia="ja-JP"/>
        </w:rPr>
        <w:t>とっても重要である</w:t>
      </w:r>
      <w:r>
        <w:rPr>
          <w:rFonts w:ascii="ＭＳ 明朝" w:eastAsia="ＭＳ 明朝" w:hAnsi="ＭＳ 明朝" w:cs="ＭＳ 明朝" w:hint="eastAsia"/>
          <w:lang w:eastAsia="ja-JP"/>
        </w:rPr>
        <w:t>。それには、年齢の現実や、刑事司法その他の司法の場や手続きにおいて生じる障壁に対応した、実践的な調整、支援、および手続きの設計が必要である。</w:t>
      </w:r>
    </w:p>
    <w:p w14:paraId="150D9A97" w14:textId="4AC38B98" w:rsidR="003D653A" w:rsidRDefault="00DF0EC9" w:rsidP="00FD3165">
      <w:pPr>
        <w:pStyle w:val="50"/>
        <w:rPr>
          <w:lang w:eastAsia="ja-JP"/>
        </w:rPr>
      </w:pPr>
      <w:r>
        <w:rPr>
          <w:rFonts w:ascii="ＭＳ 明朝" w:eastAsia="ＭＳ 明朝" w:hAnsi="ＭＳ 明朝" w:cs="ＭＳ 明朝" w:hint="eastAsia"/>
          <w:lang w:eastAsia="ja-JP"/>
        </w:rPr>
        <w:t>こうした文脈において、手続</w:t>
      </w:r>
      <w:r w:rsidR="00297926">
        <w:rPr>
          <w:rFonts w:ascii="ＭＳ 明朝" w:eastAsia="ＭＳ 明朝" w:hAnsi="ＭＳ 明朝" w:cs="ＭＳ 明朝" w:hint="eastAsia"/>
          <w:lang w:eastAsia="ja-JP"/>
        </w:rPr>
        <w:t>的</w:t>
      </w:r>
      <w:r>
        <w:rPr>
          <w:rFonts w:ascii="ＭＳ 明朝" w:eastAsia="ＭＳ 明朝" w:hAnsi="ＭＳ 明朝" w:cs="ＭＳ 明朝" w:hint="eastAsia"/>
          <w:lang w:eastAsia="ja-JP"/>
        </w:rPr>
        <w:t>配慮の提供は不可欠である。国際人権法、特に障害者に関する分野における進展を踏まえると、こうした配慮は、裁量的または条件付きの措置として理解されるべきではない。むしろ、公正な裁判を受ける権利および司法制度への実効的な参加の、</w:t>
      </w:r>
      <w:r w:rsidR="00F46A43">
        <w:rPr>
          <w:rFonts w:ascii="ＭＳ 明朝" w:eastAsia="ＭＳ 明朝" w:hAnsi="ＭＳ 明朝" w:cs="ＭＳ 明朝" w:hint="eastAsia"/>
          <w:lang w:eastAsia="ja-JP"/>
        </w:rPr>
        <w:t>直ちに求められる、</w:t>
      </w:r>
      <w:r>
        <w:rPr>
          <w:rFonts w:ascii="ＭＳ 明朝" w:eastAsia="ＭＳ 明朝" w:hAnsi="ＭＳ 明朝" w:cs="ＭＳ 明朝" w:hint="eastAsia"/>
          <w:lang w:eastAsia="ja-JP"/>
        </w:rPr>
        <w:t>不可欠な構成要素として認識されるべきである。比例原則や過度の負担という観点から捉えられることが多い合理的配慮とは異なり、司法の文脈における手続上の配慮は、権利行使を可能にする権利としての司法へのアクセスが持つ根本的な重要性を反映し、</w:t>
      </w:r>
      <w:r w:rsidR="00F46A43">
        <w:rPr>
          <w:rFonts w:ascii="ＭＳ 明朝" w:eastAsia="ＭＳ 明朝" w:hAnsi="ＭＳ 明朝" w:cs="ＭＳ 明朝" w:hint="eastAsia"/>
          <w:lang w:eastAsia="ja-JP"/>
        </w:rPr>
        <w:t>妥協</w:t>
      </w:r>
      <w:r>
        <w:rPr>
          <w:rFonts w:ascii="ＭＳ 明朝" w:eastAsia="ＭＳ 明朝" w:hAnsi="ＭＳ 明朝" w:cs="ＭＳ 明朝" w:hint="eastAsia"/>
          <w:lang w:eastAsia="ja-JP"/>
        </w:rPr>
        <w:t>の余地のない義務として扱われなければならない。</w:t>
      </w:r>
    </w:p>
    <w:p w14:paraId="45F04176" w14:textId="59C8D444" w:rsidR="003D653A" w:rsidRPr="009012F9" w:rsidRDefault="00DF0EC9" w:rsidP="00F46A43">
      <w:pPr>
        <w:pStyle w:val="50"/>
        <w:ind w:left="2410" w:firstLine="206"/>
        <w:rPr>
          <w:rFonts w:eastAsiaTheme="minorEastAsia" w:hint="eastAsia"/>
          <w:lang w:eastAsia="ja-JP"/>
        </w:rPr>
      </w:pPr>
      <w:r>
        <w:rPr>
          <w:rFonts w:ascii="ＭＳ 明朝" w:eastAsia="ＭＳ 明朝" w:hAnsi="ＭＳ 明朝" w:cs="ＭＳ 明朝" w:hint="eastAsia"/>
          <w:spacing w:val="-4"/>
          <w:lang w:eastAsia="ja-JP"/>
        </w:rPr>
        <w:t>「手続</w:t>
      </w:r>
      <w:r w:rsidR="00F46A43">
        <w:rPr>
          <w:rFonts w:ascii="ＭＳ 明朝" w:eastAsia="ＭＳ 明朝" w:hAnsi="ＭＳ 明朝" w:cs="ＭＳ 明朝" w:hint="eastAsia"/>
          <w:spacing w:val="-4"/>
          <w:lang w:eastAsia="ja-JP"/>
        </w:rPr>
        <w:t>的</w:t>
      </w:r>
      <w:r>
        <w:rPr>
          <w:rFonts w:ascii="ＭＳ 明朝" w:eastAsia="ＭＳ 明朝" w:hAnsi="ＭＳ 明朝" w:cs="ＭＳ 明朝" w:hint="eastAsia"/>
          <w:spacing w:val="-4"/>
          <w:lang w:eastAsia="ja-JP"/>
        </w:rPr>
        <w:t>配慮：司法へのアクセスという文脈において、特定の事案で必要とされる場合、障害者が他の人と</w:t>
      </w:r>
      <w:r w:rsidR="00F46A43">
        <w:rPr>
          <w:rFonts w:ascii="ＭＳ 明朝" w:eastAsia="ＭＳ 明朝" w:hAnsi="ＭＳ 明朝" w:cs="ＭＳ 明朝" w:hint="eastAsia"/>
          <w:spacing w:val="-4"/>
          <w:lang w:eastAsia="ja-JP"/>
        </w:rPr>
        <w:t>平等に</w:t>
      </w:r>
      <w:r>
        <w:rPr>
          <w:rFonts w:ascii="ＭＳ 明朝" w:eastAsia="ＭＳ 明朝" w:hAnsi="ＭＳ 明朝" w:cs="ＭＳ 明朝" w:hint="eastAsia"/>
          <w:spacing w:val="-4"/>
          <w:lang w:eastAsia="ja-JP"/>
        </w:rPr>
        <w:t>参加</w:t>
      </w:r>
      <w:r w:rsidR="00F46A43">
        <w:rPr>
          <w:rFonts w:ascii="ＭＳ 明朝" w:eastAsia="ＭＳ 明朝" w:hAnsi="ＭＳ 明朝" w:cs="ＭＳ 明朝" w:hint="eastAsia"/>
          <w:spacing w:val="-4"/>
          <w:lang w:eastAsia="ja-JP"/>
        </w:rPr>
        <w:t>することを</w:t>
      </w:r>
      <w:r>
        <w:rPr>
          <w:rFonts w:ascii="ＭＳ 明朝" w:eastAsia="ＭＳ 明朝" w:hAnsi="ＭＳ 明朝" w:cs="ＭＳ 明朝" w:hint="eastAsia"/>
          <w:spacing w:val="-4"/>
          <w:lang w:eastAsia="ja-JP"/>
        </w:rPr>
        <w:t>確保するために必要かつ適切な</w:t>
      </w:r>
      <w:r w:rsidR="00F46A43">
        <w:rPr>
          <w:rFonts w:ascii="ＭＳ 明朝" w:eastAsia="ＭＳ 明朝" w:hAnsi="ＭＳ 明朝" w:cs="ＭＳ 明朝" w:hint="eastAsia"/>
          <w:spacing w:val="-4"/>
          <w:lang w:eastAsia="ja-JP"/>
        </w:rPr>
        <w:t>、</w:t>
      </w:r>
      <w:r>
        <w:rPr>
          <w:rFonts w:ascii="ＭＳ 明朝" w:eastAsia="ＭＳ 明朝" w:hAnsi="ＭＳ 明朝" w:cs="ＭＳ 明朝" w:hint="eastAsia"/>
          <w:spacing w:val="-4"/>
          <w:lang w:eastAsia="ja-JP"/>
        </w:rPr>
        <w:t>あらゆる変更および調整。合理的配慮とは異なり、手続上の配慮は</w:t>
      </w:r>
      <w:r w:rsidR="00F46A43">
        <w:rPr>
          <w:rFonts w:ascii="ＭＳ 明朝" w:eastAsia="ＭＳ 明朝" w:hAnsi="ＭＳ 明朝" w:cs="ＭＳ 明朝" w:hint="eastAsia"/>
          <w:spacing w:val="-4"/>
          <w:lang w:eastAsia="ja-JP"/>
        </w:rPr>
        <w:t>『</w:t>
      </w:r>
      <w:r>
        <w:rPr>
          <w:rFonts w:ascii="ＭＳ 明朝" w:eastAsia="ＭＳ 明朝" w:hAnsi="ＭＳ 明朝" w:cs="ＭＳ 明朝" w:hint="eastAsia"/>
          <w:spacing w:val="-4"/>
          <w:lang w:eastAsia="ja-JP"/>
        </w:rPr>
        <w:t>不均衡な負担または過度の負担</w:t>
      </w:r>
      <w:r w:rsidR="00F46A43">
        <w:rPr>
          <w:rFonts w:ascii="ＭＳ 明朝" w:eastAsia="ＭＳ 明朝" w:hAnsi="ＭＳ 明朝" w:cs="ＭＳ 明朝" w:hint="eastAsia"/>
          <w:spacing w:val="-4"/>
          <w:lang w:eastAsia="ja-JP"/>
        </w:rPr>
        <w:t>』</w:t>
      </w:r>
      <w:r>
        <w:rPr>
          <w:rFonts w:ascii="ＭＳ 明朝" w:eastAsia="ＭＳ 明朝" w:hAnsi="ＭＳ 明朝" w:cs="ＭＳ 明朝" w:hint="eastAsia"/>
          <w:spacing w:val="-4"/>
          <w:lang w:eastAsia="ja-JP"/>
        </w:rPr>
        <w:t>によって制限されない。</w:t>
      </w:r>
      <w:r>
        <w:rPr>
          <w:rFonts w:ascii="ＭＳ 明朝" w:eastAsia="ＭＳ 明朝" w:hAnsi="ＭＳ 明朝" w:cs="ＭＳ 明朝" w:hint="eastAsia"/>
          <w:spacing w:val="-4"/>
        </w:rPr>
        <w:t>」</w:t>
      </w:r>
      <w:r w:rsidR="009012F9">
        <w:rPr>
          <w:rStyle w:val="ac"/>
          <w:rFonts w:ascii="ＭＳ 明朝" w:eastAsia="ＭＳ 明朝" w:hAnsi="ＭＳ 明朝" w:cs="ＭＳ 明朝"/>
          <w:spacing w:val="-4"/>
        </w:rPr>
        <w:footnoteReference w:id="22"/>
      </w:r>
    </w:p>
    <w:p w14:paraId="32AD0B06" w14:textId="26163133" w:rsidR="00F20725" w:rsidRDefault="00DF0EC9" w:rsidP="00FD3165">
      <w:pPr>
        <w:pStyle w:val="50"/>
        <w:rPr>
          <w:rFonts w:eastAsiaTheme="minorEastAsia"/>
          <w:lang w:eastAsia="ja-JP"/>
        </w:rPr>
      </w:pPr>
      <w:r>
        <w:rPr>
          <w:rFonts w:ascii="ＭＳ 明朝" w:eastAsia="ＭＳ 明朝" w:hAnsi="ＭＳ 明朝" w:cs="ＭＳ 明朝" w:hint="eastAsia"/>
          <w:lang w:eastAsia="ja-JP"/>
        </w:rPr>
        <w:t>したがって、高齢者の権利に関する法的拘束力のある文書には、司法制度がアクセシブルであり、高齢者に適したものであり、かつニーズに応えるものであることを確保するための、国家に対する明確かつ具体的な義務を含めるべきである。これには、手続への参加を可能にするための適切な支援の提供、手続や環境</w:t>
      </w:r>
      <w:r w:rsidR="00E4444A">
        <w:rPr>
          <w:rFonts w:ascii="ＭＳ 明朝" w:eastAsia="ＭＳ 明朝" w:hAnsi="ＭＳ 明朝" w:cs="ＭＳ 明朝" w:hint="eastAsia"/>
          <w:lang w:eastAsia="ja-JP"/>
        </w:rPr>
        <w:t>の修正</w:t>
      </w:r>
      <w:r>
        <w:rPr>
          <w:rFonts w:ascii="ＭＳ 明朝" w:eastAsia="ＭＳ 明朝" w:hAnsi="ＭＳ 明朝" w:cs="ＭＳ 明朝" w:hint="eastAsia"/>
          <w:lang w:eastAsia="ja-JP"/>
        </w:rPr>
        <w:t>、および高齢者に</w:t>
      </w:r>
      <w:r w:rsidR="00E4444A">
        <w:rPr>
          <w:rFonts w:ascii="ＭＳ 明朝" w:eastAsia="ＭＳ 明朝" w:hAnsi="ＭＳ 明朝" w:cs="ＭＳ 明朝" w:hint="eastAsia"/>
          <w:lang w:eastAsia="ja-JP"/>
        </w:rPr>
        <w:t>関連</w:t>
      </w:r>
      <w:r>
        <w:rPr>
          <w:rFonts w:ascii="ＭＳ 明朝" w:eastAsia="ＭＳ 明朝" w:hAnsi="ＭＳ 明朝" w:cs="ＭＳ 明朝" w:hint="eastAsia"/>
          <w:lang w:eastAsia="ja-JP"/>
        </w:rPr>
        <w:t>する障壁や差別を認識し対応できるよう</w:t>
      </w:r>
      <w:r w:rsidR="00E4444A">
        <w:rPr>
          <w:rFonts w:ascii="ＭＳ 明朝" w:eastAsia="ＭＳ 明朝" w:hAnsi="ＭＳ 明朝" w:cs="ＭＳ 明朝" w:hint="eastAsia"/>
          <w:lang w:eastAsia="ja-JP"/>
        </w:rPr>
        <w:t>にするための</w:t>
      </w:r>
      <w:r>
        <w:rPr>
          <w:rFonts w:ascii="ＭＳ 明朝" w:eastAsia="ＭＳ 明朝" w:hAnsi="ＭＳ 明朝" w:cs="ＭＳ 明朝" w:hint="eastAsia"/>
          <w:lang w:eastAsia="ja-JP"/>
        </w:rPr>
        <w:t>司法部門の専門</w:t>
      </w:r>
      <w:r w:rsidR="00E4444A">
        <w:rPr>
          <w:rFonts w:ascii="ＭＳ 明朝" w:eastAsia="ＭＳ 明朝" w:hAnsi="ＭＳ 明朝" w:cs="ＭＳ 明朝" w:hint="eastAsia"/>
          <w:lang w:eastAsia="ja-JP"/>
        </w:rPr>
        <w:t>職</w:t>
      </w:r>
      <w:r>
        <w:rPr>
          <w:rFonts w:ascii="ＭＳ 明朝" w:eastAsia="ＭＳ 明朝" w:hAnsi="ＭＳ 明朝" w:cs="ＭＳ 明朝" w:hint="eastAsia"/>
          <w:lang w:eastAsia="ja-JP"/>
        </w:rPr>
        <w:t>を対象とした研修が含まれる。</w:t>
      </w:r>
    </w:p>
    <w:p w14:paraId="45F2A3B8" w14:textId="77777777" w:rsidR="003D653A" w:rsidRDefault="291A752A">
      <w:pPr>
        <w:pStyle w:val="3"/>
        <w:numPr>
          <w:ilvl w:val="0"/>
          <w:numId w:val="5"/>
        </w:numPr>
        <w:tabs>
          <w:tab w:val="left" w:pos="1573"/>
        </w:tabs>
        <w:ind w:left="1573" w:hanging="274"/>
      </w:pPr>
      <w:r w:rsidRPr="291A752A">
        <w:rPr>
          <w:spacing w:val="-2"/>
          <w:sz w:val="23"/>
          <w:szCs w:val="23"/>
        </w:rPr>
        <w:t>結論</w:t>
      </w:r>
    </w:p>
    <w:p w14:paraId="672B557B" w14:textId="53EC3E51" w:rsidR="003D653A" w:rsidRDefault="00DF0EC9" w:rsidP="00FD3165">
      <w:pPr>
        <w:pStyle w:val="50"/>
        <w:rPr>
          <w:rFonts w:eastAsia="ＭＳ 明朝"/>
          <w:lang w:eastAsia="ja-JP"/>
        </w:rPr>
      </w:pPr>
      <w:r>
        <w:rPr>
          <w:rFonts w:ascii="ＭＳ 明朝" w:eastAsia="ＭＳ 明朝" w:hAnsi="ＭＳ 明朝" w:cs="ＭＳ 明朝" w:hint="eastAsia"/>
          <w:lang w:eastAsia="ja-JP"/>
        </w:rPr>
        <w:t>高齢者の権利に関する法的拘束力のある文書の策定は、国際人権法における長年の欠落に対処し、</w:t>
      </w:r>
      <w:r w:rsidR="00E4444A">
        <w:rPr>
          <w:rFonts w:ascii="ＭＳ 明朝" w:eastAsia="ＭＳ 明朝" w:hAnsi="ＭＳ 明朝" w:cs="ＭＳ 明朝" w:hint="eastAsia"/>
          <w:lang w:eastAsia="ja-JP"/>
        </w:rPr>
        <w:t>エイジズム</w:t>
      </w:r>
      <w:r>
        <w:rPr>
          <w:rFonts w:ascii="ＭＳ 明朝" w:eastAsia="ＭＳ 明朝" w:hAnsi="ＭＳ 明朝" w:cs="ＭＳ 明朝" w:hint="eastAsia"/>
          <w:lang w:eastAsia="ja-JP"/>
        </w:rPr>
        <w:t>や排除という構造的な現実に立ち向かうための重要な機会である。この文書が実効性を発揮するためには、高齢者を他の人々と同等の権利保有者として位置づける、明確かつ首尾一貫した枠組みを確立しなければならない。そのためには、</w:t>
      </w:r>
      <w:bookmarkStart w:id="18" w:name="_bookmark24"/>
      <w:bookmarkEnd w:id="18"/>
      <w:r>
        <w:rPr>
          <w:rFonts w:eastAsia="ＭＳ 明朝" w:hint="eastAsia"/>
          <w:lang w:eastAsia="ja-JP"/>
        </w:rPr>
        <w:t>保護の範囲が十分に柔軟で包括的</w:t>
      </w:r>
      <w:r>
        <w:rPr>
          <w:rFonts w:eastAsia="ＭＳ 明朝" w:hint="eastAsia"/>
          <w:lang w:eastAsia="ja-JP"/>
        </w:rPr>
        <w:lastRenderedPageBreak/>
        <w:t>であり、実体験に即したものであることを確保する</w:t>
      </w:r>
      <w:r w:rsidR="00BF69F6">
        <w:rPr>
          <w:rFonts w:eastAsia="ＭＳ 明朝" w:hint="eastAsia"/>
          <w:lang w:eastAsia="ja-JP"/>
        </w:rPr>
        <w:t>ための</w:t>
      </w:r>
      <w:r w:rsidR="00BF69F6">
        <w:rPr>
          <w:rFonts w:eastAsia="ＭＳ 明朝" w:hint="eastAsia"/>
          <w:lang w:eastAsia="ja-JP"/>
        </w:rPr>
        <w:t>高齢</w:t>
      </w:r>
      <w:r w:rsidR="001D226A">
        <w:rPr>
          <w:rFonts w:eastAsia="ＭＳ 明朝" w:hint="eastAsia"/>
          <w:lang w:eastAsia="ja-JP"/>
        </w:rPr>
        <w:t>（期）の</w:t>
      </w:r>
      <w:r w:rsidR="00BF69F6">
        <w:rPr>
          <w:rFonts w:eastAsia="ＭＳ 明朝" w:hint="eastAsia"/>
          <w:lang w:eastAsia="ja-JP"/>
        </w:rPr>
        <w:t>定義など、</w:t>
      </w:r>
      <w:r w:rsidR="00BF69F6">
        <w:rPr>
          <w:rFonts w:ascii="ＭＳ 明朝" w:eastAsia="ＭＳ 明朝" w:hAnsi="ＭＳ 明朝" w:cs="ＭＳ 明朝" w:hint="eastAsia"/>
          <w:lang w:eastAsia="ja-JP"/>
        </w:rPr>
        <w:t>早期かつ慎重な検討が必要である。</w:t>
      </w:r>
      <w:r>
        <w:rPr>
          <w:rFonts w:eastAsia="ＭＳ 明朝" w:hint="eastAsia"/>
          <w:lang w:eastAsia="ja-JP"/>
        </w:rPr>
        <w:t>また、特に法的能力、自由の剥奪、刑事司法に関連する複雑で議論の分かれる分野に直接取り組む意欲も求められる。この枠組みの正当性と有効性は、その策定における高齢者の有意義な参加にかかっている。これは形式的な協議にとどまらず、特にグローバル・サウス（南半球）の高齢者を代表する組織との、持続的かつ十分な資源を伴う関与を含まなければならない。こうした投資がなければ、この枠組みが、高齢化の多様な経験や、</w:t>
      </w:r>
      <w:r w:rsidR="00BF69F6">
        <w:rPr>
          <w:rFonts w:eastAsia="ＭＳ 明朝" w:hint="eastAsia"/>
          <w:lang w:eastAsia="ja-JP"/>
        </w:rPr>
        <w:t>その</w:t>
      </w:r>
      <w:r>
        <w:rPr>
          <w:rFonts w:eastAsia="ＭＳ 明朝" w:hint="eastAsia"/>
          <w:lang w:eastAsia="ja-JP"/>
        </w:rPr>
        <w:t>影響を</w:t>
      </w:r>
      <w:r w:rsidR="00BF69F6">
        <w:rPr>
          <w:rFonts w:eastAsia="ＭＳ 明朝" w:hint="eastAsia"/>
          <w:lang w:eastAsia="ja-JP"/>
        </w:rPr>
        <w:t>最も</w:t>
      </w:r>
      <w:r>
        <w:rPr>
          <w:rFonts w:eastAsia="ＭＳ 明朝" w:hint="eastAsia"/>
          <w:lang w:eastAsia="ja-JP"/>
        </w:rPr>
        <w:t>受ける人々の現実を反映できないリスクがある。この枠組みは、保護を強化するだけでなく、今後数十年にわたる包括的な立法・政策改革の基盤となる可能性</w:t>
      </w:r>
      <w:r w:rsidR="00BF69F6">
        <w:rPr>
          <w:rFonts w:eastAsia="ＭＳ 明朝" w:hint="eastAsia"/>
          <w:lang w:eastAsia="ja-JP"/>
        </w:rPr>
        <w:t>を</w:t>
      </w:r>
      <w:r>
        <w:rPr>
          <w:rFonts w:eastAsia="ＭＳ 明朝" w:hint="eastAsia"/>
          <w:lang w:eastAsia="ja-JP"/>
        </w:rPr>
        <w:t>秘めている。明確</w:t>
      </w:r>
      <w:r w:rsidR="00BF69F6">
        <w:rPr>
          <w:rFonts w:eastAsia="ＭＳ 明朝" w:hint="eastAsia"/>
          <w:lang w:eastAsia="ja-JP"/>
        </w:rPr>
        <w:t>なものとして、</w:t>
      </w:r>
      <w:r>
        <w:rPr>
          <w:rFonts w:eastAsia="ＭＳ 明朝" w:hint="eastAsia"/>
          <w:lang w:eastAsia="ja-JP"/>
        </w:rPr>
        <w:t>かつ</w:t>
      </w:r>
      <w:r w:rsidR="00BF69F6">
        <w:rPr>
          <w:rFonts w:eastAsia="ＭＳ 明朝" w:hint="eastAsia"/>
          <w:lang w:eastAsia="ja-JP"/>
        </w:rPr>
        <w:t>大志</w:t>
      </w:r>
      <w:r>
        <w:rPr>
          <w:rFonts w:eastAsia="ＭＳ 明朝" w:hint="eastAsia"/>
          <w:lang w:eastAsia="ja-JP"/>
        </w:rPr>
        <w:t>を持って策定されれば、高齢化社会に対して有意義かつ持続的な改善をもたらし、高齢者が原則上だけでなく実践においても、社会の完全かつ平等な参加者として認められることを保証で</w:t>
      </w:r>
      <w:r w:rsidR="00F20725">
        <w:rPr>
          <w:rFonts w:eastAsia="ＭＳ 明朝" w:hint="eastAsia"/>
          <w:lang w:eastAsia="ja-JP"/>
        </w:rPr>
        <w:t>きるだろう。</w:t>
      </w:r>
    </w:p>
    <w:p w14:paraId="5E1766FC" w14:textId="0584628D" w:rsidR="00E4444A" w:rsidRPr="00F20725" w:rsidRDefault="00E4444A" w:rsidP="00E4444A">
      <w:pPr>
        <w:spacing w:line="225" w:lineRule="exact"/>
        <w:ind w:left="1299"/>
        <w:rPr>
          <w:rFonts w:eastAsiaTheme="minorEastAsia"/>
          <w:sz w:val="20"/>
          <w:lang w:eastAsia="ja-JP"/>
        </w:rPr>
      </w:pPr>
    </w:p>
    <w:p w14:paraId="221556E3" w14:textId="1084F06F" w:rsidR="00C97C3C" w:rsidRPr="0046093A" w:rsidRDefault="00C97C3C" w:rsidP="00C97C3C">
      <w:pPr>
        <w:pStyle w:val="50"/>
        <w:jc w:val="right"/>
        <w:rPr>
          <w:rFonts w:eastAsiaTheme="minorEastAsia" w:hint="eastAsia"/>
          <w:b/>
          <w:lang w:eastAsia="ja-JP"/>
        </w:rPr>
      </w:pPr>
      <w:r>
        <w:rPr>
          <w:rFonts w:eastAsia="ＭＳ 明朝" w:hint="eastAsia"/>
          <w:lang w:eastAsia="ja-JP"/>
        </w:rPr>
        <w:t>（翻訳・佐藤久夫、　　　　）</w:t>
      </w:r>
    </w:p>
    <w:sectPr w:rsidR="00C97C3C" w:rsidRPr="0046093A" w:rsidSect="008A11FE">
      <w:headerReference w:type="default" r:id="rId8"/>
      <w:footerReference w:type="default" r:id="rId9"/>
      <w:pgSz w:w="11910" w:h="16840"/>
      <w:pgMar w:top="1420" w:right="0" w:bottom="1240" w:left="141" w:header="0" w:footer="1045"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6D7C0" w14:textId="77777777" w:rsidR="00007286" w:rsidRDefault="00007286">
      <w:r>
        <w:separator/>
      </w:r>
    </w:p>
  </w:endnote>
  <w:endnote w:type="continuationSeparator" w:id="0">
    <w:p w14:paraId="2F895660" w14:textId="77777777" w:rsidR="00007286" w:rsidRDefault="0000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2">
    <w:charset w:val="00"/>
    <w:family w:val="swiss"/>
    <w:pitch w:val="variable"/>
    <w:sig w:usb0="80000003" w:usb1="0200E3E4" w:usb2="00040020" w:usb3="00000000" w:csb0="00000001"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3624" w14:textId="77777777" w:rsidR="003D653A" w:rsidRDefault="00DF0EC9">
    <w:pPr>
      <w:pStyle w:val="a3"/>
      <w:spacing w:line="14" w:lineRule="auto"/>
      <w:rPr>
        <w:sz w:val="20"/>
      </w:rPr>
    </w:pPr>
    <w:r>
      <w:rPr>
        <w:noProof/>
        <w:sz w:val="20"/>
      </w:rPr>
      <mc:AlternateContent>
        <mc:Choice Requires="wps">
          <w:drawing>
            <wp:anchor distT="0" distB="0" distL="0" distR="0" simplePos="0" relativeHeight="251665920" behindDoc="1" locked="0" layoutInCell="1" allowOverlap="1" wp14:anchorId="23C22F87" wp14:editId="6BA61359">
              <wp:simplePos x="0" y="0"/>
              <wp:positionH relativeFrom="page">
                <wp:posOffset>6479540</wp:posOffset>
              </wp:positionH>
              <wp:positionV relativeFrom="page">
                <wp:posOffset>10059246</wp:posOffset>
              </wp:positionV>
              <wp:extent cx="215900" cy="194310"/>
              <wp:effectExtent l="0" t="0" r="0" b="0"/>
              <wp:wrapNone/>
              <wp:docPr id="79" name="Textbox 79"/>
              <wp:cNvGraphicFramePr/>
              <a:graphic xmlns:a="http://schemas.openxmlformats.org/drawingml/2006/main">
                <a:graphicData uri="http://schemas.microsoft.com/office/word/2010/wordprocessingShape">
                  <wps:wsp>
                    <wps:cNvSpPr txBox="1"/>
                    <wps:spPr>
                      <a:xfrm>
                        <a:off x="0" y="0"/>
                        <a:ext cx="215900" cy="194310"/>
                      </a:xfrm>
                      <a:prstGeom prst="rect">
                        <a:avLst/>
                      </a:prstGeom>
                    </wps:spPr>
                    <wps:txbx>
                      <w:txbxContent>
                        <w:p w14:paraId="0BA15EA6" w14:textId="77777777" w:rsidR="003D653A" w:rsidRDefault="00DF0EC9">
                          <w:pPr>
                            <w:pStyle w:val="a3"/>
                            <w:spacing w:before="10"/>
                            <w:ind w:left="20"/>
                          </w:pPr>
                          <w:r>
                            <w:rPr>
                              <w:spacing w:val="-5"/>
                            </w:rPr>
                            <w:fldChar w:fldCharType="begin"/>
                          </w:r>
                          <w:r>
                            <w:rPr>
                              <w:spacing w:val="-5"/>
                              <w:sz w:val="19"/>
                            </w:rPr>
                            <w:instrText xml:space="preserve"> PAGE </w:instrText>
                          </w:r>
                          <w:r>
                            <w:rPr>
                              <w:spacing w:val="-5"/>
                            </w:rPr>
                            <w:fldChar w:fldCharType="separate"/>
                          </w:r>
                          <w:r>
                            <w:rPr>
                              <w:spacing w:val="-5"/>
                              <w:sz w:val="20"/>
                            </w:rPr>
                            <w:t>14</w:t>
                          </w:r>
                          <w:r>
                            <w:rPr>
                              <w:spacing w:val="-5"/>
                            </w:rPr>
                            <w:fldChar w:fldCharType="end"/>
                          </w:r>
                        </w:p>
                      </w:txbxContent>
                    </wps:txbx>
                    <wps:bodyPr wrap="square" lIns="0" tIns="0" rIns="0" bIns="0" rtlCol="0"/>
                  </wps:wsp>
                </a:graphicData>
              </a:graphic>
            </wp:anchor>
          </w:drawing>
        </mc:Choice>
        <mc:Fallback>
          <w:pict>
            <v:shapetype w14:anchorId="23C22F87" id="_x0000_t202" coordsize="21600,21600" o:spt="202" path="m,l,21600r21600,l21600,xe">
              <v:stroke joinstyle="miter"/>
              <v:path gradientshapeok="t" o:connecttype="rect"/>
            </v:shapetype>
            <v:shape id="Textbox 79" o:spid="_x0000_s1026" type="#_x0000_t202" style="position:absolute;margin-left:510.2pt;margin-top:792.05pt;width:17pt;height:15.3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JlkegEAAOcCAAAOAAAAZHJzL2Uyb0RvYy54bWysUttO4zAQfV+Jf7D8TpOUBS1RUyRArJBW&#10;CxLwAa5jN5Fij5kxTfr3Oza9oOUN8TKZW87MnOPF1eQGsTFIPfhGVrNSCuM1tL1fN/Ll+e70lxQU&#10;lW/VAN40cmtIXi1PfizGUJs5dDC0BgWDeKrH0MguxlAXBenOOEUzCMZz0QI6FTnEddGiGhndDcW8&#10;LC+KEbANCNoQcfb2vSiXGd9ao+ODtWSiGBrJu8VsMdtVssVyoeo1qtD1ereG+sIWTvWehx6gblVU&#10;4g37T1Cu1wgENs40uAKs7bXJN/A1VfnfNU+dCibfwuRQONBE3wer/26ewiOKOF3DxAImQsZANXEy&#10;3TNZdOnLmwquM4XbA21mikJzcl6dX5Zc0VyqLn+eVZnW4vhzQIq/DTiRnEYiq5LJUps/FHkgt+5b&#10;ODiOT16cVtNupxW0W151ZLUaSa9vCo0Uw71nOpK0ewf3zmrvYBxuID+ANCyhMpt57E75JNfHOHcd&#10;3+fyHwAAAP//AwBQSwMEFAAGAAgAAAAhADfhxxfiAAAADwEAAA8AAABkcnMvZG93bnJldi54bWxM&#10;j8FOwzAQRO9I/IO1SNyonSoNJcSpKgQnJEQaDhyd2E2sxusQu234e7YnepvZHc2+LTazG9jJTMF6&#10;lJAsBDCDrdcWOwlf9dvDGliICrUaPBoJvybApry9KVSu/Rkrc9rFjlEJhlxJ6GMcc85D2xunwsKP&#10;Bmm395NTkezUcT2pM5W7gS+FyLhTFulCr0bz0pv2sDs6CdtvrF7tz0fzWe0rW9dPAt+zg5T3d/P2&#10;GVg0c/wPwwWf0KEkpsYfUQc2kBdLkVKW1GqdJsAuGbFKadaQypL0EXhZ8Os/yj8AAAD//wMAUEsB&#10;Ai0AFAAGAAgAAAAhALaDOJL+AAAA4QEAABMAAAAAAAAAAAAAAAAAAAAAAFtDb250ZW50X1R5cGVz&#10;XS54bWxQSwECLQAUAAYACAAAACEAOP0h/9YAAACUAQAACwAAAAAAAAAAAAAAAAAvAQAAX3JlbHMv&#10;LnJlbHNQSwECLQAUAAYACAAAACEAh9iZZHoBAADnAgAADgAAAAAAAAAAAAAAAAAuAgAAZHJzL2Uy&#10;b0RvYy54bWxQSwECLQAUAAYACAAAACEAN+HHF+IAAAAPAQAADwAAAAAAAAAAAAAAAADUAwAAZHJz&#10;L2Rvd25yZXYueG1sUEsFBgAAAAAEAAQA8wAAAOMEAAAAAA==&#10;" filled="f" stroked="f">
              <v:textbox inset="0,0,0,0">
                <w:txbxContent>
                  <w:p w14:paraId="0BA15EA6" w14:textId="77777777" w:rsidR="003D653A" w:rsidRDefault="00DF0EC9">
                    <w:pPr>
                      <w:pStyle w:val="a3"/>
                      <w:spacing w:before="10"/>
                      <w:ind w:left="20"/>
                    </w:pPr>
                    <w:r>
                      <w:rPr>
                        <w:spacing w:val="-5"/>
                      </w:rPr>
                      <w:fldChar w:fldCharType="begin"/>
                    </w:r>
                    <w:r>
                      <w:rPr>
                        <w:spacing w:val="-5"/>
                        <w:sz w:val="19"/>
                      </w:rPr>
                      <w:instrText xml:space="preserve"> PAGE </w:instrText>
                    </w:r>
                    <w:r>
                      <w:rPr>
                        <w:spacing w:val="-5"/>
                      </w:rPr>
                      <w:fldChar w:fldCharType="separate"/>
                    </w:r>
                    <w:r>
                      <w:rPr>
                        <w:spacing w:val="-5"/>
                        <w:sz w:val="20"/>
                      </w:rPr>
                      <w:t>14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82671" w14:textId="77777777" w:rsidR="00007286" w:rsidRDefault="00007286">
      <w:r>
        <w:separator/>
      </w:r>
    </w:p>
  </w:footnote>
  <w:footnote w:type="continuationSeparator" w:id="0">
    <w:p w14:paraId="2D4848BA" w14:textId="77777777" w:rsidR="00007286" w:rsidRDefault="00007286">
      <w:r>
        <w:continuationSeparator/>
      </w:r>
    </w:p>
  </w:footnote>
  <w:footnote w:id="1">
    <w:p w14:paraId="2F972B5A" w14:textId="6949C0EB" w:rsidR="00D21F8E" w:rsidRPr="002F42A3" w:rsidRDefault="00D21F8E" w:rsidP="009012F9">
      <w:pPr>
        <w:pStyle w:val="aa"/>
        <w:ind w:leftChars="580" w:left="1276" w:rightChars="581" w:right="1278"/>
        <w:rPr>
          <w:rFonts w:eastAsiaTheme="minorEastAsia" w:hint="eastAsia"/>
          <w:sz w:val="18"/>
          <w:szCs w:val="18"/>
          <w:lang w:eastAsia="ja-JP"/>
        </w:rPr>
      </w:pPr>
      <w:r w:rsidRPr="002F42A3">
        <w:rPr>
          <w:rStyle w:val="ac"/>
          <w:sz w:val="18"/>
          <w:szCs w:val="18"/>
        </w:rPr>
        <w:footnoteRef/>
      </w:r>
      <w:r w:rsidRPr="002F42A3">
        <w:rPr>
          <w:sz w:val="18"/>
          <w:szCs w:val="18"/>
        </w:rPr>
        <w:t xml:space="preserve"> </w:t>
      </w:r>
      <w:r w:rsidR="002F42A3" w:rsidRPr="002F42A3">
        <w:rPr>
          <w:rFonts w:ascii="ＭＳ 明朝" w:eastAsia="ＭＳ 明朝" w:hAnsi="ＭＳ 明朝" w:cs="ＭＳ 明朝" w:hint="eastAsia"/>
          <w:spacing w:val="-2"/>
          <w:w w:val="90"/>
          <w:sz w:val="18"/>
          <w:szCs w:val="18"/>
          <w:lang w:eastAsia="ja-JP"/>
        </w:rPr>
        <w:t>国連人権理事会、</w:t>
      </w:r>
      <w:r w:rsidR="002F42A3" w:rsidRPr="002F42A3">
        <w:rPr>
          <w:rFonts w:ascii="ＭＳ 明朝" w:eastAsia="ＭＳ 明朝" w:hAnsi="ＭＳ 明朝" w:cs="ＭＳ 明朝" w:hint="eastAsia"/>
          <w:i/>
          <w:iCs/>
          <w:spacing w:val="-2"/>
          <w:w w:val="90"/>
          <w:sz w:val="18"/>
          <w:szCs w:val="18"/>
          <w:lang w:eastAsia="ja-JP"/>
        </w:rPr>
        <w:t>「</w:t>
      </w:r>
      <w:r w:rsidR="002F42A3" w:rsidRPr="002F42A3">
        <w:rPr>
          <w:rFonts w:ascii="ＭＳ 明朝" w:eastAsia="ＭＳ 明朝" w:hAnsi="ＭＳ 明朝" w:cs="ＭＳ 明朝" w:hint="eastAsia"/>
          <w:i/>
          <w:spacing w:val="-2"/>
          <w:w w:val="90"/>
          <w:sz w:val="18"/>
          <w:szCs w:val="18"/>
          <w:lang w:eastAsia="ja-JP"/>
        </w:rPr>
        <w:t>高齢者のすべての人権の享受に関する独立専門家報告書」</w:t>
      </w:r>
      <w:r w:rsidR="002F42A3" w:rsidRPr="002F42A3">
        <w:rPr>
          <w:rFonts w:ascii="ＭＳ 明朝" w:eastAsia="ＭＳ 明朝" w:hAnsi="ＭＳ 明朝" w:cs="ＭＳ 明朝" w:hint="eastAsia"/>
          <w:sz w:val="18"/>
          <w:szCs w:val="18"/>
          <w:lang w:eastAsia="ja-JP"/>
        </w:rPr>
        <w:t>、国連文書</w:t>
      </w:r>
      <w:r w:rsidR="002F42A3" w:rsidRPr="002F42A3">
        <w:rPr>
          <w:sz w:val="18"/>
          <w:szCs w:val="18"/>
          <w:lang w:eastAsia="ja-JP"/>
        </w:rPr>
        <w:t xml:space="preserve"> A/HRC/39/50</w:t>
      </w:r>
      <w:r w:rsidR="002F42A3" w:rsidRPr="002F42A3">
        <w:rPr>
          <w:rFonts w:ascii="ＭＳ 明朝" w:eastAsia="ＭＳ 明朝" w:hAnsi="ＭＳ 明朝" w:cs="ＭＳ 明朝" w:hint="eastAsia"/>
          <w:sz w:val="18"/>
          <w:szCs w:val="18"/>
          <w:lang w:eastAsia="ja-JP"/>
        </w:rPr>
        <w:t>（</w:t>
      </w:r>
      <w:r w:rsidR="002F42A3" w:rsidRPr="002F42A3">
        <w:rPr>
          <w:sz w:val="18"/>
          <w:szCs w:val="18"/>
          <w:lang w:eastAsia="ja-JP"/>
        </w:rPr>
        <w:t>2018</w:t>
      </w:r>
      <w:r w:rsidR="002F42A3" w:rsidRPr="002F42A3">
        <w:rPr>
          <w:rFonts w:ascii="ＭＳ 明朝" w:eastAsia="ＭＳ 明朝" w:hAnsi="ＭＳ 明朝" w:cs="ＭＳ 明朝" w:hint="eastAsia"/>
          <w:sz w:val="18"/>
          <w:szCs w:val="18"/>
          <w:lang w:eastAsia="ja-JP"/>
        </w:rPr>
        <w:t>年</w:t>
      </w:r>
      <w:r w:rsidR="002F42A3" w:rsidRPr="002F42A3">
        <w:rPr>
          <w:sz w:val="18"/>
          <w:szCs w:val="18"/>
          <w:lang w:eastAsia="ja-JP"/>
        </w:rPr>
        <w:t>7</w:t>
      </w:r>
      <w:r w:rsidR="002F42A3" w:rsidRPr="002F42A3">
        <w:rPr>
          <w:rFonts w:ascii="ＭＳ 明朝" w:eastAsia="ＭＳ 明朝" w:hAnsi="ＭＳ 明朝" w:cs="ＭＳ 明朝" w:hint="eastAsia"/>
          <w:sz w:val="18"/>
          <w:szCs w:val="18"/>
          <w:lang w:eastAsia="ja-JP"/>
        </w:rPr>
        <w:t>月</w:t>
      </w:r>
      <w:r w:rsidR="002F42A3" w:rsidRPr="002F42A3">
        <w:rPr>
          <w:sz w:val="18"/>
          <w:szCs w:val="18"/>
          <w:lang w:eastAsia="ja-JP"/>
        </w:rPr>
        <w:t>10</w:t>
      </w:r>
      <w:r w:rsidR="002F42A3" w:rsidRPr="002F42A3">
        <w:rPr>
          <w:rFonts w:ascii="ＭＳ 明朝" w:eastAsia="ＭＳ 明朝" w:hAnsi="ＭＳ 明朝" w:cs="ＭＳ 明朝" w:hint="eastAsia"/>
          <w:sz w:val="18"/>
          <w:szCs w:val="18"/>
          <w:lang w:eastAsia="ja-JP"/>
        </w:rPr>
        <w:t>日）、</w:t>
      </w:r>
      <w:r w:rsidR="002F42A3" w:rsidRPr="002F42A3">
        <w:rPr>
          <w:sz w:val="18"/>
          <w:szCs w:val="18"/>
          <w:lang w:eastAsia="ja-JP"/>
        </w:rPr>
        <w:t>14</w:t>
      </w:r>
      <w:r w:rsidR="002F42A3" w:rsidRPr="002F42A3">
        <w:rPr>
          <w:rFonts w:ascii="ＭＳ 明朝" w:eastAsia="ＭＳ 明朝" w:hAnsi="ＭＳ 明朝" w:cs="ＭＳ 明朝" w:hint="eastAsia"/>
          <w:sz w:val="18"/>
          <w:szCs w:val="18"/>
          <w:lang w:eastAsia="ja-JP"/>
        </w:rPr>
        <w:t>～</w:t>
      </w:r>
      <w:r w:rsidR="002F42A3" w:rsidRPr="002F42A3">
        <w:rPr>
          <w:sz w:val="18"/>
          <w:szCs w:val="18"/>
          <w:lang w:eastAsia="ja-JP"/>
        </w:rPr>
        <w:t>16</w:t>
      </w:r>
      <w:r w:rsidR="002F42A3" w:rsidRPr="002F42A3">
        <w:rPr>
          <w:rFonts w:ascii="ＭＳ 明朝" w:eastAsia="ＭＳ 明朝" w:hAnsi="ＭＳ 明朝" w:cs="ＭＳ 明朝" w:hint="eastAsia"/>
          <w:sz w:val="18"/>
          <w:szCs w:val="18"/>
          <w:lang w:eastAsia="ja-JP"/>
        </w:rPr>
        <w:t>ページを</w:t>
      </w:r>
      <w:r w:rsidR="002F42A3" w:rsidRPr="002F42A3">
        <w:rPr>
          <w:rFonts w:ascii="ＭＳ 明朝" w:eastAsia="ＭＳ 明朝" w:hAnsi="ＭＳ 明朝" w:cs="ＭＳ 明朝" w:hint="eastAsia"/>
          <w:spacing w:val="-2"/>
          <w:w w:val="90"/>
          <w:sz w:val="18"/>
          <w:szCs w:val="18"/>
          <w:lang w:eastAsia="ja-JP"/>
        </w:rPr>
        <w:t>参照</w:t>
      </w:r>
      <w:r w:rsidR="002F42A3" w:rsidRPr="002F42A3">
        <w:rPr>
          <w:rFonts w:ascii="ＭＳ 明朝" w:eastAsia="ＭＳ 明朝" w:hAnsi="ＭＳ 明朝" w:cs="ＭＳ 明朝" w:hint="eastAsia"/>
          <w:sz w:val="18"/>
          <w:szCs w:val="18"/>
          <w:lang w:eastAsia="ja-JP"/>
        </w:rPr>
        <w:t>。</w:t>
      </w:r>
    </w:p>
  </w:footnote>
  <w:footnote w:id="2">
    <w:p w14:paraId="036A9BF0" w14:textId="15B2B0A9" w:rsidR="0078715B" w:rsidRPr="0078715B" w:rsidRDefault="0078715B" w:rsidP="00BB65A9">
      <w:pPr>
        <w:pStyle w:val="aa"/>
        <w:ind w:leftChars="644" w:left="1417" w:rightChars="645" w:right="1419"/>
        <w:rPr>
          <w:rFonts w:eastAsiaTheme="minorEastAsia" w:hint="eastAsia"/>
          <w:lang w:eastAsia="ja-JP"/>
        </w:rPr>
      </w:pPr>
      <w:r>
        <w:rPr>
          <w:rStyle w:val="ac"/>
        </w:rPr>
        <w:footnoteRef/>
      </w:r>
      <w:r>
        <w:t xml:space="preserve"> </w:t>
      </w:r>
      <w:r w:rsidR="00BB65A9" w:rsidRPr="291A752A">
        <w:rPr>
          <w:rFonts w:ascii="ＭＳ 明朝" w:eastAsia="ＭＳ 明朝" w:hAnsi="ＭＳ 明朝" w:cs="ＭＳ 明朝" w:hint="eastAsia"/>
          <w:w w:val="90"/>
          <w:sz w:val="16"/>
          <w:szCs w:val="16"/>
          <w:lang w:eastAsia="ja-JP"/>
        </w:rPr>
        <w:t>アマンダ・グレニエ、クリス・フィリップソン、リチャード・</w:t>
      </w:r>
      <w:r w:rsidR="00BB65A9" w:rsidRPr="291A752A">
        <w:rPr>
          <w:w w:val="90"/>
          <w:sz w:val="16"/>
          <w:szCs w:val="16"/>
          <w:lang w:eastAsia="ja-JP"/>
        </w:rPr>
        <w:t>A</w:t>
      </w:r>
      <w:r w:rsidR="00BB65A9" w:rsidRPr="291A752A">
        <w:rPr>
          <w:rFonts w:ascii="ＭＳ 明朝" w:eastAsia="ＭＳ 明朝" w:hAnsi="ＭＳ 明朝" w:cs="ＭＳ 明朝" w:hint="eastAsia"/>
          <w:w w:val="90"/>
          <w:sz w:val="16"/>
          <w:szCs w:val="16"/>
          <w:lang w:eastAsia="ja-JP"/>
        </w:rPr>
        <w:t>・セッターステン・ジュニア（編）、</w:t>
      </w:r>
      <w:r w:rsidR="00BB65A9">
        <w:rPr>
          <w:rFonts w:ascii="ＭＳ 明朝" w:eastAsia="ＭＳ 明朝" w:hAnsi="ＭＳ 明朝" w:cs="ＭＳ 明朝" w:hint="eastAsia"/>
          <w:w w:val="90"/>
          <w:sz w:val="16"/>
          <w:szCs w:val="16"/>
          <w:lang w:eastAsia="ja-JP"/>
        </w:rPr>
        <w:t>「</w:t>
      </w:r>
      <w:r w:rsidR="00BB65A9">
        <w:rPr>
          <w:rFonts w:ascii="ＭＳ 明朝" w:eastAsia="ＭＳ 明朝" w:hAnsi="ＭＳ 明朝" w:cs="ＭＳ 明朝" w:hint="eastAsia"/>
          <w:i/>
          <w:iCs/>
          <w:w w:val="90"/>
          <w:sz w:val="16"/>
          <w:szCs w:val="16"/>
          <w:lang w:eastAsia="ja-JP"/>
        </w:rPr>
        <w:t>危うさ</w:t>
      </w:r>
      <w:r w:rsidR="00BB65A9" w:rsidRPr="291A752A">
        <w:rPr>
          <w:rFonts w:ascii="ＭＳ 明朝" w:eastAsia="ＭＳ 明朝" w:hAnsi="ＭＳ 明朝" w:cs="ＭＳ 明朝" w:hint="eastAsia"/>
          <w:i/>
          <w:iCs/>
          <w:w w:val="90"/>
          <w:sz w:val="16"/>
          <w:szCs w:val="16"/>
          <w:lang w:eastAsia="ja-JP"/>
        </w:rPr>
        <w:t>と高齢化：晩年の不安定性とリスクの理解</w:t>
      </w:r>
      <w:r w:rsidR="00BB65A9">
        <w:rPr>
          <w:rFonts w:ascii="ＭＳ 明朝" w:eastAsia="ＭＳ 明朝" w:hAnsi="ＭＳ 明朝" w:cs="ＭＳ 明朝" w:hint="eastAsia"/>
          <w:i/>
          <w:iCs/>
          <w:w w:val="90"/>
          <w:sz w:val="16"/>
          <w:szCs w:val="16"/>
          <w:lang w:eastAsia="ja-JP"/>
        </w:rPr>
        <w:t>」</w:t>
      </w:r>
      <w:r w:rsidR="00BB65A9" w:rsidRPr="291A752A">
        <w:rPr>
          <w:rFonts w:ascii="ＭＳ 明朝" w:eastAsia="ＭＳ 明朝" w:hAnsi="ＭＳ 明朝" w:cs="ＭＳ 明朝" w:hint="eastAsia"/>
          <w:w w:val="95"/>
          <w:sz w:val="16"/>
          <w:szCs w:val="16"/>
          <w:lang w:eastAsia="ja-JP"/>
        </w:rPr>
        <w:t>（</w:t>
      </w:r>
      <w:r w:rsidR="00BB65A9" w:rsidRPr="291A752A">
        <w:rPr>
          <w:w w:val="95"/>
          <w:sz w:val="16"/>
          <w:szCs w:val="16"/>
          <w:lang w:eastAsia="ja-JP"/>
        </w:rPr>
        <w:t>Policy Press 2021</w:t>
      </w:r>
      <w:r w:rsidR="00BB65A9" w:rsidRPr="291A752A">
        <w:rPr>
          <w:rFonts w:ascii="ＭＳ 明朝" w:eastAsia="ＭＳ 明朝" w:hAnsi="ＭＳ 明朝" w:cs="ＭＳ 明朝" w:hint="eastAsia"/>
          <w:w w:val="95"/>
          <w:sz w:val="16"/>
          <w:szCs w:val="16"/>
          <w:lang w:eastAsia="ja-JP"/>
        </w:rPr>
        <w:t>年）。</w:t>
      </w:r>
    </w:p>
  </w:footnote>
  <w:footnote w:id="3">
    <w:p w14:paraId="4ADE2B18" w14:textId="3DB94A2E" w:rsidR="00BB65A9" w:rsidRPr="00BB65A9" w:rsidRDefault="00BB65A9" w:rsidP="00041072">
      <w:pPr>
        <w:pStyle w:val="aa"/>
        <w:ind w:leftChars="644" w:left="1417"/>
        <w:rPr>
          <w:rFonts w:eastAsiaTheme="minorEastAsia" w:hint="eastAsia"/>
          <w:lang w:eastAsia="ja-JP"/>
        </w:rPr>
      </w:pPr>
      <w:r>
        <w:rPr>
          <w:rStyle w:val="ac"/>
        </w:rPr>
        <w:footnoteRef/>
      </w:r>
      <w:r>
        <w:t xml:space="preserve"> </w:t>
      </w:r>
      <w:r w:rsidR="00041072" w:rsidRPr="291A752A">
        <w:rPr>
          <w:spacing w:val="-4"/>
          <w:sz w:val="16"/>
          <w:szCs w:val="16"/>
          <w:lang w:eastAsia="ja-JP"/>
        </w:rPr>
        <w:t>ジェラルド・クイン、チャールズ・オマホニー、「障害と人権：国際的人権保護</w:t>
      </w:r>
      <w:r w:rsidR="00041072">
        <w:rPr>
          <w:rFonts w:ascii="ＭＳ 明朝" w:eastAsia="ＭＳ 明朝" w:hAnsi="ＭＳ 明朝" w:cs="ＭＳ 明朝" w:hint="eastAsia"/>
          <w:spacing w:val="-4"/>
          <w:sz w:val="16"/>
          <w:szCs w:val="16"/>
          <w:lang w:eastAsia="ja-JP"/>
        </w:rPr>
        <w:t>をめぐる</w:t>
      </w:r>
      <w:r w:rsidR="00041072" w:rsidRPr="291A752A">
        <w:rPr>
          <w:spacing w:val="-4"/>
          <w:sz w:val="16"/>
          <w:szCs w:val="16"/>
          <w:lang w:eastAsia="ja-JP"/>
        </w:rPr>
        <w:t>国連</w:t>
      </w:r>
      <w:r w:rsidR="00041072">
        <w:rPr>
          <w:rFonts w:ascii="ＭＳ 明朝" w:eastAsia="ＭＳ 明朝" w:hAnsi="ＭＳ 明朝" w:cs="ＭＳ 明朝" w:hint="eastAsia"/>
          <w:spacing w:val="-4"/>
          <w:sz w:val="16"/>
          <w:szCs w:val="16"/>
          <w:lang w:eastAsia="ja-JP"/>
        </w:rPr>
        <w:t>の</w:t>
      </w:r>
      <w:r w:rsidR="00041072" w:rsidRPr="291A752A">
        <w:rPr>
          <w:spacing w:val="-4"/>
          <w:sz w:val="16"/>
          <w:szCs w:val="16"/>
          <w:lang w:eastAsia="ja-JP"/>
        </w:rPr>
        <w:t>新分野</w:t>
      </w:r>
      <w:r w:rsidR="00041072">
        <w:rPr>
          <w:rFonts w:ascii="ＭＳ 明朝" w:eastAsia="ＭＳ 明朝" w:hAnsi="ＭＳ 明朝" w:cs="ＭＳ 明朝" w:hint="eastAsia"/>
          <w:spacing w:val="-4"/>
          <w:sz w:val="16"/>
          <w:szCs w:val="16"/>
          <w:lang w:eastAsia="ja-JP"/>
        </w:rPr>
        <w:t xml:space="preserve">　</w:t>
      </w:r>
      <w:r w:rsidR="00041072" w:rsidRPr="291A752A">
        <w:rPr>
          <w:spacing w:val="-4"/>
          <w:sz w:val="16"/>
          <w:szCs w:val="16"/>
          <w:lang w:eastAsia="ja-JP"/>
        </w:rPr>
        <w:t>教科書</w:t>
      </w:r>
      <w:r w:rsidR="00041072">
        <w:rPr>
          <w:rFonts w:ascii="ＭＳ 明朝" w:eastAsia="ＭＳ 明朝" w:hAnsi="ＭＳ 明朝" w:cs="ＭＳ 明朝" w:hint="eastAsia"/>
          <w:spacing w:val="-4"/>
          <w:sz w:val="16"/>
          <w:szCs w:val="16"/>
          <w:lang w:eastAsia="ja-JP"/>
        </w:rPr>
        <w:t>」</w:t>
      </w:r>
      <w:r w:rsidR="00041072" w:rsidRPr="291A752A">
        <w:rPr>
          <w:spacing w:val="-4"/>
          <w:sz w:val="16"/>
          <w:szCs w:val="16"/>
          <w:lang w:eastAsia="ja-JP"/>
        </w:rPr>
        <w:t>（アボ・アカデミー大学人権研究所、トゥルク、2012年）、278-280頁。</w:t>
      </w:r>
    </w:p>
  </w:footnote>
  <w:footnote w:id="4">
    <w:p w14:paraId="4BE88421" w14:textId="72BCA4F2" w:rsidR="00BB65A9" w:rsidRPr="00BB65A9" w:rsidRDefault="00BB65A9" w:rsidP="00041072">
      <w:pPr>
        <w:pStyle w:val="aa"/>
        <w:ind w:leftChars="644" w:left="1417"/>
        <w:rPr>
          <w:rFonts w:eastAsiaTheme="minorEastAsia" w:hint="eastAsia"/>
          <w:lang w:eastAsia="ja-JP"/>
        </w:rPr>
      </w:pPr>
      <w:r>
        <w:rPr>
          <w:rStyle w:val="ac"/>
        </w:rPr>
        <w:footnoteRef/>
      </w:r>
      <w:r>
        <w:t xml:space="preserve"> </w:t>
      </w:r>
      <w:r w:rsidR="00041072">
        <w:rPr>
          <w:spacing w:val="-4"/>
          <w:sz w:val="16"/>
          <w:lang w:eastAsia="ja-JP"/>
        </w:rPr>
        <w:t>世界保健機関（WHO）、</w:t>
      </w:r>
      <w:r w:rsidR="00041072">
        <w:rPr>
          <w:rFonts w:ascii="ＭＳ 明朝" w:eastAsia="ＭＳ 明朝" w:hAnsi="ＭＳ 明朝" w:cs="ＭＳ 明朝" w:hint="eastAsia"/>
          <w:spacing w:val="-4"/>
          <w:sz w:val="16"/>
          <w:lang w:eastAsia="ja-JP"/>
        </w:rPr>
        <w:t>「</w:t>
      </w:r>
      <w:r w:rsidR="00041072">
        <w:rPr>
          <w:spacing w:val="-4"/>
          <w:sz w:val="16"/>
          <w:lang w:eastAsia="ja-JP"/>
        </w:rPr>
        <w:t>高齢化と健康に関する世界報告</w:t>
      </w:r>
      <w:r w:rsidR="00041072">
        <w:rPr>
          <w:rFonts w:ascii="ＭＳ 明朝" w:eastAsia="ＭＳ 明朝" w:hAnsi="ＭＳ 明朝" w:cs="ＭＳ 明朝" w:hint="eastAsia"/>
          <w:spacing w:val="-4"/>
          <w:sz w:val="16"/>
          <w:lang w:eastAsia="ja-JP"/>
        </w:rPr>
        <w:t>」</w:t>
      </w:r>
      <w:r w:rsidR="00041072">
        <w:rPr>
          <w:spacing w:val="-4"/>
          <w:sz w:val="16"/>
          <w:lang w:eastAsia="ja-JP"/>
        </w:rPr>
        <w:t>（2015年）、3頁。</w:t>
      </w:r>
    </w:p>
  </w:footnote>
  <w:footnote w:id="5">
    <w:p w14:paraId="69B6E116" w14:textId="6CF384F1" w:rsidR="00CF0E9A" w:rsidRPr="00CF0E9A" w:rsidRDefault="00CF0E9A" w:rsidP="00CF0E9A">
      <w:pPr>
        <w:pStyle w:val="aa"/>
        <w:ind w:leftChars="644" w:left="1417"/>
        <w:rPr>
          <w:rFonts w:eastAsiaTheme="minorEastAsia" w:hint="eastAsia"/>
          <w:lang w:eastAsia="ja-JP"/>
        </w:rPr>
      </w:pPr>
      <w:r>
        <w:rPr>
          <w:rStyle w:val="ac"/>
        </w:rPr>
        <w:footnoteRef/>
      </w:r>
      <w:r>
        <w:t xml:space="preserve"> </w:t>
      </w:r>
      <w:r>
        <w:rPr>
          <w:rFonts w:ascii="ＭＳ 明朝" w:eastAsia="ＭＳ 明朝" w:hAnsi="ＭＳ 明朝" w:cs="ＭＳ 明朝" w:hint="eastAsia"/>
          <w:spacing w:val="-2"/>
          <w:sz w:val="16"/>
          <w:lang w:eastAsia="ja-JP"/>
        </w:rPr>
        <w:t>同上。</w:t>
      </w:r>
    </w:p>
  </w:footnote>
  <w:footnote w:id="6">
    <w:p w14:paraId="57E4ABE6" w14:textId="1E6C07F7" w:rsidR="0031682B" w:rsidRPr="0031682B" w:rsidRDefault="0031682B" w:rsidP="009012F9">
      <w:pPr>
        <w:pStyle w:val="aa"/>
        <w:ind w:leftChars="644" w:left="1417" w:rightChars="774" w:right="1703"/>
        <w:rPr>
          <w:rFonts w:eastAsiaTheme="minorEastAsia" w:hint="eastAsia"/>
          <w:sz w:val="16"/>
          <w:szCs w:val="16"/>
          <w:lang w:eastAsia="ja-JP"/>
        </w:rPr>
      </w:pPr>
      <w:r>
        <w:rPr>
          <w:rStyle w:val="ac"/>
        </w:rPr>
        <w:footnoteRef/>
      </w:r>
      <w:r>
        <w:t xml:space="preserve"> </w:t>
      </w:r>
      <w:r w:rsidRPr="0031682B">
        <w:rPr>
          <w:rFonts w:ascii="ＭＳ 明朝" w:eastAsia="ＭＳ 明朝" w:hAnsi="ＭＳ 明朝" w:cs="ＭＳ 明朝" w:hint="eastAsia"/>
          <w:sz w:val="16"/>
          <w:szCs w:val="16"/>
        </w:rPr>
        <w:t>ジェラルド・クイン</w:t>
      </w:r>
      <w:r>
        <w:rPr>
          <w:rFonts w:ascii="ＭＳ 明朝" w:eastAsia="ＭＳ 明朝" w:hAnsi="ＭＳ 明朝" w:cs="ＭＳ 明朝" w:hint="eastAsia"/>
          <w:sz w:val="16"/>
          <w:szCs w:val="16"/>
          <w:lang w:eastAsia="ja-JP"/>
        </w:rPr>
        <w:t>、</w:t>
      </w:r>
      <w:r w:rsidRPr="0031682B">
        <w:rPr>
          <w:rFonts w:ascii="ＭＳ 明朝" w:eastAsia="ＭＳ 明朝" w:hAnsi="ＭＳ 明朝" w:cs="ＭＳ 明朝" w:hint="eastAsia"/>
          <w:sz w:val="16"/>
          <w:szCs w:val="16"/>
        </w:rPr>
        <w:t>チャールズ・オマホニー、「障害と人権：国連の国際的人権保護の新分野　教科書」（アボ・アカデミー大学人権研究所、トゥルク、</w:t>
      </w:r>
      <w:r w:rsidRPr="0031682B">
        <w:rPr>
          <w:sz w:val="16"/>
          <w:szCs w:val="16"/>
        </w:rPr>
        <w:t>2012</w:t>
      </w:r>
      <w:r w:rsidRPr="0031682B">
        <w:rPr>
          <w:rFonts w:ascii="ＭＳ 明朝" w:eastAsia="ＭＳ 明朝" w:hAnsi="ＭＳ 明朝" w:cs="ＭＳ 明朝" w:hint="eastAsia"/>
          <w:sz w:val="16"/>
          <w:szCs w:val="16"/>
        </w:rPr>
        <w:t>年）、</w:t>
      </w:r>
      <w:r w:rsidRPr="0031682B">
        <w:rPr>
          <w:sz w:val="16"/>
          <w:szCs w:val="16"/>
        </w:rPr>
        <w:t>282-295</w:t>
      </w:r>
      <w:r w:rsidRPr="0031682B">
        <w:rPr>
          <w:rFonts w:ascii="ＭＳ 明朝" w:eastAsia="ＭＳ 明朝" w:hAnsi="ＭＳ 明朝" w:cs="ＭＳ 明朝" w:hint="eastAsia"/>
          <w:sz w:val="16"/>
          <w:szCs w:val="16"/>
        </w:rPr>
        <w:t>ページ。</w:t>
      </w:r>
    </w:p>
  </w:footnote>
  <w:footnote w:id="7">
    <w:p w14:paraId="3C8C9A24" w14:textId="7B496D2C" w:rsidR="00A2271F" w:rsidRPr="007515D2" w:rsidRDefault="00A2271F" w:rsidP="00A2271F">
      <w:pPr>
        <w:pStyle w:val="aa"/>
        <w:ind w:leftChars="644" w:left="1417"/>
        <w:rPr>
          <w:rFonts w:eastAsiaTheme="minorEastAsia" w:hint="eastAsia"/>
          <w:sz w:val="16"/>
          <w:szCs w:val="16"/>
          <w:lang w:eastAsia="ja-JP"/>
        </w:rPr>
      </w:pPr>
      <w:r w:rsidRPr="007515D2">
        <w:rPr>
          <w:rStyle w:val="ac"/>
          <w:sz w:val="16"/>
          <w:szCs w:val="16"/>
        </w:rPr>
        <w:footnoteRef/>
      </w:r>
      <w:r w:rsidRPr="007515D2">
        <w:rPr>
          <w:sz w:val="16"/>
          <w:szCs w:val="16"/>
        </w:rPr>
        <w:t xml:space="preserve"> </w:t>
      </w:r>
      <w:r w:rsidR="007515D2" w:rsidRPr="007515D2">
        <w:rPr>
          <w:rFonts w:ascii="ＭＳ 明朝" w:eastAsia="ＭＳ 明朝" w:hAnsi="ＭＳ 明朝" w:cs="ＭＳ 明朝" w:hint="eastAsia"/>
          <w:sz w:val="16"/>
          <w:szCs w:val="16"/>
        </w:rPr>
        <w:t>同上、</w:t>
      </w:r>
      <w:r w:rsidR="007515D2" w:rsidRPr="007515D2">
        <w:rPr>
          <w:sz w:val="16"/>
          <w:szCs w:val="16"/>
        </w:rPr>
        <w:t>268-269</w:t>
      </w:r>
      <w:r w:rsidR="007515D2" w:rsidRPr="007515D2">
        <w:rPr>
          <w:rFonts w:ascii="ＭＳ 明朝" w:eastAsia="ＭＳ 明朝" w:hAnsi="ＭＳ 明朝" w:cs="ＭＳ 明朝" w:hint="eastAsia"/>
          <w:sz w:val="16"/>
          <w:szCs w:val="16"/>
        </w:rPr>
        <w:t>ページ。</w:t>
      </w:r>
    </w:p>
  </w:footnote>
  <w:footnote w:id="8">
    <w:p w14:paraId="33BFE577" w14:textId="03BD0EFB" w:rsidR="007515D2" w:rsidRPr="007515D2" w:rsidRDefault="007515D2" w:rsidP="007515D2">
      <w:pPr>
        <w:pStyle w:val="aa"/>
        <w:ind w:leftChars="644" w:left="1417" w:rightChars="774" w:right="1703"/>
        <w:rPr>
          <w:rFonts w:eastAsiaTheme="minorEastAsia" w:hint="eastAsia"/>
          <w:sz w:val="16"/>
          <w:szCs w:val="16"/>
          <w:lang w:eastAsia="ja-JP"/>
        </w:rPr>
      </w:pPr>
      <w:r w:rsidRPr="007515D2">
        <w:rPr>
          <w:rStyle w:val="ac"/>
          <w:sz w:val="16"/>
          <w:szCs w:val="16"/>
        </w:rPr>
        <w:footnoteRef/>
      </w:r>
      <w:r w:rsidRPr="007515D2">
        <w:rPr>
          <w:sz w:val="16"/>
          <w:szCs w:val="16"/>
        </w:rPr>
        <w:t xml:space="preserve"> </w:t>
      </w:r>
      <w:r w:rsidRPr="007515D2">
        <w:rPr>
          <w:rFonts w:ascii="ＭＳ 明朝" w:eastAsia="ＭＳ 明朝" w:hAnsi="ＭＳ 明朝" w:cs="ＭＳ 明朝" w:hint="eastAsia"/>
          <w:sz w:val="16"/>
          <w:szCs w:val="16"/>
        </w:rPr>
        <w:t>チャールズ・オマホニー、「法的能力と拘禁：人権監視機関の査察基準に対する国連障害者権利条約の意義」（</w:t>
      </w:r>
      <w:r w:rsidRPr="007515D2">
        <w:rPr>
          <w:sz w:val="16"/>
          <w:szCs w:val="16"/>
        </w:rPr>
        <w:t>2012</w:t>
      </w:r>
      <w:r w:rsidRPr="007515D2">
        <w:rPr>
          <w:rFonts w:ascii="ＭＳ 明朝" w:eastAsia="ＭＳ 明朝" w:hAnsi="ＭＳ 明朝" w:cs="ＭＳ 明朝" w:hint="eastAsia"/>
          <w:sz w:val="16"/>
          <w:szCs w:val="16"/>
        </w:rPr>
        <w:t>）</w:t>
      </w:r>
      <w:r w:rsidRPr="007515D2">
        <w:rPr>
          <w:sz w:val="16"/>
          <w:szCs w:val="16"/>
        </w:rPr>
        <w:t>16(6)</w:t>
      </w:r>
      <w:r w:rsidRPr="007515D2">
        <w:rPr>
          <w:rFonts w:ascii="ＭＳ 明朝" w:eastAsia="ＭＳ 明朝" w:hAnsi="ＭＳ 明朝" w:cs="ＭＳ 明朝" w:hint="eastAsia"/>
          <w:sz w:val="16"/>
          <w:szCs w:val="16"/>
        </w:rPr>
        <w:t>『国際人権ジャーナル』</w:t>
      </w:r>
      <w:r w:rsidRPr="007515D2">
        <w:rPr>
          <w:sz w:val="16"/>
          <w:szCs w:val="16"/>
        </w:rPr>
        <w:t>883</w:t>
      </w:r>
      <w:r w:rsidRPr="007515D2">
        <w:rPr>
          <w:rFonts w:ascii="ＭＳ 明朝" w:eastAsia="ＭＳ 明朝" w:hAnsi="ＭＳ 明朝" w:cs="ＭＳ 明朝" w:hint="eastAsia"/>
          <w:sz w:val="16"/>
          <w:szCs w:val="16"/>
        </w:rPr>
        <w:t>頁。</w:t>
      </w:r>
    </w:p>
  </w:footnote>
  <w:footnote w:id="9">
    <w:p w14:paraId="3D38C07A" w14:textId="69A48176" w:rsidR="007515D2" w:rsidRPr="007515D2" w:rsidRDefault="007515D2" w:rsidP="007515D2">
      <w:pPr>
        <w:pStyle w:val="aa"/>
        <w:ind w:leftChars="644" w:left="1417" w:rightChars="774" w:right="1703"/>
        <w:rPr>
          <w:rFonts w:eastAsiaTheme="minorEastAsia" w:hint="eastAsia"/>
          <w:sz w:val="16"/>
          <w:szCs w:val="16"/>
          <w:lang w:eastAsia="ja-JP"/>
        </w:rPr>
      </w:pPr>
      <w:r w:rsidRPr="007515D2">
        <w:rPr>
          <w:rStyle w:val="ac"/>
          <w:sz w:val="16"/>
          <w:szCs w:val="16"/>
        </w:rPr>
        <w:footnoteRef/>
      </w:r>
      <w:r w:rsidRPr="007515D2">
        <w:rPr>
          <w:sz w:val="16"/>
          <w:szCs w:val="16"/>
        </w:rPr>
        <w:t xml:space="preserve"> </w:t>
      </w:r>
      <w:r w:rsidRPr="007515D2">
        <w:rPr>
          <w:rFonts w:ascii="ＭＳ 明朝" w:eastAsia="ＭＳ 明朝" w:hAnsi="ＭＳ 明朝" w:cs="ＭＳ 明朝" w:hint="eastAsia"/>
          <w:sz w:val="16"/>
          <w:szCs w:val="16"/>
        </w:rPr>
        <w:t>障害者権利委員会、第</w:t>
      </w:r>
      <w:r w:rsidRPr="007515D2">
        <w:rPr>
          <w:sz w:val="16"/>
          <w:szCs w:val="16"/>
        </w:rPr>
        <w:t>12</w:t>
      </w:r>
      <w:r w:rsidRPr="007515D2">
        <w:rPr>
          <w:rFonts w:ascii="ＭＳ 明朝" w:eastAsia="ＭＳ 明朝" w:hAnsi="ＭＳ 明朝" w:cs="ＭＳ 明朝" w:hint="eastAsia"/>
          <w:sz w:val="16"/>
          <w:szCs w:val="16"/>
        </w:rPr>
        <w:t>条に関する一般</w:t>
      </w:r>
      <w:r w:rsidR="004447F9">
        <w:rPr>
          <w:rFonts w:ascii="ＭＳ 明朝" w:eastAsia="ＭＳ 明朝" w:hAnsi="ＭＳ 明朝" w:cs="ＭＳ 明朝" w:hint="eastAsia"/>
          <w:sz w:val="16"/>
          <w:szCs w:val="16"/>
          <w:lang w:eastAsia="ja-JP"/>
        </w:rPr>
        <w:t>的意見</w:t>
      </w:r>
      <w:r w:rsidRPr="007515D2">
        <w:rPr>
          <w:rFonts w:ascii="ＭＳ 明朝" w:eastAsia="ＭＳ 明朝" w:hAnsi="ＭＳ 明朝" w:cs="ＭＳ 明朝" w:hint="eastAsia"/>
          <w:sz w:val="16"/>
          <w:szCs w:val="16"/>
        </w:rPr>
        <w:t>第</w:t>
      </w:r>
      <w:r w:rsidRPr="007515D2">
        <w:rPr>
          <w:sz w:val="16"/>
          <w:szCs w:val="16"/>
        </w:rPr>
        <w:t>1</w:t>
      </w:r>
      <w:r w:rsidRPr="007515D2">
        <w:rPr>
          <w:rFonts w:ascii="ＭＳ 明朝" w:eastAsia="ＭＳ 明朝" w:hAnsi="ＭＳ 明朝" w:cs="ＭＳ 明朝" w:hint="eastAsia"/>
          <w:sz w:val="16"/>
          <w:szCs w:val="16"/>
        </w:rPr>
        <w:t>号（</w:t>
      </w:r>
      <w:r w:rsidRPr="007515D2">
        <w:rPr>
          <w:sz w:val="16"/>
          <w:szCs w:val="16"/>
        </w:rPr>
        <w:t>2014</w:t>
      </w:r>
      <w:r w:rsidRPr="007515D2">
        <w:rPr>
          <w:rFonts w:ascii="ＭＳ 明朝" w:eastAsia="ＭＳ 明朝" w:hAnsi="ＭＳ 明朝" w:cs="ＭＳ 明朝" w:hint="eastAsia"/>
          <w:sz w:val="16"/>
          <w:szCs w:val="16"/>
        </w:rPr>
        <w:t>年）：法律面での平等な承認、国連文書</w:t>
      </w:r>
      <w:r w:rsidRPr="007515D2">
        <w:rPr>
          <w:sz w:val="16"/>
          <w:szCs w:val="16"/>
        </w:rPr>
        <w:t>CRPD/C/GC/1</w:t>
      </w:r>
      <w:r w:rsidRPr="007515D2">
        <w:rPr>
          <w:rFonts w:ascii="ＭＳ 明朝" w:eastAsia="ＭＳ 明朝" w:hAnsi="ＭＳ 明朝" w:cs="ＭＳ 明朝" w:hint="eastAsia"/>
          <w:sz w:val="16"/>
          <w:szCs w:val="16"/>
        </w:rPr>
        <w:t>（</w:t>
      </w:r>
      <w:r w:rsidRPr="007515D2">
        <w:rPr>
          <w:sz w:val="16"/>
          <w:szCs w:val="16"/>
        </w:rPr>
        <w:t>2014</w:t>
      </w:r>
      <w:r w:rsidRPr="007515D2">
        <w:rPr>
          <w:rFonts w:ascii="ＭＳ 明朝" w:eastAsia="ＭＳ 明朝" w:hAnsi="ＭＳ 明朝" w:cs="ＭＳ 明朝" w:hint="eastAsia"/>
          <w:sz w:val="16"/>
          <w:szCs w:val="16"/>
        </w:rPr>
        <w:t>年</w:t>
      </w:r>
      <w:r w:rsidRPr="007515D2">
        <w:rPr>
          <w:sz w:val="16"/>
          <w:szCs w:val="16"/>
        </w:rPr>
        <w:t>4</w:t>
      </w:r>
      <w:r w:rsidRPr="007515D2">
        <w:rPr>
          <w:rFonts w:ascii="ＭＳ 明朝" w:eastAsia="ＭＳ 明朝" w:hAnsi="ＭＳ 明朝" w:cs="ＭＳ 明朝" w:hint="eastAsia"/>
          <w:sz w:val="16"/>
          <w:szCs w:val="16"/>
        </w:rPr>
        <w:t>月</w:t>
      </w:r>
      <w:r w:rsidRPr="007515D2">
        <w:rPr>
          <w:sz w:val="16"/>
          <w:szCs w:val="16"/>
        </w:rPr>
        <w:t>11</w:t>
      </w:r>
      <w:r w:rsidRPr="007515D2">
        <w:rPr>
          <w:rFonts w:ascii="ＭＳ 明朝" w:eastAsia="ＭＳ 明朝" w:hAnsi="ＭＳ 明朝" w:cs="ＭＳ 明朝" w:hint="eastAsia"/>
          <w:sz w:val="16"/>
          <w:szCs w:val="16"/>
        </w:rPr>
        <w:t>日）を参照。</w:t>
      </w:r>
    </w:p>
  </w:footnote>
  <w:footnote w:id="10">
    <w:p w14:paraId="2FC20289" w14:textId="32B8FBDD" w:rsidR="00B77DEF" w:rsidRPr="00B77DEF" w:rsidRDefault="00B77DEF" w:rsidP="00B77DEF">
      <w:pPr>
        <w:pStyle w:val="aa"/>
        <w:ind w:leftChars="644" w:left="1417" w:rightChars="839" w:right="1846"/>
        <w:rPr>
          <w:rFonts w:eastAsiaTheme="minorEastAsia" w:hint="eastAsia"/>
          <w:sz w:val="16"/>
          <w:szCs w:val="16"/>
          <w:lang w:eastAsia="ja-JP"/>
        </w:rPr>
      </w:pPr>
      <w:r w:rsidRPr="00B77DEF">
        <w:rPr>
          <w:rStyle w:val="ac"/>
          <w:sz w:val="16"/>
          <w:szCs w:val="16"/>
        </w:rPr>
        <w:footnoteRef/>
      </w:r>
      <w:r w:rsidRPr="00B77DEF">
        <w:rPr>
          <w:sz w:val="16"/>
          <w:szCs w:val="16"/>
        </w:rPr>
        <w:t xml:space="preserve"> </w:t>
      </w:r>
      <w:r>
        <w:rPr>
          <w:rFonts w:ascii="ＭＳ 明朝" w:eastAsia="ＭＳ 明朝" w:hAnsi="ＭＳ 明朝" w:cs="ＭＳ 明朝" w:hint="eastAsia"/>
          <w:sz w:val="16"/>
          <w:szCs w:val="16"/>
          <w:lang w:eastAsia="ja-JP"/>
        </w:rPr>
        <w:t>P.</w:t>
      </w:r>
      <w:r w:rsidRPr="00B77DEF">
        <w:rPr>
          <w:rFonts w:ascii="ＭＳ 明朝" w:eastAsia="ＭＳ 明朝" w:hAnsi="ＭＳ 明朝" w:cs="ＭＳ 明朝" w:hint="eastAsia"/>
          <w:sz w:val="16"/>
          <w:szCs w:val="16"/>
        </w:rPr>
        <w:t>グッディングおよび</w:t>
      </w:r>
      <w:r>
        <w:rPr>
          <w:rFonts w:ascii="ＭＳ 明朝" w:eastAsia="ＭＳ 明朝" w:hAnsi="ＭＳ 明朝" w:cs="ＭＳ 明朝" w:hint="eastAsia"/>
          <w:sz w:val="16"/>
          <w:szCs w:val="16"/>
          <w:lang w:eastAsia="ja-JP"/>
        </w:rPr>
        <w:t>C</w:t>
      </w:r>
      <w:r w:rsidR="00B86519">
        <w:rPr>
          <w:rFonts w:ascii="ＭＳ 明朝" w:eastAsia="ＭＳ 明朝" w:hAnsi="ＭＳ 明朝" w:cs="ＭＳ 明朝" w:hint="eastAsia"/>
          <w:sz w:val="16"/>
          <w:szCs w:val="16"/>
          <w:lang w:eastAsia="ja-JP"/>
        </w:rPr>
        <w:t>.</w:t>
      </w:r>
      <w:r w:rsidRPr="00B77DEF">
        <w:rPr>
          <w:rFonts w:ascii="ＭＳ 明朝" w:eastAsia="ＭＳ 明朝" w:hAnsi="ＭＳ 明朝" w:cs="ＭＳ 明朝" w:hint="eastAsia"/>
          <w:sz w:val="16"/>
          <w:szCs w:val="16"/>
        </w:rPr>
        <w:t>オマホニー「裁判を受ける適格性欠如に関する法律と障害者権利条約：イングランド、ウェールズ、北アイルランド</w:t>
      </w:r>
      <w:r w:rsidR="00F903A4">
        <w:rPr>
          <w:rFonts w:ascii="ＭＳ 明朝" w:eastAsia="ＭＳ 明朝" w:hAnsi="ＭＳ 明朝" w:cs="ＭＳ 明朝" w:hint="eastAsia"/>
          <w:sz w:val="16"/>
          <w:szCs w:val="16"/>
          <w:lang w:eastAsia="ja-JP"/>
        </w:rPr>
        <w:t>、</w:t>
      </w:r>
      <w:r w:rsidRPr="00B77DEF">
        <w:rPr>
          <w:rFonts w:ascii="ＭＳ 明朝" w:eastAsia="ＭＳ 明朝" w:hAnsi="ＭＳ 明朝" w:cs="ＭＳ 明朝" w:hint="eastAsia"/>
          <w:sz w:val="16"/>
          <w:szCs w:val="16"/>
        </w:rPr>
        <w:t>オーストラリア</w:t>
      </w:r>
      <w:r w:rsidR="00F903A4">
        <w:rPr>
          <w:rFonts w:ascii="ＭＳ 明朝" w:eastAsia="ＭＳ 明朝" w:hAnsi="ＭＳ 明朝" w:cs="ＭＳ 明朝" w:hint="eastAsia"/>
          <w:sz w:val="16"/>
          <w:szCs w:val="16"/>
          <w:lang w:eastAsia="ja-JP"/>
        </w:rPr>
        <w:t>の</w:t>
      </w:r>
      <w:r w:rsidRPr="00B77DEF">
        <w:rPr>
          <w:rFonts w:ascii="ＭＳ 明朝" w:eastAsia="ＭＳ 明朝" w:hAnsi="ＭＳ 明朝" w:cs="ＭＳ 明朝" w:hint="eastAsia"/>
          <w:sz w:val="16"/>
          <w:szCs w:val="16"/>
        </w:rPr>
        <w:t>改革の比較」（</w:t>
      </w:r>
      <w:r w:rsidRPr="00B77DEF">
        <w:rPr>
          <w:sz w:val="16"/>
          <w:szCs w:val="16"/>
        </w:rPr>
        <w:t>2016</w:t>
      </w:r>
      <w:r w:rsidRPr="00B77DEF">
        <w:rPr>
          <w:rFonts w:ascii="ＭＳ 明朝" w:eastAsia="ＭＳ 明朝" w:hAnsi="ＭＳ 明朝" w:cs="ＭＳ 明朝" w:hint="eastAsia"/>
          <w:sz w:val="16"/>
          <w:szCs w:val="16"/>
        </w:rPr>
        <w:t>年）</w:t>
      </w:r>
      <w:r w:rsidRPr="00B77DEF">
        <w:rPr>
          <w:sz w:val="16"/>
          <w:szCs w:val="16"/>
        </w:rPr>
        <w:t>44</w:t>
      </w:r>
      <w:r w:rsidRPr="00B77DEF">
        <w:rPr>
          <w:rFonts w:ascii="ＭＳ 明朝" w:eastAsia="ＭＳ 明朝" w:hAnsi="ＭＳ 明朝" w:cs="ＭＳ 明朝" w:hint="eastAsia"/>
          <w:sz w:val="16"/>
          <w:szCs w:val="16"/>
        </w:rPr>
        <w:t>『国際法・犯罪・司法ジャーナル』</w:t>
      </w:r>
      <w:r w:rsidRPr="00B77DEF">
        <w:rPr>
          <w:sz w:val="16"/>
          <w:szCs w:val="16"/>
        </w:rPr>
        <w:t>122</w:t>
      </w:r>
      <w:r w:rsidRPr="00B77DEF">
        <w:rPr>
          <w:rFonts w:ascii="ＭＳ 明朝" w:eastAsia="ＭＳ 明朝" w:hAnsi="ＭＳ 明朝" w:cs="ＭＳ 明朝" w:hint="eastAsia"/>
          <w:sz w:val="16"/>
          <w:szCs w:val="16"/>
        </w:rPr>
        <w:t>頁。</w:t>
      </w:r>
    </w:p>
  </w:footnote>
  <w:footnote w:id="11">
    <w:p w14:paraId="23CCABCC" w14:textId="4CED3EB9" w:rsidR="004447F9" w:rsidRPr="004447F9" w:rsidRDefault="004447F9" w:rsidP="004447F9">
      <w:pPr>
        <w:pStyle w:val="aa"/>
        <w:ind w:leftChars="644" w:left="1417"/>
        <w:rPr>
          <w:rFonts w:eastAsiaTheme="minorEastAsia" w:hint="eastAsia"/>
          <w:sz w:val="18"/>
          <w:szCs w:val="18"/>
          <w:lang w:eastAsia="ja-JP"/>
        </w:rPr>
      </w:pPr>
      <w:r w:rsidRPr="004447F9">
        <w:rPr>
          <w:rStyle w:val="ac"/>
          <w:sz w:val="18"/>
          <w:szCs w:val="18"/>
        </w:rPr>
        <w:footnoteRef/>
      </w:r>
      <w:r w:rsidRPr="004447F9">
        <w:rPr>
          <w:sz w:val="18"/>
          <w:szCs w:val="18"/>
        </w:rPr>
        <w:t xml:space="preserve"> </w:t>
      </w:r>
      <w:r>
        <w:rPr>
          <w:w w:val="90"/>
          <w:sz w:val="16"/>
          <w:lang w:eastAsia="ja-JP"/>
        </w:rPr>
        <w:t>障害者の権利委員会、</w:t>
      </w:r>
      <w:r>
        <w:rPr>
          <w:rFonts w:ascii="ＭＳ 明朝" w:eastAsia="ＭＳ 明朝" w:hAnsi="ＭＳ 明朝" w:cs="ＭＳ 明朝" w:hint="eastAsia"/>
          <w:i/>
          <w:w w:val="90"/>
          <w:sz w:val="16"/>
          <w:lang w:eastAsia="ja-JP"/>
        </w:rPr>
        <w:t>「</w:t>
      </w:r>
      <w:r>
        <w:rPr>
          <w:i/>
          <w:w w:val="90"/>
          <w:sz w:val="16"/>
          <w:lang w:eastAsia="ja-JP"/>
        </w:rPr>
        <w:t>障害者権利条約第14条に関する指針：障害者の自由及び安全に対する権利</w:t>
      </w:r>
      <w:r>
        <w:rPr>
          <w:rFonts w:ascii="ＭＳ 明朝" w:eastAsia="ＭＳ 明朝" w:hAnsi="ＭＳ 明朝" w:cs="ＭＳ 明朝" w:hint="eastAsia"/>
          <w:i/>
          <w:w w:val="90"/>
          <w:sz w:val="16"/>
          <w:lang w:eastAsia="ja-JP"/>
        </w:rPr>
        <w:t>」</w:t>
      </w:r>
      <w:r>
        <w:rPr>
          <w:spacing w:val="-2"/>
          <w:w w:val="90"/>
          <w:sz w:val="16"/>
          <w:lang w:eastAsia="ja-JP"/>
        </w:rPr>
        <w:t>（2015年9月）、パラ21。</w:t>
      </w:r>
    </w:p>
  </w:footnote>
  <w:footnote w:id="12">
    <w:p w14:paraId="2417040E" w14:textId="73F4D5DF" w:rsidR="004447F9" w:rsidRPr="004447F9" w:rsidRDefault="004447F9" w:rsidP="004447F9">
      <w:pPr>
        <w:pStyle w:val="aa"/>
        <w:ind w:leftChars="644" w:left="1417"/>
        <w:rPr>
          <w:rFonts w:eastAsiaTheme="minorEastAsia" w:hint="eastAsia"/>
          <w:sz w:val="18"/>
          <w:szCs w:val="18"/>
          <w:lang w:eastAsia="ja-JP"/>
        </w:rPr>
      </w:pPr>
      <w:r w:rsidRPr="004447F9">
        <w:rPr>
          <w:rStyle w:val="ac"/>
          <w:sz w:val="18"/>
          <w:szCs w:val="18"/>
        </w:rPr>
        <w:footnoteRef/>
      </w:r>
      <w:r w:rsidRPr="004447F9">
        <w:rPr>
          <w:sz w:val="18"/>
          <w:szCs w:val="18"/>
        </w:rPr>
        <w:t xml:space="preserve"> </w:t>
      </w:r>
      <w:r w:rsidRPr="004447F9">
        <w:rPr>
          <w:rFonts w:ascii="ＭＳ 明朝" w:eastAsia="ＭＳ 明朝" w:hAnsi="ＭＳ 明朝" w:cs="ＭＳ 明朝" w:hint="eastAsia"/>
          <w:sz w:val="16"/>
          <w:szCs w:val="16"/>
        </w:rPr>
        <w:t>欧州評議会「欧州刑務所規則」（欧州評議会出版局</w:t>
      </w:r>
      <w:r w:rsidRPr="004447F9">
        <w:rPr>
          <w:sz w:val="16"/>
          <w:szCs w:val="16"/>
        </w:rPr>
        <w:t>2006</w:t>
      </w:r>
      <w:r w:rsidRPr="004447F9">
        <w:rPr>
          <w:rFonts w:ascii="ＭＳ 明朝" w:eastAsia="ＭＳ 明朝" w:hAnsi="ＭＳ 明朝" w:cs="ＭＳ 明朝" w:hint="eastAsia"/>
          <w:sz w:val="16"/>
          <w:szCs w:val="16"/>
        </w:rPr>
        <w:t>年、</w:t>
      </w:r>
      <w:r w:rsidRPr="004447F9">
        <w:rPr>
          <w:sz w:val="16"/>
          <w:szCs w:val="16"/>
        </w:rPr>
        <w:t>2020</w:t>
      </w:r>
      <w:r w:rsidRPr="004447F9">
        <w:rPr>
          <w:rFonts w:ascii="ＭＳ 明朝" w:eastAsia="ＭＳ 明朝" w:hAnsi="ＭＳ 明朝" w:cs="ＭＳ 明朝" w:hint="eastAsia"/>
          <w:sz w:val="16"/>
          <w:szCs w:val="16"/>
        </w:rPr>
        <w:t>年改訂版）、</w:t>
      </w:r>
      <w:r w:rsidRPr="004447F9">
        <w:rPr>
          <w:sz w:val="16"/>
          <w:szCs w:val="16"/>
        </w:rPr>
        <w:t>129</w:t>
      </w:r>
      <w:r w:rsidRPr="004447F9">
        <w:rPr>
          <w:rFonts w:ascii="ＭＳ 明朝" w:eastAsia="ＭＳ 明朝" w:hAnsi="ＭＳ 明朝" w:cs="ＭＳ 明朝" w:hint="eastAsia"/>
          <w:sz w:val="16"/>
          <w:szCs w:val="16"/>
        </w:rPr>
        <w:t>頁。</w:t>
      </w:r>
    </w:p>
  </w:footnote>
  <w:footnote w:id="13">
    <w:p w14:paraId="79409FE5" w14:textId="7DA32E17" w:rsidR="004447F9" w:rsidRPr="004447F9" w:rsidRDefault="004447F9" w:rsidP="009012F9">
      <w:pPr>
        <w:pStyle w:val="aa"/>
        <w:ind w:leftChars="644" w:left="1417" w:rightChars="968" w:right="2130"/>
        <w:rPr>
          <w:rFonts w:eastAsiaTheme="minorEastAsia" w:hint="eastAsia"/>
          <w:sz w:val="16"/>
          <w:szCs w:val="16"/>
          <w:lang w:eastAsia="ja-JP"/>
        </w:rPr>
      </w:pPr>
      <w:r w:rsidRPr="004447F9">
        <w:rPr>
          <w:rStyle w:val="ac"/>
          <w:sz w:val="16"/>
          <w:szCs w:val="16"/>
        </w:rPr>
        <w:footnoteRef/>
      </w:r>
      <w:r w:rsidRPr="004447F9">
        <w:rPr>
          <w:sz w:val="16"/>
          <w:szCs w:val="16"/>
        </w:rPr>
        <w:t xml:space="preserve"> </w:t>
      </w:r>
      <w:r w:rsidR="00763ADE">
        <w:rPr>
          <w:rFonts w:ascii="ＭＳ 明朝" w:eastAsia="ＭＳ 明朝" w:hAnsi="ＭＳ 明朝" w:cs="ＭＳ 明朝" w:hint="eastAsia"/>
          <w:w w:val="90"/>
          <w:sz w:val="16"/>
          <w:szCs w:val="16"/>
          <w:lang w:eastAsia="ja-JP"/>
        </w:rPr>
        <w:t>国際刑事改革</w:t>
      </w:r>
      <w:r w:rsidRPr="004447F9">
        <w:rPr>
          <w:w w:val="90"/>
          <w:sz w:val="16"/>
          <w:szCs w:val="16"/>
          <w:lang w:eastAsia="ja-JP"/>
        </w:rPr>
        <w:t>、</w:t>
      </w:r>
      <w:r w:rsidR="00763ADE">
        <w:rPr>
          <w:rFonts w:ascii="ＭＳ 明朝" w:eastAsia="ＭＳ 明朝" w:hAnsi="ＭＳ 明朝" w:cs="ＭＳ 明朝" w:hint="eastAsia"/>
          <w:i/>
          <w:w w:val="90"/>
          <w:sz w:val="16"/>
          <w:szCs w:val="16"/>
          <w:lang w:eastAsia="ja-JP"/>
        </w:rPr>
        <w:t>「</w:t>
      </w:r>
      <w:r w:rsidRPr="004447F9">
        <w:rPr>
          <w:i/>
          <w:w w:val="90"/>
          <w:sz w:val="16"/>
          <w:szCs w:val="16"/>
          <w:lang w:eastAsia="ja-JP"/>
        </w:rPr>
        <w:t>拘禁下にある高齢者：予防的</w:t>
      </w:r>
      <w:r w:rsidR="00763ADE">
        <w:rPr>
          <w:rFonts w:ascii="ＭＳ 明朝" w:eastAsia="ＭＳ 明朝" w:hAnsi="ＭＳ 明朝" w:cs="ＭＳ 明朝" w:hint="eastAsia"/>
          <w:i/>
          <w:w w:val="90"/>
          <w:sz w:val="16"/>
          <w:szCs w:val="16"/>
          <w:lang w:eastAsia="ja-JP"/>
        </w:rPr>
        <w:t>監視</w:t>
      </w:r>
      <w:r w:rsidRPr="004447F9">
        <w:rPr>
          <w:i/>
          <w:w w:val="90"/>
          <w:sz w:val="16"/>
          <w:szCs w:val="16"/>
          <w:lang w:eastAsia="ja-JP"/>
        </w:rPr>
        <w:t>の枠組み</w:t>
      </w:r>
      <w:r w:rsidR="00763ADE">
        <w:rPr>
          <w:rFonts w:ascii="ＭＳ 明朝" w:eastAsia="ＭＳ 明朝" w:hAnsi="ＭＳ 明朝" w:cs="ＭＳ 明朝" w:hint="eastAsia"/>
          <w:i/>
          <w:w w:val="90"/>
          <w:sz w:val="16"/>
          <w:szCs w:val="16"/>
          <w:lang w:eastAsia="ja-JP"/>
        </w:rPr>
        <w:t>」</w:t>
      </w:r>
      <w:r w:rsidRPr="004447F9">
        <w:rPr>
          <w:w w:val="90"/>
          <w:sz w:val="16"/>
          <w:szCs w:val="16"/>
          <w:lang w:eastAsia="ja-JP"/>
        </w:rPr>
        <w:t>（PRI2021年）。</w:t>
      </w:r>
      <w:r w:rsidRPr="004447F9">
        <w:rPr>
          <w:w w:val="90"/>
          <w:sz w:val="16"/>
          <w:szCs w:val="16"/>
        </w:rPr>
        <w:t>参照：</w:t>
      </w:r>
      <w:hyperlink r:id="rId1">
        <w:r w:rsidRPr="004447F9">
          <w:rPr>
            <w:color w:val="467885"/>
            <w:spacing w:val="-2"/>
            <w:sz w:val="16"/>
            <w:szCs w:val="16"/>
            <w:u w:val="single" w:color="467885"/>
          </w:rPr>
          <w:t>https://cdn.penalreform.org/wp-content/uploads/2021/06/PRI_DMT-Older-persons_WEB.pdf</w:t>
        </w:r>
      </w:hyperlink>
    </w:p>
  </w:footnote>
  <w:footnote w:id="14">
    <w:p w14:paraId="787136BF" w14:textId="2E1D6040" w:rsidR="00763ADE" w:rsidRPr="00763ADE" w:rsidRDefault="00763ADE" w:rsidP="00763ADE">
      <w:pPr>
        <w:pStyle w:val="aa"/>
        <w:ind w:leftChars="644" w:left="1417"/>
        <w:rPr>
          <w:rFonts w:eastAsiaTheme="minorEastAsia" w:hint="eastAsia"/>
          <w:sz w:val="16"/>
          <w:szCs w:val="16"/>
          <w:lang w:eastAsia="ja-JP"/>
        </w:rPr>
      </w:pPr>
      <w:r w:rsidRPr="00763ADE">
        <w:rPr>
          <w:rStyle w:val="ac"/>
          <w:sz w:val="16"/>
          <w:szCs w:val="16"/>
        </w:rPr>
        <w:footnoteRef/>
      </w:r>
      <w:r w:rsidRPr="00763ADE">
        <w:rPr>
          <w:sz w:val="16"/>
          <w:szCs w:val="16"/>
        </w:rPr>
        <w:t xml:space="preserve"> </w:t>
      </w:r>
      <w:r>
        <w:rPr>
          <w:w w:val="90"/>
          <w:sz w:val="16"/>
          <w:lang w:eastAsia="ja-JP"/>
        </w:rPr>
        <w:t>欧州評議会、</w:t>
      </w:r>
      <w:r w:rsidRPr="00763ADE">
        <w:rPr>
          <w:rFonts w:ascii="ＭＳ 明朝" w:eastAsia="ＭＳ 明朝" w:hAnsi="ＭＳ 明朝" w:cs="ＭＳ 明朝" w:hint="eastAsia"/>
          <w:i/>
          <w:iCs/>
          <w:w w:val="90"/>
          <w:sz w:val="16"/>
          <w:lang w:eastAsia="ja-JP"/>
        </w:rPr>
        <w:t>「</w:t>
      </w:r>
      <w:r>
        <w:rPr>
          <w:i/>
          <w:w w:val="90"/>
          <w:sz w:val="16"/>
          <w:lang w:eastAsia="ja-JP"/>
        </w:rPr>
        <w:t>欧州刑務所規則</w:t>
      </w:r>
      <w:r>
        <w:rPr>
          <w:rFonts w:ascii="ＭＳ 明朝" w:eastAsia="ＭＳ 明朝" w:hAnsi="ＭＳ 明朝" w:cs="ＭＳ 明朝" w:hint="eastAsia"/>
          <w:i/>
          <w:w w:val="90"/>
          <w:sz w:val="16"/>
          <w:lang w:eastAsia="ja-JP"/>
        </w:rPr>
        <w:t>」</w:t>
      </w:r>
      <w:r>
        <w:rPr>
          <w:w w:val="90"/>
          <w:sz w:val="16"/>
          <w:lang w:eastAsia="ja-JP"/>
        </w:rPr>
        <w:t>（欧州評議会出版局、2006年、2020年改訂版）、129ページ。</w:t>
      </w:r>
    </w:p>
  </w:footnote>
  <w:footnote w:id="15">
    <w:p w14:paraId="13C9253A" w14:textId="7BEE0ACD" w:rsidR="00763ADE" w:rsidRPr="00763ADE" w:rsidRDefault="00763ADE" w:rsidP="00763ADE">
      <w:pPr>
        <w:pStyle w:val="aa"/>
        <w:ind w:leftChars="644" w:left="1417"/>
        <w:rPr>
          <w:rFonts w:eastAsiaTheme="minorEastAsia" w:hint="eastAsia"/>
          <w:sz w:val="16"/>
          <w:szCs w:val="16"/>
          <w:lang w:eastAsia="ja-JP"/>
        </w:rPr>
      </w:pPr>
      <w:r w:rsidRPr="00763ADE">
        <w:rPr>
          <w:rStyle w:val="ac"/>
          <w:sz w:val="16"/>
          <w:szCs w:val="16"/>
        </w:rPr>
        <w:footnoteRef/>
      </w:r>
      <w:r w:rsidRPr="00763ADE">
        <w:rPr>
          <w:sz w:val="16"/>
          <w:szCs w:val="16"/>
        </w:rPr>
        <w:t xml:space="preserve"> </w:t>
      </w:r>
      <w:r>
        <w:rPr>
          <w:rFonts w:ascii="ＭＳ 明朝" w:eastAsia="ＭＳ 明朝" w:hAnsi="ＭＳ 明朝" w:cs="ＭＳ 明朝" w:hint="eastAsia"/>
          <w:spacing w:val="-2"/>
          <w:sz w:val="16"/>
          <w:lang w:eastAsia="ja-JP"/>
        </w:rPr>
        <w:t>同上。</w:t>
      </w:r>
    </w:p>
  </w:footnote>
  <w:footnote w:id="16">
    <w:p w14:paraId="65E3F777" w14:textId="61A3E87D" w:rsidR="00EB2F1D" w:rsidRPr="00763ADE" w:rsidRDefault="00EB2F1D" w:rsidP="00763ADE">
      <w:pPr>
        <w:pStyle w:val="aa"/>
        <w:ind w:leftChars="644" w:left="1417"/>
        <w:rPr>
          <w:rFonts w:eastAsiaTheme="minorEastAsia" w:hint="eastAsia"/>
          <w:sz w:val="16"/>
          <w:szCs w:val="16"/>
          <w:lang w:eastAsia="ja-JP"/>
        </w:rPr>
      </w:pPr>
      <w:r w:rsidRPr="00763ADE">
        <w:rPr>
          <w:rStyle w:val="ac"/>
          <w:sz w:val="16"/>
          <w:szCs w:val="16"/>
        </w:rPr>
        <w:footnoteRef/>
      </w:r>
      <w:r w:rsidRPr="00763ADE">
        <w:rPr>
          <w:sz w:val="16"/>
          <w:szCs w:val="16"/>
        </w:rPr>
        <w:t xml:space="preserve"> </w:t>
      </w:r>
      <w:r w:rsidR="00763ADE">
        <w:rPr>
          <w:w w:val="85"/>
          <w:sz w:val="16"/>
          <w:lang w:eastAsia="ja-JP"/>
        </w:rPr>
        <w:t>欧州基本権庁、</w:t>
      </w:r>
      <w:r w:rsidR="00763ADE" w:rsidRPr="00763ADE">
        <w:rPr>
          <w:rFonts w:ascii="ＭＳ 明朝" w:eastAsia="ＭＳ 明朝" w:hAnsi="ＭＳ 明朝" w:cs="ＭＳ 明朝" w:hint="eastAsia"/>
          <w:i/>
          <w:iCs/>
          <w:w w:val="85"/>
          <w:sz w:val="16"/>
          <w:lang w:eastAsia="ja-JP"/>
        </w:rPr>
        <w:t>「</w:t>
      </w:r>
      <w:r w:rsidR="00763ADE">
        <w:rPr>
          <w:i/>
          <w:w w:val="85"/>
          <w:sz w:val="16"/>
          <w:lang w:eastAsia="ja-JP"/>
        </w:rPr>
        <w:t>ケアの場＝安全な場所か？</w:t>
      </w:r>
      <w:r w:rsidR="00763ADE">
        <w:rPr>
          <w:i/>
          <w:spacing w:val="-2"/>
          <w:sz w:val="16"/>
          <w:lang w:eastAsia="ja-JP"/>
        </w:rPr>
        <w:t>施設における</w:t>
      </w:r>
      <w:r w:rsidR="00763ADE">
        <w:rPr>
          <w:i/>
          <w:w w:val="85"/>
          <w:sz w:val="16"/>
          <w:lang w:eastAsia="ja-JP"/>
        </w:rPr>
        <w:t>障害者への暴力</w:t>
      </w:r>
      <w:r w:rsidR="00763ADE">
        <w:rPr>
          <w:rFonts w:ascii="ＭＳ 明朝" w:eastAsia="ＭＳ 明朝" w:hAnsi="ＭＳ 明朝" w:cs="ＭＳ 明朝" w:hint="eastAsia"/>
          <w:i/>
          <w:w w:val="85"/>
          <w:sz w:val="16"/>
          <w:lang w:eastAsia="ja-JP"/>
        </w:rPr>
        <w:t>」</w:t>
      </w:r>
      <w:r w:rsidR="00763ADE">
        <w:rPr>
          <w:spacing w:val="-2"/>
          <w:sz w:val="16"/>
          <w:lang w:eastAsia="ja-JP"/>
        </w:rPr>
        <w:t>（欧州連合出版局、2025年）。</w:t>
      </w:r>
    </w:p>
  </w:footnote>
  <w:footnote w:id="17">
    <w:p w14:paraId="69C6507F" w14:textId="01ABDD18" w:rsidR="00763ADE" w:rsidRPr="009012F9" w:rsidRDefault="00763ADE" w:rsidP="00763ADE">
      <w:pPr>
        <w:pStyle w:val="aa"/>
        <w:ind w:leftChars="644" w:left="1417"/>
        <w:rPr>
          <w:rFonts w:eastAsiaTheme="minorEastAsia" w:hint="eastAsia"/>
          <w:sz w:val="16"/>
          <w:szCs w:val="16"/>
          <w:lang w:eastAsia="ja-JP"/>
        </w:rPr>
      </w:pPr>
      <w:r w:rsidRPr="00763ADE">
        <w:rPr>
          <w:rStyle w:val="ac"/>
          <w:sz w:val="16"/>
          <w:szCs w:val="16"/>
        </w:rPr>
        <w:footnoteRef/>
      </w:r>
      <w:r w:rsidRPr="00763ADE">
        <w:rPr>
          <w:rFonts w:ascii="ＭＳ 明朝" w:eastAsia="ＭＳ 明朝" w:hAnsi="ＭＳ 明朝" w:cs="ＭＳ 明朝" w:hint="eastAsia"/>
          <w:sz w:val="16"/>
          <w:szCs w:val="16"/>
        </w:rPr>
        <w:t>世界保健機関（</w:t>
      </w:r>
      <w:r w:rsidRPr="00763ADE">
        <w:rPr>
          <w:sz w:val="16"/>
          <w:szCs w:val="16"/>
        </w:rPr>
        <w:t>WHO</w:t>
      </w:r>
      <w:r w:rsidRPr="00763ADE">
        <w:rPr>
          <w:rFonts w:ascii="ＭＳ 明朝" w:eastAsia="ＭＳ 明朝" w:hAnsi="ＭＳ 明朝" w:cs="ＭＳ 明朝" w:hint="eastAsia"/>
          <w:sz w:val="16"/>
          <w:szCs w:val="16"/>
        </w:rPr>
        <w:t>）、</w:t>
      </w:r>
      <w:r w:rsidR="009012F9">
        <w:rPr>
          <w:rFonts w:ascii="ＭＳ 明朝" w:eastAsia="ＭＳ 明朝" w:hAnsi="ＭＳ 明朝" w:cs="ＭＳ 明朝" w:hint="eastAsia"/>
          <w:sz w:val="16"/>
          <w:szCs w:val="16"/>
          <w:lang w:eastAsia="ja-JP"/>
        </w:rPr>
        <w:t>「</w:t>
      </w:r>
      <w:r w:rsidRPr="00763ADE">
        <w:rPr>
          <w:rFonts w:ascii="ＭＳ 明朝" w:eastAsia="ＭＳ 明朝" w:hAnsi="ＭＳ 明朝" w:cs="ＭＳ 明朝" w:hint="eastAsia"/>
          <w:sz w:val="16"/>
          <w:szCs w:val="16"/>
        </w:rPr>
        <w:t>エイジズムに関する</w:t>
      </w:r>
      <w:r w:rsidR="009012F9">
        <w:rPr>
          <w:rFonts w:ascii="ＭＳ 明朝" w:eastAsia="ＭＳ 明朝" w:hAnsi="ＭＳ 明朝" w:cs="ＭＳ 明朝" w:hint="eastAsia"/>
          <w:sz w:val="16"/>
          <w:szCs w:val="16"/>
          <w:lang w:eastAsia="ja-JP"/>
        </w:rPr>
        <w:t>世界報告」</w:t>
      </w:r>
      <w:r w:rsidRPr="00763ADE">
        <w:rPr>
          <w:rFonts w:ascii="ＭＳ 明朝" w:eastAsia="ＭＳ 明朝" w:hAnsi="ＭＳ 明朝" w:cs="ＭＳ 明朝" w:hint="eastAsia"/>
          <w:sz w:val="16"/>
          <w:szCs w:val="16"/>
        </w:rPr>
        <w:t>（</w:t>
      </w:r>
      <w:r w:rsidRPr="00763ADE">
        <w:rPr>
          <w:sz w:val="16"/>
          <w:szCs w:val="16"/>
        </w:rPr>
        <w:t>WHO 2021</w:t>
      </w:r>
      <w:r w:rsidRPr="00763ADE">
        <w:rPr>
          <w:rFonts w:ascii="ＭＳ 明朝" w:eastAsia="ＭＳ 明朝" w:hAnsi="ＭＳ 明朝" w:cs="ＭＳ 明朝" w:hint="eastAsia"/>
          <w:sz w:val="16"/>
          <w:szCs w:val="16"/>
        </w:rPr>
        <w:t>年）。</w:t>
      </w:r>
    </w:p>
  </w:footnote>
  <w:footnote w:id="18">
    <w:p w14:paraId="68654E53" w14:textId="56656113" w:rsidR="00763ADE" w:rsidRPr="00763ADE" w:rsidRDefault="00763ADE" w:rsidP="009012F9">
      <w:pPr>
        <w:pStyle w:val="aa"/>
        <w:ind w:leftChars="644" w:left="1417" w:rightChars="710" w:right="1562"/>
        <w:rPr>
          <w:rFonts w:eastAsiaTheme="minorEastAsia" w:hint="eastAsia"/>
          <w:sz w:val="16"/>
          <w:szCs w:val="16"/>
          <w:lang w:eastAsia="ja-JP"/>
        </w:rPr>
      </w:pPr>
      <w:r w:rsidRPr="00763ADE">
        <w:rPr>
          <w:rStyle w:val="ac"/>
          <w:sz w:val="16"/>
          <w:szCs w:val="16"/>
        </w:rPr>
        <w:footnoteRef/>
      </w:r>
      <w:r w:rsidRPr="00763ADE">
        <w:rPr>
          <w:sz w:val="16"/>
          <w:szCs w:val="16"/>
        </w:rPr>
        <w:t xml:space="preserve"> </w:t>
      </w:r>
      <w:r w:rsidR="009012F9" w:rsidRPr="00763ADE">
        <w:rPr>
          <w:rFonts w:ascii="ＭＳ 明朝" w:eastAsia="ＭＳ 明朝" w:hAnsi="ＭＳ 明朝" w:cs="ＭＳ 明朝" w:hint="eastAsia"/>
          <w:sz w:val="16"/>
          <w:szCs w:val="16"/>
        </w:rPr>
        <w:t>ジュディ・レイン「精神障害者</w:t>
      </w:r>
      <w:r w:rsidR="009012F9">
        <w:rPr>
          <w:rFonts w:ascii="ＭＳ 明朝" w:eastAsia="ＭＳ 明朝" w:hAnsi="ＭＳ 明朝" w:cs="ＭＳ 明朝" w:hint="eastAsia"/>
          <w:sz w:val="16"/>
          <w:szCs w:val="16"/>
          <w:lang w:eastAsia="ja-JP"/>
        </w:rPr>
        <w:t>へ</w:t>
      </w:r>
      <w:r w:rsidR="009012F9" w:rsidRPr="00763ADE">
        <w:rPr>
          <w:rFonts w:ascii="ＭＳ 明朝" w:eastAsia="ＭＳ 明朝" w:hAnsi="ＭＳ 明朝" w:cs="ＭＳ 明朝" w:hint="eastAsia"/>
          <w:sz w:val="16"/>
          <w:szCs w:val="16"/>
        </w:rPr>
        <w:t>の暴力、搾取および虐待の防止</w:t>
      </w:r>
      <w:r w:rsidR="001D226A">
        <w:rPr>
          <w:rFonts w:ascii="ＭＳ 明朝" w:eastAsia="ＭＳ 明朝" w:hAnsi="ＭＳ 明朝" w:cs="ＭＳ 明朝" w:hint="eastAsia"/>
          <w:sz w:val="16"/>
          <w:szCs w:val="16"/>
          <w:lang w:eastAsia="ja-JP"/>
        </w:rPr>
        <w:t>:</w:t>
      </w:r>
      <w:r w:rsidR="009012F9" w:rsidRPr="00763ADE">
        <w:rPr>
          <w:rFonts w:ascii="ＭＳ 明朝" w:eastAsia="ＭＳ 明朝" w:hAnsi="ＭＳ 明朝" w:cs="ＭＳ 明朝" w:hint="eastAsia"/>
          <w:sz w:val="16"/>
          <w:szCs w:val="16"/>
        </w:rPr>
        <w:t>国連障害者権利条約第</w:t>
      </w:r>
      <w:r w:rsidR="009012F9" w:rsidRPr="00763ADE">
        <w:rPr>
          <w:sz w:val="16"/>
          <w:szCs w:val="16"/>
        </w:rPr>
        <w:t>16</w:t>
      </w:r>
      <w:r w:rsidR="009012F9" w:rsidRPr="00763ADE">
        <w:rPr>
          <w:rFonts w:ascii="ＭＳ 明朝" w:eastAsia="ＭＳ 明朝" w:hAnsi="ＭＳ 明朝" w:cs="ＭＳ 明朝" w:hint="eastAsia"/>
          <w:sz w:val="16"/>
          <w:szCs w:val="16"/>
        </w:rPr>
        <w:t>条の</w:t>
      </w:r>
      <w:r w:rsidR="009012F9">
        <w:rPr>
          <w:rFonts w:ascii="ＭＳ 明朝" w:eastAsia="ＭＳ 明朝" w:hAnsi="ＭＳ 明朝" w:cs="ＭＳ 明朝" w:hint="eastAsia"/>
          <w:sz w:val="16"/>
          <w:szCs w:val="16"/>
          <w:lang w:eastAsia="ja-JP"/>
        </w:rPr>
        <w:t>監視</w:t>
      </w:r>
      <w:r w:rsidR="009012F9" w:rsidRPr="00763ADE">
        <w:rPr>
          <w:rFonts w:ascii="ＭＳ 明朝" w:eastAsia="ＭＳ 明朝" w:hAnsi="ＭＳ 明朝" w:cs="ＭＳ 明朝" w:hint="eastAsia"/>
          <w:sz w:val="16"/>
          <w:szCs w:val="16"/>
        </w:rPr>
        <w:t>上の含意の検討」（</w:t>
      </w:r>
      <w:r w:rsidR="009012F9" w:rsidRPr="00763ADE">
        <w:rPr>
          <w:sz w:val="16"/>
          <w:szCs w:val="16"/>
        </w:rPr>
        <w:t>2017</w:t>
      </w:r>
      <w:r w:rsidR="009012F9" w:rsidRPr="00763ADE">
        <w:rPr>
          <w:rFonts w:ascii="ＭＳ 明朝" w:eastAsia="ＭＳ 明朝" w:hAnsi="ＭＳ 明朝" w:cs="ＭＳ 明朝" w:hint="eastAsia"/>
          <w:sz w:val="16"/>
          <w:szCs w:val="16"/>
        </w:rPr>
        <w:t>）『</w:t>
      </w:r>
      <w:r w:rsidR="009012F9" w:rsidRPr="00763ADE">
        <w:rPr>
          <w:sz w:val="16"/>
          <w:szCs w:val="16"/>
        </w:rPr>
        <w:t>International Journal of Law and Psychiatry</w:t>
      </w:r>
      <w:r w:rsidR="009012F9" w:rsidRPr="00763ADE">
        <w:rPr>
          <w:rFonts w:ascii="ＭＳ 明朝" w:eastAsia="ＭＳ 明朝" w:hAnsi="ＭＳ 明朝" w:cs="ＭＳ 明朝" w:hint="eastAsia"/>
          <w:sz w:val="16"/>
          <w:szCs w:val="16"/>
        </w:rPr>
        <w:t>』第</w:t>
      </w:r>
      <w:r w:rsidR="009012F9" w:rsidRPr="00763ADE">
        <w:rPr>
          <w:sz w:val="16"/>
          <w:szCs w:val="16"/>
        </w:rPr>
        <w:t>53</w:t>
      </w:r>
      <w:r w:rsidR="009012F9" w:rsidRPr="00763ADE">
        <w:rPr>
          <w:rFonts w:ascii="ＭＳ 明朝" w:eastAsia="ＭＳ 明朝" w:hAnsi="ＭＳ 明朝" w:cs="ＭＳ 明朝" w:hint="eastAsia"/>
          <w:sz w:val="16"/>
          <w:szCs w:val="16"/>
        </w:rPr>
        <w:t>巻、</w:t>
      </w:r>
      <w:r w:rsidR="009012F9" w:rsidRPr="00763ADE">
        <w:rPr>
          <w:sz w:val="16"/>
          <w:szCs w:val="16"/>
        </w:rPr>
        <w:t>27</w:t>
      </w:r>
      <w:r w:rsidR="009012F9" w:rsidRPr="00763ADE">
        <w:rPr>
          <w:rFonts w:ascii="ＭＳ 明朝" w:eastAsia="ＭＳ 明朝" w:hAnsi="ＭＳ 明朝" w:cs="ＭＳ 明朝" w:hint="eastAsia"/>
          <w:sz w:val="16"/>
          <w:szCs w:val="16"/>
        </w:rPr>
        <w:t>頁を参照。</w:t>
      </w:r>
    </w:p>
  </w:footnote>
  <w:footnote w:id="19">
    <w:p w14:paraId="1809B8FE" w14:textId="0A4A0639" w:rsidR="00763ADE" w:rsidRPr="00763ADE" w:rsidRDefault="00763ADE" w:rsidP="00763ADE">
      <w:pPr>
        <w:pStyle w:val="aa"/>
        <w:ind w:leftChars="644" w:left="1417"/>
        <w:rPr>
          <w:rFonts w:eastAsiaTheme="minorEastAsia" w:hint="eastAsia"/>
          <w:sz w:val="16"/>
          <w:szCs w:val="16"/>
          <w:lang w:eastAsia="ja-JP"/>
        </w:rPr>
      </w:pPr>
      <w:r w:rsidRPr="00763ADE">
        <w:rPr>
          <w:rStyle w:val="ac"/>
          <w:sz w:val="16"/>
          <w:szCs w:val="16"/>
        </w:rPr>
        <w:footnoteRef/>
      </w:r>
      <w:r w:rsidRPr="00763ADE">
        <w:rPr>
          <w:sz w:val="16"/>
          <w:szCs w:val="16"/>
        </w:rPr>
        <w:t xml:space="preserve"> </w:t>
      </w:r>
      <w:r w:rsidR="009012F9" w:rsidRPr="00763ADE">
        <w:rPr>
          <w:sz w:val="16"/>
          <w:szCs w:val="16"/>
        </w:rPr>
        <w:t>OECD</w:t>
      </w:r>
      <w:r w:rsidR="009012F9" w:rsidRPr="00763ADE">
        <w:rPr>
          <w:rFonts w:ascii="ＭＳ 明朝" w:eastAsia="ＭＳ 明朝" w:hAnsi="ＭＳ 明朝" w:cs="ＭＳ 明朝" w:hint="eastAsia"/>
          <w:sz w:val="16"/>
          <w:szCs w:val="16"/>
        </w:rPr>
        <w:t>、</w:t>
      </w:r>
      <w:r w:rsidR="009012F9">
        <w:rPr>
          <w:rFonts w:ascii="ＭＳ 明朝" w:eastAsia="ＭＳ 明朝" w:hAnsi="ＭＳ 明朝" w:cs="ＭＳ 明朝" w:hint="eastAsia"/>
          <w:sz w:val="16"/>
          <w:szCs w:val="16"/>
          <w:lang w:eastAsia="ja-JP"/>
        </w:rPr>
        <w:t>「人間</w:t>
      </w:r>
      <w:r w:rsidR="009012F9" w:rsidRPr="00763ADE">
        <w:rPr>
          <w:rFonts w:ascii="ＭＳ 明朝" w:eastAsia="ＭＳ 明朝" w:hAnsi="ＭＳ 明朝" w:cs="ＭＳ 明朝" w:hint="eastAsia"/>
          <w:sz w:val="16"/>
          <w:szCs w:val="16"/>
        </w:rPr>
        <w:t>中心の司法のための</w:t>
      </w:r>
      <w:r w:rsidR="009012F9" w:rsidRPr="00763ADE">
        <w:rPr>
          <w:sz w:val="16"/>
          <w:szCs w:val="16"/>
        </w:rPr>
        <w:t>OECD</w:t>
      </w:r>
      <w:r w:rsidR="009012F9" w:rsidRPr="00763ADE">
        <w:rPr>
          <w:rFonts w:ascii="ＭＳ 明朝" w:eastAsia="ＭＳ 明朝" w:hAnsi="ＭＳ 明朝" w:cs="ＭＳ 明朝" w:hint="eastAsia"/>
          <w:sz w:val="16"/>
          <w:szCs w:val="16"/>
        </w:rPr>
        <w:t>枠組みおよび</w:t>
      </w:r>
      <w:r w:rsidR="009012F9">
        <w:rPr>
          <w:rFonts w:ascii="ＭＳ 明朝" w:eastAsia="ＭＳ 明朝" w:hAnsi="ＭＳ 明朝" w:cs="ＭＳ 明朝" w:hint="eastAsia"/>
          <w:sz w:val="16"/>
          <w:szCs w:val="16"/>
          <w:lang w:eastAsia="ja-JP"/>
        </w:rPr>
        <w:t>優良事例</w:t>
      </w:r>
      <w:r w:rsidR="009012F9" w:rsidRPr="00763ADE">
        <w:rPr>
          <w:rFonts w:ascii="ＭＳ 明朝" w:eastAsia="ＭＳ 明朝" w:hAnsi="ＭＳ 明朝" w:cs="ＭＳ 明朝" w:hint="eastAsia"/>
          <w:sz w:val="16"/>
          <w:szCs w:val="16"/>
        </w:rPr>
        <w:t>原則</w:t>
      </w:r>
      <w:r w:rsidR="009012F9">
        <w:rPr>
          <w:rFonts w:ascii="ＭＳ 明朝" w:eastAsia="ＭＳ 明朝" w:hAnsi="ＭＳ 明朝" w:cs="ＭＳ 明朝" w:hint="eastAsia"/>
          <w:sz w:val="16"/>
          <w:szCs w:val="16"/>
          <w:lang w:eastAsia="ja-JP"/>
        </w:rPr>
        <w:t>」</w:t>
      </w:r>
      <w:r w:rsidR="009012F9" w:rsidRPr="00763ADE">
        <w:rPr>
          <w:rFonts w:ascii="ＭＳ 明朝" w:eastAsia="ＭＳ 明朝" w:hAnsi="ＭＳ 明朝" w:cs="ＭＳ 明朝" w:hint="eastAsia"/>
          <w:sz w:val="16"/>
          <w:szCs w:val="16"/>
        </w:rPr>
        <w:t>（</w:t>
      </w:r>
      <w:r w:rsidR="009012F9" w:rsidRPr="00763ADE">
        <w:rPr>
          <w:sz w:val="16"/>
          <w:szCs w:val="16"/>
        </w:rPr>
        <w:t>OECD2021</w:t>
      </w:r>
      <w:r w:rsidR="009012F9" w:rsidRPr="00763ADE">
        <w:rPr>
          <w:rFonts w:ascii="ＭＳ 明朝" w:eastAsia="ＭＳ 明朝" w:hAnsi="ＭＳ 明朝" w:cs="ＭＳ 明朝" w:hint="eastAsia"/>
          <w:sz w:val="16"/>
          <w:szCs w:val="16"/>
        </w:rPr>
        <w:t>年）、</w:t>
      </w:r>
      <w:r w:rsidR="009012F9" w:rsidRPr="00763ADE">
        <w:rPr>
          <w:sz w:val="16"/>
          <w:szCs w:val="16"/>
        </w:rPr>
        <w:t>35</w:t>
      </w:r>
      <w:r w:rsidR="009012F9" w:rsidRPr="00763ADE">
        <w:rPr>
          <w:rFonts w:ascii="ＭＳ 明朝" w:eastAsia="ＭＳ 明朝" w:hAnsi="ＭＳ 明朝" w:cs="ＭＳ 明朝" w:hint="eastAsia"/>
          <w:sz w:val="16"/>
          <w:szCs w:val="16"/>
        </w:rPr>
        <w:t>ページ。</w:t>
      </w:r>
    </w:p>
  </w:footnote>
  <w:footnote w:id="20">
    <w:p w14:paraId="7372120F" w14:textId="752A431A" w:rsidR="00D4549D" w:rsidRPr="009012F9" w:rsidRDefault="00D4549D" w:rsidP="009012F9">
      <w:pPr>
        <w:pStyle w:val="aa"/>
        <w:ind w:leftChars="644" w:left="1417" w:rightChars="645" w:right="1419"/>
        <w:rPr>
          <w:rFonts w:eastAsiaTheme="minorEastAsia" w:hint="eastAsia"/>
          <w:sz w:val="16"/>
          <w:szCs w:val="16"/>
          <w:lang w:eastAsia="ja-JP"/>
        </w:rPr>
      </w:pPr>
      <w:r w:rsidRPr="009012F9">
        <w:rPr>
          <w:rStyle w:val="ac"/>
          <w:sz w:val="16"/>
          <w:szCs w:val="16"/>
        </w:rPr>
        <w:footnoteRef/>
      </w:r>
      <w:r w:rsidRPr="009012F9">
        <w:rPr>
          <w:sz w:val="16"/>
          <w:szCs w:val="16"/>
        </w:rPr>
        <w:t xml:space="preserve"> </w:t>
      </w:r>
      <w:r w:rsidR="009012F9" w:rsidRPr="009012F9">
        <w:rPr>
          <w:sz w:val="16"/>
          <w:szCs w:val="16"/>
        </w:rPr>
        <w:t>20</w:t>
      </w:r>
      <w:r w:rsidR="009012F9" w:rsidRPr="009012F9">
        <w:rPr>
          <w:rFonts w:ascii="ＭＳ 明朝" w:eastAsia="ＭＳ 明朝" w:hAnsi="ＭＳ 明朝" w:cs="ＭＳ 明朝" w:hint="eastAsia"/>
          <w:sz w:val="16"/>
          <w:szCs w:val="16"/>
        </w:rPr>
        <w:t>チャールズ・オマホニー『司法へのアクセス：国連障害者権利条約第</w:t>
      </w:r>
      <w:r w:rsidR="009012F9" w:rsidRPr="009012F9">
        <w:rPr>
          <w:sz w:val="16"/>
          <w:szCs w:val="16"/>
        </w:rPr>
        <w:t>13</w:t>
      </w:r>
      <w:r w:rsidR="009012F9" w:rsidRPr="009012F9">
        <w:rPr>
          <w:rFonts w:ascii="ＭＳ 明朝" w:eastAsia="ＭＳ 明朝" w:hAnsi="ＭＳ 明朝" w:cs="ＭＳ 明朝" w:hint="eastAsia"/>
          <w:sz w:val="16"/>
          <w:szCs w:val="16"/>
        </w:rPr>
        <w:t>条に関するベースライン調査』（アイルランド人権・平等委員会、</w:t>
      </w:r>
      <w:r w:rsidR="009012F9" w:rsidRPr="009012F9">
        <w:rPr>
          <w:sz w:val="16"/>
          <w:szCs w:val="16"/>
        </w:rPr>
        <w:t>2024</w:t>
      </w:r>
      <w:r w:rsidR="009012F9" w:rsidRPr="009012F9">
        <w:rPr>
          <w:rFonts w:ascii="ＭＳ 明朝" w:eastAsia="ＭＳ 明朝" w:hAnsi="ＭＳ 明朝" w:cs="ＭＳ 明朝" w:hint="eastAsia"/>
          <w:sz w:val="16"/>
          <w:szCs w:val="16"/>
        </w:rPr>
        <w:t>年、第</w:t>
      </w:r>
      <w:r w:rsidR="009012F9" w:rsidRPr="009012F9">
        <w:rPr>
          <w:sz w:val="16"/>
          <w:szCs w:val="16"/>
        </w:rPr>
        <w:t>2</w:t>
      </w:r>
      <w:r w:rsidR="009012F9" w:rsidRPr="009012F9">
        <w:rPr>
          <w:rFonts w:ascii="ＭＳ 明朝" w:eastAsia="ＭＳ 明朝" w:hAnsi="ＭＳ 明朝" w:cs="ＭＳ 明朝" w:hint="eastAsia"/>
          <w:sz w:val="16"/>
          <w:szCs w:val="16"/>
        </w:rPr>
        <w:t>章参照）。</w:t>
      </w:r>
    </w:p>
  </w:footnote>
  <w:footnote w:id="21">
    <w:p w14:paraId="7DDAA9EA" w14:textId="449FE4C1" w:rsidR="009012F9" w:rsidRPr="009012F9" w:rsidRDefault="009012F9" w:rsidP="009012F9">
      <w:pPr>
        <w:pStyle w:val="aa"/>
        <w:ind w:leftChars="644" w:left="1417"/>
        <w:rPr>
          <w:rFonts w:eastAsiaTheme="minorEastAsia" w:hint="eastAsia"/>
          <w:sz w:val="16"/>
          <w:szCs w:val="16"/>
          <w:lang w:eastAsia="ja-JP"/>
        </w:rPr>
      </w:pPr>
      <w:r w:rsidRPr="009012F9">
        <w:rPr>
          <w:rStyle w:val="ac"/>
          <w:sz w:val="16"/>
          <w:szCs w:val="16"/>
        </w:rPr>
        <w:footnoteRef/>
      </w:r>
      <w:r w:rsidRPr="009012F9">
        <w:rPr>
          <w:sz w:val="16"/>
          <w:szCs w:val="16"/>
        </w:rPr>
        <w:t xml:space="preserve"> </w:t>
      </w:r>
      <w:r w:rsidRPr="009012F9">
        <w:rPr>
          <w:rFonts w:ascii="ＭＳ 明朝" w:eastAsia="ＭＳ 明朝" w:hAnsi="ＭＳ 明朝" w:cs="ＭＳ 明朝" w:hint="eastAsia"/>
          <w:sz w:val="16"/>
          <w:szCs w:val="16"/>
        </w:rPr>
        <w:t>国連人権特別手続、『障害者の司法へのアクセスに関する国際原則およびガイドライン』（ジュネーブ、</w:t>
      </w:r>
      <w:r w:rsidRPr="009012F9">
        <w:rPr>
          <w:sz w:val="16"/>
          <w:szCs w:val="16"/>
        </w:rPr>
        <w:t>2020</w:t>
      </w:r>
      <w:r w:rsidRPr="009012F9">
        <w:rPr>
          <w:rFonts w:ascii="ＭＳ 明朝" w:eastAsia="ＭＳ 明朝" w:hAnsi="ＭＳ 明朝" w:cs="ＭＳ 明朝" w:hint="eastAsia"/>
          <w:sz w:val="16"/>
          <w:szCs w:val="16"/>
        </w:rPr>
        <w:t>年</w:t>
      </w:r>
      <w:r w:rsidRPr="009012F9">
        <w:rPr>
          <w:sz w:val="16"/>
          <w:szCs w:val="16"/>
        </w:rPr>
        <w:t>8</w:t>
      </w:r>
      <w:r w:rsidRPr="009012F9">
        <w:rPr>
          <w:rFonts w:ascii="ＭＳ 明朝" w:eastAsia="ＭＳ 明朝" w:hAnsi="ＭＳ 明朝" w:cs="ＭＳ 明朝" w:hint="eastAsia"/>
          <w:sz w:val="16"/>
          <w:szCs w:val="16"/>
        </w:rPr>
        <w:t>月）。</w:t>
      </w:r>
    </w:p>
  </w:footnote>
  <w:footnote w:id="22">
    <w:p w14:paraId="3A2956FD" w14:textId="21D996C5" w:rsidR="009012F9" w:rsidRPr="009012F9" w:rsidRDefault="009012F9" w:rsidP="009012F9">
      <w:pPr>
        <w:pStyle w:val="aa"/>
        <w:ind w:leftChars="644" w:left="1417"/>
        <w:rPr>
          <w:rFonts w:eastAsiaTheme="minorEastAsia" w:hint="eastAsia"/>
          <w:sz w:val="16"/>
          <w:szCs w:val="16"/>
          <w:lang w:eastAsia="ja-JP"/>
        </w:rPr>
      </w:pPr>
      <w:r w:rsidRPr="009012F9">
        <w:rPr>
          <w:rStyle w:val="ac"/>
          <w:sz w:val="16"/>
          <w:szCs w:val="16"/>
        </w:rPr>
        <w:footnoteRef/>
      </w:r>
      <w:r w:rsidRPr="009012F9">
        <w:rPr>
          <w:sz w:val="16"/>
          <w:szCs w:val="16"/>
        </w:rPr>
        <w:t xml:space="preserve"> </w:t>
      </w:r>
      <w:r w:rsidRPr="009012F9">
        <w:rPr>
          <w:rFonts w:ascii="ＭＳ 明朝" w:eastAsia="ＭＳ 明朝" w:hAnsi="ＭＳ 明朝" w:cs="ＭＳ 明朝" w:hint="eastAsia"/>
          <w:sz w:val="16"/>
          <w:szCs w:val="16"/>
        </w:rPr>
        <w:t>同上、</w:t>
      </w:r>
      <w:r w:rsidRPr="009012F9">
        <w:rPr>
          <w:sz w:val="16"/>
          <w:szCs w:val="16"/>
        </w:rPr>
        <w:t>9</w:t>
      </w:r>
      <w:r w:rsidRPr="009012F9">
        <w:rPr>
          <w:rFonts w:ascii="ＭＳ 明朝" w:eastAsia="ＭＳ 明朝" w:hAnsi="ＭＳ 明朝" w:cs="ＭＳ 明朝" w:hint="eastAsia"/>
          <w:sz w:val="16"/>
          <w:szCs w:val="16"/>
        </w:rPr>
        <w:t>ページ。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F4AD" w14:textId="08947979" w:rsidR="003D653A" w:rsidRDefault="003D653A">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C83AD"/>
    <w:multiLevelType w:val="hybridMultilevel"/>
    <w:tmpl w:val="00000000"/>
    <w:lvl w:ilvl="0" w:tplc="EB7EC83A">
      <w:start w:val="1"/>
      <w:numFmt w:val="decimal"/>
      <w:lvlText w:val="%1."/>
      <w:lvlJc w:val="left"/>
      <w:pPr>
        <w:ind w:left="1583" w:hanging="360"/>
      </w:pPr>
      <w:rPr>
        <w:rFonts w:hint="default"/>
        <w:spacing w:val="0"/>
        <w:w w:val="100"/>
        <w:lang w:val="en-US" w:eastAsia="en-US" w:bidi="ar-SA"/>
      </w:rPr>
    </w:lvl>
    <w:lvl w:ilvl="1" w:tplc="F9E8C95A">
      <w:numFmt w:val="bullet"/>
      <w:lvlText w:val="•"/>
      <w:lvlJc w:val="left"/>
      <w:pPr>
        <w:ind w:left="2598" w:hanging="360"/>
      </w:pPr>
      <w:rPr>
        <w:rFonts w:hint="default"/>
        <w:lang w:val="en-US" w:eastAsia="en-US" w:bidi="ar-SA"/>
      </w:rPr>
    </w:lvl>
    <w:lvl w:ilvl="2" w:tplc="1AD4A2AA">
      <w:numFmt w:val="bullet"/>
      <w:lvlText w:val="•"/>
      <w:lvlJc w:val="left"/>
      <w:pPr>
        <w:ind w:left="3617" w:hanging="360"/>
      </w:pPr>
      <w:rPr>
        <w:rFonts w:hint="default"/>
        <w:lang w:val="en-US" w:eastAsia="en-US" w:bidi="ar-SA"/>
      </w:rPr>
    </w:lvl>
    <w:lvl w:ilvl="3" w:tplc="BEEA9F60">
      <w:numFmt w:val="bullet"/>
      <w:lvlText w:val="•"/>
      <w:lvlJc w:val="left"/>
      <w:pPr>
        <w:ind w:left="4635" w:hanging="360"/>
      </w:pPr>
      <w:rPr>
        <w:rFonts w:hint="default"/>
        <w:lang w:val="en-US" w:eastAsia="en-US" w:bidi="ar-SA"/>
      </w:rPr>
    </w:lvl>
    <w:lvl w:ilvl="4" w:tplc="BE04263C">
      <w:numFmt w:val="bullet"/>
      <w:lvlText w:val="•"/>
      <w:lvlJc w:val="left"/>
      <w:pPr>
        <w:ind w:left="5654" w:hanging="360"/>
      </w:pPr>
      <w:rPr>
        <w:rFonts w:hint="default"/>
        <w:lang w:val="en-US" w:eastAsia="en-US" w:bidi="ar-SA"/>
      </w:rPr>
    </w:lvl>
    <w:lvl w:ilvl="5" w:tplc="3DF0A594">
      <w:numFmt w:val="bullet"/>
      <w:lvlText w:val="•"/>
      <w:lvlJc w:val="left"/>
      <w:pPr>
        <w:ind w:left="6672" w:hanging="360"/>
      </w:pPr>
      <w:rPr>
        <w:rFonts w:hint="default"/>
        <w:lang w:val="en-US" w:eastAsia="en-US" w:bidi="ar-SA"/>
      </w:rPr>
    </w:lvl>
    <w:lvl w:ilvl="6" w:tplc="92A2D182">
      <w:numFmt w:val="bullet"/>
      <w:lvlText w:val="•"/>
      <w:lvlJc w:val="left"/>
      <w:pPr>
        <w:ind w:left="7691" w:hanging="360"/>
      </w:pPr>
      <w:rPr>
        <w:rFonts w:hint="default"/>
        <w:lang w:val="en-US" w:eastAsia="en-US" w:bidi="ar-SA"/>
      </w:rPr>
    </w:lvl>
    <w:lvl w:ilvl="7" w:tplc="FBA828E2">
      <w:numFmt w:val="bullet"/>
      <w:lvlText w:val="•"/>
      <w:lvlJc w:val="left"/>
      <w:pPr>
        <w:ind w:left="8709" w:hanging="360"/>
      </w:pPr>
      <w:rPr>
        <w:rFonts w:hint="default"/>
        <w:lang w:val="en-US" w:eastAsia="en-US" w:bidi="ar-SA"/>
      </w:rPr>
    </w:lvl>
    <w:lvl w:ilvl="8" w:tplc="ADF8753A">
      <w:numFmt w:val="bullet"/>
      <w:lvlText w:val="•"/>
      <w:lvlJc w:val="left"/>
      <w:pPr>
        <w:ind w:left="9728" w:hanging="360"/>
      </w:pPr>
      <w:rPr>
        <w:rFonts w:hint="default"/>
        <w:lang w:val="en-US" w:eastAsia="en-US" w:bidi="ar-SA"/>
      </w:rPr>
    </w:lvl>
  </w:abstractNum>
  <w:abstractNum w:abstractNumId="1" w15:restartNumberingAfterBreak="0">
    <w:nsid w:val="13CB79A2"/>
    <w:multiLevelType w:val="multilevel"/>
    <w:tmpl w:val="00000000"/>
    <w:lvl w:ilvl="0">
      <w:start w:val="1"/>
      <w:numFmt w:val="decimal"/>
      <w:lvlText w:val="%1."/>
      <w:lvlJc w:val="left"/>
      <w:pPr>
        <w:ind w:left="1554" w:hanging="255"/>
      </w:pPr>
      <w:rPr>
        <w:rFonts w:ascii="Times New Roman" w:eastAsia="Times New Roman" w:hAnsi="Times New Roman" w:cs="Times New Roman" w:hint="default"/>
        <w:b/>
        <w:bCs/>
        <w:i w:val="0"/>
        <w:iCs w:val="0"/>
        <w:spacing w:val="-1"/>
        <w:w w:val="79"/>
        <w:sz w:val="28"/>
        <w:szCs w:val="28"/>
        <w:lang w:val="en-US" w:eastAsia="en-US" w:bidi="ar-SA"/>
      </w:rPr>
    </w:lvl>
    <w:lvl w:ilvl="1">
      <w:start w:val="1"/>
      <w:numFmt w:val="decimal"/>
      <w:lvlText w:val="%1.%2"/>
      <w:lvlJc w:val="left"/>
      <w:pPr>
        <w:ind w:left="1634" w:hanging="335"/>
      </w:pPr>
      <w:rPr>
        <w:rFonts w:ascii="Times New Roman" w:eastAsia="Times New Roman" w:hAnsi="Times New Roman" w:cs="Times New Roman" w:hint="default"/>
        <w:b/>
        <w:bCs/>
        <w:i/>
        <w:iCs/>
        <w:spacing w:val="0"/>
        <w:w w:val="76"/>
        <w:sz w:val="25"/>
        <w:szCs w:val="25"/>
        <w:lang w:val="en-US" w:eastAsia="en-US" w:bidi="ar-SA"/>
      </w:rPr>
    </w:lvl>
    <w:lvl w:ilvl="2">
      <w:start w:val="1"/>
      <w:numFmt w:val="decimal"/>
      <w:lvlText w:val="%1.%2.%3"/>
      <w:lvlJc w:val="left"/>
      <w:pPr>
        <w:ind w:left="1803" w:hanging="504"/>
      </w:pPr>
      <w:rPr>
        <w:rFonts w:hint="default"/>
        <w:spacing w:val="-3"/>
        <w:w w:val="87"/>
        <w:lang w:val="en-US" w:eastAsia="en-US" w:bidi="ar-SA"/>
      </w:rPr>
    </w:lvl>
    <w:lvl w:ilvl="3">
      <w:numFmt w:val="bullet"/>
      <w:lvlText w:val="•"/>
      <w:lvlJc w:val="left"/>
      <w:pPr>
        <w:ind w:left="1800" w:hanging="504"/>
      </w:pPr>
      <w:rPr>
        <w:rFonts w:hint="default"/>
        <w:lang w:val="en-US" w:eastAsia="en-US" w:bidi="ar-SA"/>
      </w:rPr>
    </w:lvl>
    <w:lvl w:ilvl="4">
      <w:numFmt w:val="bullet"/>
      <w:lvlText w:val="•"/>
      <w:lvlJc w:val="left"/>
      <w:pPr>
        <w:ind w:left="3223" w:hanging="504"/>
      </w:pPr>
      <w:rPr>
        <w:rFonts w:hint="default"/>
        <w:lang w:val="en-US" w:eastAsia="en-US" w:bidi="ar-SA"/>
      </w:rPr>
    </w:lvl>
    <w:lvl w:ilvl="5">
      <w:numFmt w:val="bullet"/>
      <w:lvlText w:val="•"/>
      <w:lvlJc w:val="left"/>
      <w:pPr>
        <w:ind w:left="4647" w:hanging="504"/>
      </w:pPr>
      <w:rPr>
        <w:rFonts w:hint="default"/>
        <w:lang w:val="en-US" w:eastAsia="en-US" w:bidi="ar-SA"/>
      </w:rPr>
    </w:lvl>
    <w:lvl w:ilvl="6">
      <w:numFmt w:val="bullet"/>
      <w:lvlText w:val="•"/>
      <w:lvlJc w:val="left"/>
      <w:pPr>
        <w:ind w:left="6070" w:hanging="504"/>
      </w:pPr>
      <w:rPr>
        <w:rFonts w:hint="default"/>
        <w:lang w:val="en-US" w:eastAsia="en-US" w:bidi="ar-SA"/>
      </w:rPr>
    </w:lvl>
    <w:lvl w:ilvl="7">
      <w:numFmt w:val="bullet"/>
      <w:lvlText w:val="•"/>
      <w:lvlJc w:val="left"/>
      <w:pPr>
        <w:ind w:left="7494" w:hanging="504"/>
      </w:pPr>
      <w:rPr>
        <w:rFonts w:hint="default"/>
        <w:lang w:val="en-US" w:eastAsia="en-US" w:bidi="ar-SA"/>
      </w:rPr>
    </w:lvl>
    <w:lvl w:ilvl="8">
      <w:numFmt w:val="bullet"/>
      <w:lvlText w:val="•"/>
      <w:lvlJc w:val="left"/>
      <w:pPr>
        <w:ind w:left="8918" w:hanging="504"/>
      </w:pPr>
      <w:rPr>
        <w:rFonts w:hint="default"/>
        <w:lang w:val="en-US" w:eastAsia="en-US" w:bidi="ar-SA"/>
      </w:rPr>
    </w:lvl>
  </w:abstractNum>
  <w:abstractNum w:abstractNumId="2" w15:restartNumberingAfterBreak="0">
    <w:nsid w:val="163B176E"/>
    <w:multiLevelType w:val="hybridMultilevel"/>
    <w:tmpl w:val="00000000"/>
    <w:lvl w:ilvl="0" w:tplc="E3583658">
      <w:numFmt w:val="bullet"/>
      <w:lvlText w:val="⮚"/>
      <w:lvlJc w:val="left"/>
      <w:pPr>
        <w:ind w:left="1558" w:hanging="284"/>
      </w:pPr>
      <w:rPr>
        <w:rFonts w:ascii="Noto Sans Symbols2" w:eastAsia="Noto Sans Symbols2" w:hAnsi="Noto Sans Symbols2" w:cs="Noto Sans Symbols2" w:hint="default"/>
        <w:b w:val="0"/>
        <w:bCs w:val="0"/>
        <w:i w:val="0"/>
        <w:iCs w:val="0"/>
        <w:spacing w:val="0"/>
        <w:w w:val="106"/>
        <w:sz w:val="23"/>
        <w:szCs w:val="23"/>
        <w:lang w:val="en-US" w:eastAsia="en-US" w:bidi="ar-SA"/>
      </w:rPr>
    </w:lvl>
    <w:lvl w:ilvl="1" w:tplc="1A78BD0C">
      <w:numFmt w:val="bullet"/>
      <w:lvlText w:val="•"/>
      <w:lvlJc w:val="left"/>
      <w:pPr>
        <w:ind w:left="2580" w:hanging="284"/>
      </w:pPr>
      <w:rPr>
        <w:rFonts w:hint="default"/>
        <w:lang w:val="en-US" w:eastAsia="en-US" w:bidi="ar-SA"/>
      </w:rPr>
    </w:lvl>
    <w:lvl w:ilvl="2" w:tplc="27460C64">
      <w:numFmt w:val="bullet"/>
      <w:lvlText w:val="•"/>
      <w:lvlJc w:val="left"/>
      <w:pPr>
        <w:ind w:left="3601" w:hanging="284"/>
      </w:pPr>
      <w:rPr>
        <w:rFonts w:hint="default"/>
        <w:lang w:val="en-US" w:eastAsia="en-US" w:bidi="ar-SA"/>
      </w:rPr>
    </w:lvl>
    <w:lvl w:ilvl="3" w:tplc="C88892FE">
      <w:numFmt w:val="bullet"/>
      <w:lvlText w:val="•"/>
      <w:lvlJc w:val="left"/>
      <w:pPr>
        <w:ind w:left="4621" w:hanging="284"/>
      </w:pPr>
      <w:rPr>
        <w:rFonts w:hint="default"/>
        <w:lang w:val="en-US" w:eastAsia="en-US" w:bidi="ar-SA"/>
      </w:rPr>
    </w:lvl>
    <w:lvl w:ilvl="4" w:tplc="9DAC534C">
      <w:numFmt w:val="bullet"/>
      <w:lvlText w:val="•"/>
      <w:lvlJc w:val="left"/>
      <w:pPr>
        <w:ind w:left="5642" w:hanging="284"/>
      </w:pPr>
      <w:rPr>
        <w:rFonts w:hint="default"/>
        <w:lang w:val="en-US" w:eastAsia="en-US" w:bidi="ar-SA"/>
      </w:rPr>
    </w:lvl>
    <w:lvl w:ilvl="5" w:tplc="1666D060">
      <w:numFmt w:val="bullet"/>
      <w:lvlText w:val="•"/>
      <w:lvlJc w:val="left"/>
      <w:pPr>
        <w:ind w:left="6662" w:hanging="284"/>
      </w:pPr>
      <w:rPr>
        <w:rFonts w:hint="default"/>
        <w:lang w:val="en-US" w:eastAsia="en-US" w:bidi="ar-SA"/>
      </w:rPr>
    </w:lvl>
    <w:lvl w:ilvl="6" w:tplc="778A78DE">
      <w:numFmt w:val="bullet"/>
      <w:lvlText w:val="•"/>
      <w:lvlJc w:val="left"/>
      <w:pPr>
        <w:ind w:left="7683" w:hanging="284"/>
      </w:pPr>
      <w:rPr>
        <w:rFonts w:hint="default"/>
        <w:lang w:val="en-US" w:eastAsia="en-US" w:bidi="ar-SA"/>
      </w:rPr>
    </w:lvl>
    <w:lvl w:ilvl="7" w:tplc="4B5674C6">
      <w:numFmt w:val="bullet"/>
      <w:lvlText w:val="•"/>
      <w:lvlJc w:val="left"/>
      <w:pPr>
        <w:ind w:left="8703" w:hanging="284"/>
      </w:pPr>
      <w:rPr>
        <w:rFonts w:hint="default"/>
        <w:lang w:val="en-US" w:eastAsia="en-US" w:bidi="ar-SA"/>
      </w:rPr>
    </w:lvl>
    <w:lvl w:ilvl="8" w:tplc="59964F56">
      <w:numFmt w:val="bullet"/>
      <w:lvlText w:val="•"/>
      <w:lvlJc w:val="left"/>
      <w:pPr>
        <w:ind w:left="9724" w:hanging="284"/>
      </w:pPr>
      <w:rPr>
        <w:rFonts w:hint="default"/>
        <w:lang w:val="en-US" w:eastAsia="en-US" w:bidi="ar-SA"/>
      </w:rPr>
    </w:lvl>
  </w:abstractNum>
  <w:abstractNum w:abstractNumId="3" w15:restartNumberingAfterBreak="0">
    <w:nsid w:val="6BCCE033"/>
    <w:multiLevelType w:val="hybridMultilevel"/>
    <w:tmpl w:val="00000000"/>
    <w:lvl w:ilvl="0" w:tplc="298640D6">
      <w:start w:val="1"/>
      <w:numFmt w:val="lowerRoman"/>
      <w:lvlText w:val="(%1)"/>
      <w:lvlJc w:val="left"/>
      <w:pPr>
        <w:ind w:left="2380" w:hanging="720"/>
      </w:pPr>
      <w:rPr>
        <w:rFonts w:ascii="Times New Roman" w:eastAsia="Times New Roman" w:hAnsi="Times New Roman" w:cs="Times New Roman" w:hint="default"/>
        <w:b/>
        <w:bCs/>
        <w:i w:val="0"/>
        <w:iCs w:val="0"/>
        <w:spacing w:val="-1"/>
        <w:w w:val="103"/>
        <w:sz w:val="24"/>
        <w:szCs w:val="24"/>
        <w:lang w:val="en-US" w:eastAsia="en-US" w:bidi="ar-SA"/>
      </w:rPr>
    </w:lvl>
    <w:lvl w:ilvl="1" w:tplc="BE7ACA4E">
      <w:numFmt w:val="bullet"/>
      <w:lvlText w:val="•"/>
      <w:lvlJc w:val="left"/>
      <w:pPr>
        <w:ind w:left="3318" w:hanging="720"/>
      </w:pPr>
      <w:rPr>
        <w:rFonts w:hint="default"/>
        <w:lang w:val="en-US" w:eastAsia="en-US" w:bidi="ar-SA"/>
      </w:rPr>
    </w:lvl>
    <w:lvl w:ilvl="2" w:tplc="C7708B36">
      <w:numFmt w:val="bullet"/>
      <w:lvlText w:val="•"/>
      <w:lvlJc w:val="left"/>
      <w:pPr>
        <w:ind w:left="4257" w:hanging="720"/>
      </w:pPr>
      <w:rPr>
        <w:rFonts w:hint="default"/>
        <w:lang w:val="en-US" w:eastAsia="en-US" w:bidi="ar-SA"/>
      </w:rPr>
    </w:lvl>
    <w:lvl w:ilvl="3" w:tplc="FB9A0E84">
      <w:numFmt w:val="bullet"/>
      <w:lvlText w:val="•"/>
      <w:lvlJc w:val="left"/>
      <w:pPr>
        <w:ind w:left="5195" w:hanging="720"/>
      </w:pPr>
      <w:rPr>
        <w:rFonts w:hint="default"/>
        <w:lang w:val="en-US" w:eastAsia="en-US" w:bidi="ar-SA"/>
      </w:rPr>
    </w:lvl>
    <w:lvl w:ilvl="4" w:tplc="3E72FB1E">
      <w:numFmt w:val="bullet"/>
      <w:lvlText w:val="•"/>
      <w:lvlJc w:val="left"/>
      <w:pPr>
        <w:ind w:left="6134" w:hanging="720"/>
      </w:pPr>
      <w:rPr>
        <w:rFonts w:hint="default"/>
        <w:lang w:val="en-US" w:eastAsia="en-US" w:bidi="ar-SA"/>
      </w:rPr>
    </w:lvl>
    <w:lvl w:ilvl="5" w:tplc="77C88F38">
      <w:numFmt w:val="bullet"/>
      <w:lvlText w:val="•"/>
      <w:lvlJc w:val="left"/>
      <w:pPr>
        <w:ind w:left="7072" w:hanging="720"/>
      </w:pPr>
      <w:rPr>
        <w:rFonts w:hint="default"/>
        <w:lang w:val="en-US" w:eastAsia="en-US" w:bidi="ar-SA"/>
      </w:rPr>
    </w:lvl>
    <w:lvl w:ilvl="6" w:tplc="E14A6FF2">
      <w:numFmt w:val="bullet"/>
      <w:lvlText w:val="•"/>
      <w:lvlJc w:val="left"/>
      <w:pPr>
        <w:ind w:left="8011" w:hanging="720"/>
      </w:pPr>
      <w:rPr>
        <w:rFonts w:hint="default"/>
        <w:lang w:val="en-US" w:eastAsia="en-US" w:bidi="ar-SA"/>
      </w:rPr>
    </w:lvl>
    <w:lvl w:ilvl="7" w:tplc="31B2F388">
      <w:numFmt w:val="bullet"/>
      <w:lvlText w:val="•"/>
      <w:lvlJc w:val="left"/>
      <w:pPr>
        <w:ind w:left="8949" w:hanging="720"/>
      </w:pPr>
      <w:rPr>
        <w:rFonts w:hint="default"/>
        <w:lang w:val="en-US" w:eastAsia="en-US" w:bidi="ar-SA"/>
      </w:rPr>
    </w:lvl>
    <w:lvl w:ilvl="8" w:tplc="398C2B80">
      <w:numFmt w:val="bullet"/>
      <w:lvlText w:val="•"/>
      <w:lvlJc w:val="left"/>
      <w:pPr>
        <w:ind w:left="9888" w:hanging="720"/>
      </w:pPr>
      <w:rPr>
        <w:rFonts w:hint="default"/>
        <w:lang w:val="en-US" w:eastAsia="en-US" w:bidi="ar-SA"/>
      </w:rPr>
    </w:lvl>
  </w:abstractNum>
  <w:abstractNum w:abstractNumId="4" w15:restartNumberingAfterBreak="0">
    <w:nsid w:val="7124D7CA"/>
    <w:multiLevelType w:val="hybridMultilevel"/>
    <w:tmpl w:val="00000000"/>
    <w:lvl w:ilvl="0" w:tplc="4BB24178">
      <w:start w:val="1"/>
      <w:numFmt w:val="decimal"/>
      <w:lvlText w:val="%1."/>
      <w:lvlJc w:val="left"/>
      <w:pPr>
        <w:ind w:left="1725" w:hanging="426"/>
      </w:pPr>
      <w:rPr>
        <w:rFonts w:hint="default"/>
        <w:spacing w:val="0"/>
        <w:w w:val="100"/>
        <w:lang w:val="en-US" w:eastAsia="en-US" w:bidi="ar-SA"/>
      </w:rPr>
    </w:lvl>
    <w:lvl w:ilvl="1" w:tplc="14A2E382">
      <w:numFmt w:val="bullet"/>
      <w:lvlText w:val="•"/>
      <w:lvlJc w:val="left"/>
      <w:pPr>
        <w:ind w:left="2724" w:hanging="426"/>
      </w:pPr>
      <w:rPr>
        <w:rFonts w:hint="default"/>
        <w:lang w:val="en-US" w:eastAsia="en-US" w:bidi="ar-SA"/>
      </w:rPr>
    </w:lvl>
    <w:lvl w:ilvl="2" w:tplc="B6464BB0">
      <w:numFmt w:val="bullet"/>
      <w:lvlText w:val="•"/>
      <w:lvlJc w:val="left"/>
      <w:pPr>
        <w:ind w:left="3729" w:hanging="426"/>
      </w:pPr>
      <w:rPr>
        <w:rFonts w:hint="default"/>
        <w:lang w:val="en-US" w:eastAsia="en-US" w:bidi="ar-SA"/>
      </w:rPr>
    </w:lvl>
    <w:lvl w:ilvl="3" w:tplc="2BCCB3CC">
      <w:numFmt w:val="bullet"/>
      <w:lvlText w:val="•"/>
      <w:lvlJc w:val="left"/>
      <w:pPr>
        <w:ind w:left="4733" w:hanging="426"/>
      </w:pPr>
      <w:rPr>
        <w:rFonts w:hint="default"/>
        <w:lang w:val="en-US" w:eastAsia="en-US" w:bidi="ar-SA"/>
      </w:rPr>
    </w:lvl>
    <w:lvl w:ilvl="4" w:tplc="35C67938">
      <w:numFmt w:val="bullet"/>
      <w:lvlText w:val="•"/>
      <w:lvlJc w:val="left"/>
      <w:pPr>
        <w:ind w:left="5738" w:hanging="426"/>
      </w:pPr>
      <w:rPr>
        <w:rFonts w:hint="default"/>
        <w:lang w:val="en-US" w:eastAsia="en-US" w:bidi="ar-SA"/>
      </w:rPr>
    </w:lvl>
    <w:lvl w:ilvl="5" w:tplc="EA267B0E">
      <w:numFmt w:val="bullet"/>
      <w:lvlText w:val="•"/>
      <w:lvlJc w:val="left"/>
      <w:pPr>
        <w:ind w:left="6742" w:hanging="426"/>
      </w:pPr>
      <w:rPr>
        <w:rFonts w:hint="default"/>
        <w:lang w:val="en-US" w:eastAsia="en-US" w:bidi="ar-SA"/>
      </w:rPr>
    </w:lvl>
    <w:lvl w:ilvl="6" w:tplc="315CEEA8">
      <w:numFmt w:val="bullet"/>
      <w:lvlText w:val="•"/>
      <w:lvlJc w:val="left"/>
      <w:pPr>
        <w:ind w:left="7747" w:hanging="426"/>
      </w:pPr>
      <w:rPr>
        <w:rFonts w:hint="default"/>
        <w:lang w:val="en-US" w:eastAsia="en-US" w:bidi="ar-SA"/>
      </w:rPr>
    </w:lvl>
    <w:lvl w:ilvl="7" w:tplc="3ED4C086">
      <w:numFmt w:val="bullet"/>
      <w:lvlText w:val="•"/>
      <w:lvlJc w:val="left"/>
      <w:pPr>
        <w:ind w:left="8751" w:hanging="426"/>
      </w:pPr>
      <w:rPr>
        <w:rFonts w:hint="default"/>
        <w:lang w:val="en-US" w:eastAsia="en-US" w:bidi="ar-SA"/>
      </w:rPr>
    </w:lvl>
    <w:lvl w:ilvl="8" w:tplc="769E0EE8">
      <w:numFmt w:val="bullet"/>
      <w:lvlText w:val="•"/>
      <w:lvlJc w:val="left"/>
      <w:pPr>
        <w:ind w:left="9756" w:hanging="426"/>
      </w:pPr>
      <w:rPr>
        <w:rFonts w:hint="default"/>
        <w:lang w:val="en-US" w:eastAsia="en-US" w:bidi="ar-SA"/>
      </w:rPr>
    </w:lvl>
  </w:abstractNum>
  <w:abstractNum w:abstractNumId="5" w15:restartNumberingAfterBreak="0">
    <w:nsid w:val="7DE6051E"/>
    <w:multiLevelType w:val="hybridMultilevel"/>
    <w:tmpl w:val="00000000"/>
    <w:lvl w:ilvl="0" w:tplc="24789BB6">
      <w:start w:val="1"/>
      <w:numFmt w:val="decimal"/>
      <w:lvlText w:val="%1."/>
      <w:lvlJc w:val="left"/>
      <w:pPr>
        <w:ind w:left="552" w:hanging="356"/>
      </w:pPr>
      <w:rPr>
        <w:rFonts w:ascii="Times New Roman" w:eastAsia="Times New Roman" w:hAnsi="Times New Roman" w:cs="Times New Roman" w:hint="default"/>
        <w:b w:val="0"/>
        <w:bCs w:val="0"/>
        <w:i w:val="0"/>
        <w:iCs w:val="0"/>
        <w:spacing w:val="-1"/>
        <w:w w:val="101"/>
        <w:sz w:val="23"/>
        <w:szCs w:val="23"/>
        <w:lang w:val="en-US" w:eastAsia="en-US" w:bidi="ar-SA"/>
      </w:rPr>
    </w:lvl>
    <w:lvl w:ilvl="1" w:tplc="325A2FFC">
      <w:start w:val="1"/>
      <w:numFmt w:val="lowerLetter"/>
      <w:lvlText w:val="%2."/>
      <w:lvlJc w:val="left"/>
      <w:pPr>
        <w:ind w:left="1097" w:hanging="425"/>
      </w:pPr>
      <w:rPr>
        <w:rFonts w:ascii="Times New Roman" w:eastAsia="Times New Roman" w:hAnsi="Times New Roman" w:cs="Times New Roman" w:hint="default"/>
        <w:b w:val="0"/>
        <w:bCs w:val="0"/>
        <w:i w:val="0"/>
        <w:iCs w:val="0"/>
        <w:spacing w:val="0"/>
        <w:w w:val="100"/>
        <w:sz w:val="23"/>
        <w:szCs w:val="23"/>
        <w:lang w:val="en-US" w:eastAsia="en-US" w:bidi="ar-SA"/>
      </w:rPr>
    </w:lvl>
    <w:lvl w:ilvl="2" w:tplc="332EF608">
      <w:numFmt w:val="bullet"/>
      <w:lvlText w:val="•"/>
      <w:lvlJc w:val="left"/>
      <w:pPr>
        <w:ind w:left="2046" w:hanging="425"/>
      </w:pPr>
      <w:rPr>
        <w:rFonts w:hint="default"/>
        <w:lang w:val="en-US" w:eastAsia="en-US" w:bidi="ar-SA"/>
      </w:rPr>
    </w:lvl>
    <w:lvl w:ilvl="3" w:tplc="38E284E0">
      <w:numFmt w:val="bullet"/>
      <w:lvlText w:val="•"/>
      <w:lvlJc w:val="left"/>
      <w:pPr>
        <w:ind w:left="2993" w:hanging="425"/>
      </w:pPr>
      <w:rPr>
        <w:rFonts w:hint="default"/>
        <w:lang w:val="en-US" w:eastAsia="en-US" w:bidi="ar-SA"/>
      </w:rPr>
    </w:lvl>
    <w:lvl w:ilvl="4" w:tplc="0E0050F4">
      <w:numFmt w:val="bullet"/>
      <w:lvlText w:val="•"/>
      <w:lvlJc w:val="left"/>
      <w:pPr>
        <w:ind w:left="3940" w:hanging="425"/>
      </w:pPr>
      <w:rPr>
        <w:rFonts w:hint="default"/>
        <w:lang w:val="en-US" w:eastAsia="en-US" w:bidi="ar-SA"/>
      </w:rPr>
    </w:lvl>
    <w:lvl w:ilvl="5" w:tplc="F88003A4">
      <w:numFmt w:val="bullet"/>
      <w:lvlText w:val="•"/>
      <w:lvlJc w:val="left"/>
      <w:pPr>
        <w:ind w:left="4887" w:hanging="425"/>
      </w:pPr>
      <w:rPr>
        <w:rFonts w:hint="default"/>
        <w:lang w:val="en-US" w:eastAsia="en-US" w:bidi="ar-SA"/>
      </w:rPr>
    </w:lvl>
    <w:lvl w:ilvl="6" w:tplc="27961074">
      <w:numFmt w:val="bullet"/>
      <w:lvlText w:val="•"/>
      <w:lvlJc w:val="left"/>
      <w:pPr>
        <w:ind w:left="5834" w:hanging="425"/>
      </w:pPr>
      <w:rPr>
        <w:rFonts w:hint="default"/>
        <w:lang w:val="en-US" w:eastAsia="en-US" w:bidi="ar-SA"/>
      </w:rPr>
    </w:lvl>
    <w:lvl w:ilvl="7" w:tplc="7E82B048">
      <w:numFmt w:val="bullet"/>
      <w:lvlText w:val="•"/>
      <w:lvlJc w:val="left"/>
      <w:pPr>
        <w:ind w:left="6780" w:hanging="425"/>
      </w:pPr>
      <w:rPr>
        <w:rFonts w:hint="default"/>
        <w:lang w:val="en-US" w:eastAsia="en-US" w:bidi="ar-SA"/>
      </w:rPr>
    </w:lvl>
    <w:lvl w:ilvl="8" w:tplc="6C8811C0">
      <w:numFmt w:val="bullet"/>
      <w:lvlText w:val="•"/>
      <w:lvlJc w:val="left"/>
      <w:pPr>
        <w:ind w:left="7727" w:hanging="425"/>
      </w:pPr>
      <w:rPr>
        <w:rFonts w:hint="default"/>
        <w:lang w:val="en-US" w:eastAsia="en-US" w:bidi="ar-SA"/>
      </w:rPr>
    </w:lvl>
  </w:abstractNum>
  <w:abstractNum w:abstractNumId="6" w15:restartNumberingAfterBreak="0">
    <w:nsid w:val="7FE2FD1C"/>
    <w:multiLevelType w:val="hybridMultilevel"/>
    <w:tmpl w:val="00000000"/>
    <w:lvl w:ilvl="0" w:tplc="F9749ED2">
      <w:numFmt w:val="bullet"/>
      <w:lvlText w:val="•"/>
      <w:lvlJc w:val="left"/>
      <w:pPr>
        <w:ind w:left="2019" w:hanging="360"/>
      </w:pPr>
      <w:rPr>
        <w:rFonts w:ascii="Calibri" w:eastAsia="Calibri" w:hAnsi="Calibri" w:cs="Calibri" w:hint="default"/>
        <w:spacing w:val="0"/>
        <w:w w:val="92"/>
        <w:lang w:val="en-US" w:eastAsia="en-US" w:bidi="ar-SA"/>
      </w:rPr>
    </w:lvl>
    <w:lvl w:ilvl="1" w:tplc="58341B4C">
      <w:numFmt w:val="bullet"/>
      <w:lvlText w:val="•"/>
      <w:lvlJc w:val="left"/>
      <w:pPr>
        <w:ind w:left="2994" w:hanging="360"/>
      </w:pPr>
      <w:rPr>
        <w:rFonts w:hint="default"/>
        <w:lang w:val="en-US" w:eastAsia="en-US" w:bidi="ar-SA"/>
      </w:rPr>
    </w:lvl>
    <w:lvl w:ilvl="2" w:tplc="78304FA6">
      <w:numFmt w:val="bullet"/>
      <w:lvlText w:val="•"/>
      <w:lvlJc w:val="left"/>
      <w:pPr>
        <w:ind w:left="3969" w:hanging="360"/>
      </w:pPr>
      <w:rPr>
        <w:rFonts w:hint="default"/>
        <w:lang w:val="en-US" w:eastAsia="en-US" w:bidi="ar-SA"/>
      </w:rPr>
    </w:lvl>
    <w:lvl w:ilvl="3" w:tplc="E5544A9E">
      <w:numFmt w:val="bullet"/>
      <w:lvlText w:val="•"/>
      <w:lvlJc w:val="left"/>
      <w:pPr>
        <w:ind w:left="4943" w:hanging="360"/>
      </w:pPr>
      <w:rPr>
        <w:rFonts w:hint="default"/>
        <w:lang w:val="en-US" w:eastAsia="en-US" w:bidi="ar-SA"/>
      </w:rPr>
    </w:lvl>
    <w:lvl w:ilvl="4" w:tplc="F9280320">
      <w:numFmt w:val="bullet"/>
      <w:lvlText w:val="•"/>
      <w:lvlJc w:val="left"/>
      <w:pPr>
        <w:ind w:left="5918" w:hanging="360"/>
      </w:pPr>
      <w:rPr>
        <w:rFonts w:hint="default"/>
        <w:lang w:val="en-US" w:eastAsia="en-US" w:bidi="ar-SA"/>
      </w:rPr>
    </w:lvl>
    <w:lvl w:ilvl="5" w:tplc="312CBAB4">
      <w:numFmt w:val="bullet"/>
      <w:lvlText w:val="•"/>
      <w:lvlJc w:val="left"/>
      <w:pPr>
        <w:ind w:left="6892" w:hanging="360"/>
      </w:pPr>
      <w:rPr>
        <w:rFonts w:hint="default"/>
        <w:lang w:val="en-US" w:eastAsia="en-US" w:bidi="ar-SA"/>
      </w:rPr>
    </w:lvl>
    <w:lvl w:ilvl="6" w:tplc="FBF6AB22">
      <w:numFmt w:val="bullet"/>
      <w:lvlText w:val="•"/>
      <w:lvlJc w:val="left"/>
      <w:pPr>
        <w:ind w:left="7867" w:hanging="360"/>
      </w:pPr>
      <w:rPr>
        <w:rFonts w:hint="default"/>
        <w:lang w:val="en-US" w:eastAsia="en-US" w:bidi="ar-SA"/>
      </w:rPr>
    </w:lvl>
    <w:lvl w:ilvl="7" w:tplc="DE60A1CE">
      <w:numFmt w:val="bullet"/>
      <w:lvlText w:val="•"/>
      <w:lvlJc w:val="left"/>
      <w:pPr>
        <w:ind w:left="8841" w:hanging="360"/>
      </w:pPr>
      <w:rPr>
        <w:rFonts w:hint="default"/>
        <w:lang w:val="en-US" w:eastAsia="en-US" w:bidi="ar-SA"/>
      </w:rPr>
    </w:lvl>
    <w:lvl w:ilvl="8" w:tplc="F9C0E8B2">
      <w:numFmt w:val="bullet"/>
      <w:lvlText w:val="•"/>
      <w:lvlJc w:val="left"/>
      <w:pPr>
        <w:ind w:left="9816" w:hanging="360"/>
      </w:pPr>
      <w:rPr>
        <w:rFonts w:hint="default"/>
        <w:lang w:val="en-US" w:eastAsia="en-US" w:bidi="ar-SA"/>
      </w:rPr>
    </w:lvl>
  </w:abstractNum>
  <w:num w:numId="1" w16cid:durableId="225265770">
    <w:abstractNumId w:val="0"/>
  </w:num>
  <w:num w:numId="2" w16cid:durableId="838739234">
    <w:abstractNumId w:val="4"/>
  </w:num>
  <w:num w:numId="3" w16cid:durableId="640696941">
    <w:abstractNumId w:val="6"/>
  </w:num>
  <w:num w:numId="4" w16cid:durableId="2076588607">
    <w:abstractNumId w:val="3"/>
  </w:num>
  <w:num w:numId="5" w16cid:durableId="746804715">
    <w:abstractNumId w:val="1"/>
  </w:num>
  <w:num w:numId="6" w16cid:durableId="654380751">
    <w:abstractNumId w:val="5"/>
  </w:num>
  <w:num w:numId="7" w16cid:durableId="1804233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BEA"/>
    <w:rsid w:val="00007286"/>
    <w:rsid w:val="00041072"/>
    <w:rsid w:val="000E2BC2"/>
    <w:rsid w:val="001D226A"/>
    <w:rsid w:val="00295362"/>
    <w:rsid w:val="00297926"/>
    <w:rsid w:val="002F42A3"/>
    <w:rsid w:val="0031682B"/>
    <w:rsid w:val="00322D64"/>
    <w:rsid w:val="003261FB"/>
    <w:rsid w:val="003317E9"/>
    <w:rsid w:val="0036592F"/>
    <w:rsid w:val="003A5F03"/>
    <w:rsid w:val="003A5F22"/>
    <w:rsid w:val="003D653A"/>
    <w:rsid w:val="0043624F"/>
    <w:rsid w:val="004447F9"/>
    <w:rsid w:val="00451C2A"/>
    <w:rsid w:val="0046093A"/>
    <w:rsid w:val="004E47B0"/>
    <w:rsid w:val="00572BEA"/>
    <w:rsid w:val="00670C51"/>
    <w:rsid w:val="006D745A"/>
    <w:rsid w:val="00734203"/>
    <w:rsid w:val="007515D2"/>
    <w:rsid w:val="007536D7"/>
    <w:rsid w:val="00763ADE"/>
    <w:rsid w:val="0077619F"/>
    <w:rsid w:val="0078715B"/>
    <w:rsid w:val="008157B1"/>
    <w:rsid w:val="008363AD"/>
    <w:rsid w:val="008370C6"/>
    <w:rsid w:val="0084643F"/>
    <w:rsid w:val="008763C6"/>
    <w:rsid w:val="008A11FE"/>
    <w:rsid w:val="009012F9"/>
    <w:rsid w:val="00905E9F"/>
    <w:rsid w:val="009939F4"/>
    <w:rsid w:val="00A2271F"/>
    <w:rsid w:val="00A93F5F"/>
    <w:rsid w:val="00B357D6"/>
    <w:rsid w:val="00B77DEF"/>
    <w:rsid w:val="00B86519"/>
    <w:rsid w:val="00BB65A9"/>
    <w:rsid w:val="00BF69F6"/>
    <w:rsid w:val="00C05F1A"/>
    <w:rsid w:val="00C45FD8"/>
    <w:rsid w:val="00C97C3C"/>
    <w:rsid w:val="00C97CB3"/>
    <w:rsid w:val="00CB5EC8"/>
    <w:rsid w:val="00CE5569"/>
    <w:rsid w:val="00CF0E9A"/>
    <w:rsid w:val="00D21F8E"/>
    <w:rsid w:val="00D2282B"/>
    <w:rsid w:val="00D31B04"/>
    <w:rsid w:val="00D4549D"/>
    <w:rsid w:val="00D7071A"/>
    <w:rsid w:val="00DD4AC3"/>
    <w:rsid w:val="00DE2002"/>
    <w:rsid w:val="00DF0EC9"/>
    <w:rsid w:val="00E2043A"/>
    <w:rsid w:val="00E4444A"/>
    <w:rsid w:val="00EAE794"/>
    <w:rsid w:val="00EB289A"/>
    <w:rsid w:val="00EB2F1D"/>
    <w:rsid w:val="00ED1563"/>
    <w:rsid w:val="00F20725"/>
    <w:rsid w:val="00F46A43"/>
    <w:rsid w:val="00F903A4"/>
    <w:rsid w:val="00FB77C4"/>
    <w:rsid w:val="00FD3165"/>
    <w:rsid w:val="03377B0F"/>
    <w:rsid w:val="043E65E0"/>
    <w:rsid w:val="091631C2"/>
    <w:rsid w:val="0A43F8F7"/>
    <w:rsid w:val="106D495A"/>
    <w:rsid w:val="1225E032"/>
    <w:rsid w:val="14F23C3E"/>
    <w:rsid w:val="177DDF60"/>
    <w:rsid w:val="178166D4"/>
    <w:rsid w:val="1822D6EC"/>
    <w:rsid w:val="18B951E5"/>
    <w:rsid w:val="1A9057EC"/>
    <w:rsid w:val="1D3FF2F5"/>
    <w:rsid w:val="1D70544D"/>
    <w:rsid w:val="2559EB37"/>
    <w:rsid w:val="2802CEF6"/>
    <w:rsid w:val="291A752A"/>
    <w:rsid w:val="2B2D2260"/>
    <w:rsid w:val="2B57A4FF"/>
    <w:rsid w:val="2BF249BF"/>
    <w:rsid w:val="30BCEA8A"/>
    <w:rsid w:val="31D02006"/>
    <w:rsid w:val="37CDA85C"/>
    <w:rsid w:val="3CF7C6C1"/>
    <w:rsid w:val="405A7624"/>
    <w:rsid w:val="4341DC95"/>
    <w:rsid w:val="4419E818"/>
    <w:rsid w:val="4919D369"/>
    <w:rsid w:val="4B4E6A4F"/>
    <w:rsid w:val="4FAABB8E"/>
    <w:rsid w:val="4FC29337"/>
    <w:rsid w:val="4FCB324E"/>
    <w:rsid w:val="51FEACDF"/>
    <w:rsid w:val="5221093D"/>
    <w:rsid w:val="5DC965EC"/>
    <w:rsid w:val="5E812277"/>
    <w:rsid w:val="62927974"/>
    <w:rsid w:val="65969BE9"/>
    <w:rsid w:val="66D874A1"/>
    <w:rsid w:val="67DF835D"/>
    <w:rsid w:val="6829E1F4"/>
    <w:rsid w:val="68FBB658"/>
    <w:rsid w:val="6F5D044A"/>
    <w:rsid w:val="79FAC650"/>
    <w:rsid w:val="79FB244E"/>
    <w:rsid w:val="7F05424B"/>
    <w:rsid w:val="7F0DF2CB"/>
    <w:rsid w:val="7F70B45D"/>
    <w:rsid w:val="7FD1C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C1F12"/>
  <w15:docId w15:val="{4EBC2F32-23B9-4591-AE6E-4BE21212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481"/>
      <w:ind w:left="3612" w:right="1121" w:hanging="2492"/>
      <w:outlineLvl w:val="0"/>
    </w:pPr>
    <w:rPr>
      <w:b/>
      <w:bCs/>
      <w:sz w:val="40"/>
      <w:szCs w:val="40"/>
    </w:rPr>
  </w:style>
  <w:style w:type="paragraph" w:styleId="2">
    <w:name w:val="heading 2"/>
    <w:basedOn w:val="a"/>
    <w:uiPriority w:val="1"/>
    <w:qFormat/>
    <w:pPr>
      <w:spacing w:before="1"/>
      <w:ind w:left="2323" w:right="2462"/>
      <w:jc w:val="center"/>
      <w:outlineLvl w:val="1"/>
    </w:pPr>
    <w:rPr>
      <w:b/>
      <w:bCs/>
      <w:sz w:val="36"/>
      <w:szCs w:val="36"/>
    </w:rPr>
  </w:style>
  <w:style w:type="paragraph" w:styleId="3">
    <w:name w:val="heading 3"/>
    <w:basedOn w:val="a"/>
    <w:uiPriority w:val="1"/>
    <w:qFormat/>
    <w:pPr>
      <w:spacing w:before="261"/>
      <w:ind w:left="1573" w:hanging="274"/>
      <w:outlineLvl w:val="2"/>
    </w:pPr>
    <w:rPr>
      <w:b/>
      <w:bCs/>
      <w:sz w:val="28"/>
      <w:szCs w:val="28"/>
    </w:rPr>
  </w:style>
  <w:style w:type="paragraph" w:styleId="4">
    <w:name w:val="heading 4"/>
    <w:basedOn w:val="a"/>
    <w:uiPriority w:val="1"/>
    <w:qFormat/>
    <w:pPr>
      <w:spacing w:before="253"/>
      <w:ind w:left="1646" w:hanging="347"/>
      <w:outlineLvl w:val="3"/>
    </w:pPr>
    <w:rPr>
      <w:b/>
      <w:bCs/>
      <w:i/>
      <w:iCs/>
      <w:sz w:val="25"/>
      <w:szCs w:val="25"/>
    </w:rPr>
  </w:style>
  <w:style w:type="paragraph" w:styleId="5">
    <w:name w:val="heading 5"/>
    <w:basedOn w:val="a"/>
    <w:uiPriority w:val="1"/>
    <w:qFormat/>
    <w:pPr>
      <w:ind w:left="1299"/>
      <w:outlineLvl w:val="4"/>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1582" w:right="1438" w:hanging="360"/>
      <w:jc w:val="both"/>
    </w:pPr>
  </w:style>
  <w:style w:type="paragraph" w:customStyle="1" w:styleId="TableParagraph">
    <w:name w:val="Table Paragraph"/>
    <w:basedOn w:val="a"/>
    <w:uiPriority w:val="1"/>
    <w:qFormat/>
    <w:rPr>
      <w:rFonts w:ascii="Calibri" w:eastAsia="Calibri" w:hAnsi="Calibri" w:cs="Calibri"/>
    </w:rPr>
  </w:style>
  <w:style w:type="paragraph" w:styleId="a6">
    <w:name w:val="header"/>
    <w:basedOn w:val="a"/>
    <w:link w:val="a7"/>
    <w:uiPriority w:val="99"/>
    <w:unhideWhenUsed/>
    <w:rsid w:val="008A11FE"/>
    <w:pPr>
      <w:tabs>
        <w:tab w:val="center" w:pos="4252"/>
        <w:tab w:val="right" w:pos="8504"/>
      </w:tabs>
      <w:snapToGrid w:val="0"/>
    </w:pPr>
  </w:style>
  <w:style w:type="character" w:customStyle="1" w:styleId="a7">
    <w:name w:val="ヘッダー (文字)"/>
    <w:basedOn w:val="a0"/>
    <w:link w:val="a6"/>
    <w:uiPriority w:val="99"/>
    <w:rsid w:val="008A11FE"/>
    <w:rPr>
      <w:rFonts w:ascii="Times New Roman" w:eastAsia="Times New Roman" w:hAnsi="Times New Roman" w:cs="Times New Roman"/>
    </w:rPr>
  </w:style>
  <w:style w:type="paragraph" w:styleId="a8">
    <w:name w:val="footer"/>
    <w:basedOn w:val="a"/>
    <w:link w:val="a9"/>
    <w:uiPriority w:val="99"/>
    <w:unhideWhenUsed/>
    <w:rsid w:val="008A11FE"/>
    <w:pPr>
      <w:tabs>
        <w:tab w:val="center" w:pos="4252"/>
        <w:tab w:val="right" w:pos="8504"/>
      </w:tabs>
      <w:snapToGrid w:val="0"/>
    </w:pPr>
  </w:style>
  <w:style w:type="character" w:customStyle="1" w:styleId="a9">
    <w:name w:val="フッター (文字)"/>
    <w:basedOn w:val="a0"/>
    <w:link w:val="a8"/>
    <w:uiPriority w:val="99"/>
    <w:rsid w:val="008A11FE"/>
    <w:rPr>
      <w:rFonts w:ascii="Times New Roman" w:eastAsia="Times New Roman" w:hAnsi="Times New Roman" w:cs="Times New Roman"/>
    </w:rPr>
  </w:style>
  <w:style w:type="paragraph" w:styleId="aa">
    <w:name w:val="footnote text"/>
    <w:basedOn w:val="a"/>
    <w:link w:val="ab"/>
    <w:uiPriority w:val="99"/>
    <w:semiHidden/>
    <w:unhideWhenUsed/>
    <w:rsid w:val="0077619F"/>
    <w:pPr>
      <w:snapToGrid w:val="0"/>
    </w:pPr>
  </w:style>
  <w:style w:type="character" w:customStyle="1" w:styleId="ab">
    <w:name w:val="脚注文字列 (文字)"/>
    <w:basedOn w:val="a0"/>
    <w:link w:val="aa"/>
    <w:uiPriority w:val="99"/>
    <w:semiHidden/>
    <w:rsid w:val="0077619F"/>
    <w:rPr>
      <w:rFonts w:ascii="Times New Roman" w:eastAsia="Times New Roman" w:hAnsi="Times New Roman" w:cs="Times New Roman"/>
    </w:rPr>
  </w:style>
  <w:style w:type="character" w:styleId="ac">
    <w:name w:val="footnote reference"/>
    <w:basedOn w:val="a0"/>
    <w:uiPriority w:val="99"/>
    <w:semiHidden/>
    <w:unhideWhenUsed/>
    <w:rsid w:val="0077619F"/>
    <w:rPr>
      <w:vertAlign w:val="superscript"/>
    </w:rPr>
  </w:style>
  <w:style w:type="paragraph" w:customStyle="1" w:styleId="10">
    <w:name w:val="スタイル1"/>
    <w:basedOn w:val="a3"/>
    <w:link w:val="11"/>
    <w:uiPriority w:val="1"/>
    <w:qFormat/>
    <w:rsid w:val="00670C51"/>
    <w:pPr>
      <w:spacing w:before="270" w:line="235" w:lineRule="auto"/>
      <w:ind w:left="1299" w:right="1430" w:firstLineChars="100" w:firstLine="190"/>
      <w:jc w:val="both"/>
    </w:pPr>
    <w:rPr>
      <w:sz w:val="19"/>
      <w:lang w:eastAsia="ja-JP"/>
    </w:rPr>
  </w:style>
  <w:style w:type="character" w:customStyle="1" w:styleId="a4">
    <w:name w:val="本文 (文字)"/>
    <w:basedOn w:val="a0"/>
    <w:link w:val="a3"/>
    <w:uiPriority w:val="1"/>
    <w:rsid w:val="00670C51"/>
    <w:rPr>
      <w:rFonts w:ascii="Times New Roman" w:eastAsia="Times New Roman" w:hAnsi="Times New Roman" w:cs="Times New Roman"/>
      <w:sz w:val="24"/>
      <w:szCs w:val="24"/>
    </w:rPr>
  </w:style>
  <w:style w:type="character" w:customStyle="1" w:styleId="11">
    <w:name w:val="スタイル1 (文字)"/>
    <w:basedOn w:val="a4"/>
    <w:link w:val="10"/>
    <w:uiPriority w:val="1"/>
    <w:rsid w:val="00670C51"/>
    <w:rPr>
      <w:rFonts w:ascii="Times New Roman" w:eastAsia="Times New Roman" w:hAnsi="Times New Roman" w:cs="Times New Roman"/>
      <w:sz w:val="19"/>
      <w:szCs w:val="24"/>
      <w:lang w:eastAsia="ja-JP"/>
    </w:rPr>
  </w:style>
  <w:style w:type="paragraph" w:customStyle="1" w:styleId="20">
    <w:name w:val="スタイル2"/>
    <w:basedOn w:val="a3"/>
    <w:link w:val="21"/>
    <w:uiPriority w:val="1"/>
    <w:qFormat/>
    <w:rsid w:val="00670C51"/>
    <w:pPr>
      <w:spacing w:before="270" w:line="235" w:lineRule="auto"/>
      <w:ind w:left="1299" w:right="1430" w:firstLineChars="100" w:firstLine="190"/>
    </w:pPr>
    <w:rPr>
      <w:rFonts w:ascii="ＭＳ 明朝" w:eastAsia="ＭＳ 明朝" w:hAnsi="ＭＳ 明朝" w:cs="ＭＳ 明朝"/>
    </w:rPr>
  </w:style>
  <w:style w:type="character" w:customStyle="1" w:styleId="21">
    <w:name w:val="スタイル2 (文字)"/>
    <w:basedOn w:val="a4"/>
    <w:link w:val="20"/>
    <w:uiPriority w:val="1"/>
    <w:rsid w:val="00670C51"/>
    <w:rPr>
      <w:rFonts w:ascii="ＭＳ 明朝" w:eastAsia="ＭＳ 明朝" w:hAnsi="ＭＳ 明朝" w:cs="ＭＳ 明朝"/>
      <w:sz w:val="24"/>
      <w:szCs w:val="24"/>
    </w:rPr>
  </w:style>
  <w:style w:type="paragraph" w:customStyle="1" w:styleId="30">
    <w:name w:val="スタイル3"/>
    <w:basedOn w:val="a3"/>
    <w:link w:val="31"/>
    <w:uiPriority w:val="1"/>
    <w:qFormat/>
    <w:rsid w:val="009939F4"/>
    <w:pPr>
      <w:spacing w:before="270" w:line="235" w:lineRule="auto"/>
      <w:ind w:left="1299" w:right="1430" w:firstLineChars="100" w:firstLine="210"/>
    </w:pPr>
    <w:rPr>
      <w:sz w:val="21"/>
      <w:szCs w:val="21"/>
    </w:rPr>
  </w:style>
  <w:style w:type="character" w:customStyle="1" w:styleId="31">
    <w:name w:val="スタイル3 (文字)"/>
    <w:basedOn w:val="a4"/>
    <w:link w:val="30"/>
    <w:uiPriority w:val="1"/>
    <w:rsid w:val="009939F4"/>
    <w:rPr>
      <w:rFonts w:ascii="Times New Roman" w:eastAsia="Times New Roman" w:hAnsi="Times New Roman" w:cs="Times New Roman"/>
      <w:sz w:val="21"/>
      <w:szCs w:val="21"/>
    </w:rPr>
  </w:style>
  <w:style w:type="paragraph" w:customStyle="1" w:styleId="40">
    <w:name w:val="スタイル4"/>
    <w:basedOn w:val="a3"/>
    <w:link w:val="41"/>
    <w:uiPriority w:val="1"/>
    <w:qFormat/>
    <w:rsid w:val="009939F4"/>
    <w:pPr>
      <w:spacing w:before="267" w:line="235" w:lineRule="auto"/>
      <w:ind w:left="1299" w:right="1432"/>
    </w:pPr>
    <w:rPr>
      <w:rFonts w:ascii="ＭＳ 明朝" w:eastAsia="ＭＳ 明朝" w:hAnsi="ＭＳ 明朝" w:cs="ＭＳ 明朝"/>
    </w:rPr>
  </w:style>
  <w:style w:type="character" w:customStyle="1" w:styleId="41">
    <w:name w:val="スタイル4 (文字)"/>
    <w:basedOn w:val="a4"/>
    <w:link w:val="40"/>
    <w:uiPriority w:val="1"/>
    <w:rsid w:val="009939F4"/>
    <w:rPr>
      <w:rFonts w:ascii="ＭＳ 明朝" w:eastAsia="ＭＳ 明朝" w:hAnsi="ＭＳ 明朝" w:cs="ＭＳ 明朝"/>
      <w:sz w:val="24"/>
      <w:szCs w:val="24"/>
    </w:rPr>
  </w:style>
  <w:style w:type="paragraph" w:customStyle="1" w:styleId="50">
    <w:name w:val="スタイル5"/>
    <w:basedOn w:val="a3"/>
    <w:link w:val="51"/>
    <w:uiPriority w:val="1"/>
    <w:qFormat/>
    <w:rsid w:val="009939F4"/>
    <w:pPr>
      <w:spacing w:before="267" w:line="235" w:lineRule="auto"/>
      <w:ind w:left="1299" w:right="1432" w:firstLineChars="100" w:firstLine="210"/>
    </w:pPr>
    <w:rPr>
      <w:sz w:val="21"/>
      <w:szCs w:val="21"/>
    </w:rPr>
  </w:style>
  <w:style w:type="character" w:customStyle="1" w:styleId="51">
    <w:name w:val="スタイル5 (文字)"/>
    <w:basedOn w:val="a4"/>
    <w:link w:val="50"/>
    <w:uiPriority w:val="1"/>
    <w:rsid w:val="009939F4"/>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dn.penalreform.org/wp-content/uploads/2021/06/PRI_DMT-Older-persons_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94E58-1215-4D6A-9831-90F366E60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1638</Words>
  <Characters>9341</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1</dc:creator>
  <cp:keywords>, docId:1FF6CD744495ECD8BC20EB22288ADFED</cp:keywords>
  <cp:lastModifiedBy>久夫 佐藤</cp:lastModifiedBy>
  <cp:revision>2</cp:revision>
  <dcterms:created xsi:type="dcterms:W3CDTF">2026-07-05T08:11:00Z</dcterms:created>
  <dcterms:modified xsi:type="dcterms:W3CDTF">2026-07-05T08:11:00Z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Microsoft® Word for Microsoft 365</vt:lpwstr>
  </property>
  <property fmtid="{D5CDD505-2E9C-101B-9397-08002B2CF9AE}" pid="4" name="LastSaved">
    <vt:filetime>2026-05-20T00:00:00Z</vt:filetime>
  </property>
  <property fmtid="{D5CDD505-2E9C-101B-9397-08002B2CF9AE}" pid="5" name="Producer">
    <vt:lpwstr>Microsoft® Word for Microsoft 365</vt:lpwstr>
  </property>
</Properties>
</file>