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0734C" w14:textId="12D121FA" w:rsidR="00FC4B1A" w:rsidRDefault="00293DA7" w:rsidP="000F4CE9">
      <w:pPr>
        <w:spacing w:after="0" w:line="360" w:lineRule="exact"/>
        <w:jc w:val="both"/>
        <w:rPr>
          <w:lang w:val="en-IE"/>
        </w:rPr>
      </w:pPr>
      <w:r>
        <w:rPr>
          <w:rFonts w:asciiTheme="minorBidi" w:hAnsiTheme="minorBidi" w:hint="eastAsia"/>
          <w:i/>
          <w:iCs/>
          <w:color w:val="0070C0"/>
          <w:sz w:val="18"/>
          <w:szCs w:val="18"/>
        </w:rPr>
        <w:t>184</w:t>
      </w:r>
      <w:r>
        <w:rPr>
          <w:rFonts w:asciiTheme="minorBidi" w:hAnsiTheme="minorBidi" w:hint="eastAsia"/>
          <w:i/>
          <w:iCs/>
          <w:color w:val="0070C0"/>
          <w:sz w:val="18"/>
          <w:szCs w:val="18"/>
        </w:rPr>
        <w:t xml:space="preserve">　</w:t>
      </w:r>
      <w:r w:rsidR="00523A0E" w:rsidRPr="5E59BB36">
        <w:rPr>
          <w:rFonts w:asciiTheme="minorBidi" w:hAnsiTheme="minorBidi"/>
          <w:i/>
          <w:iCs/>
          <w:color w:val="0070C0"/>
          <w:sz w:val="18"/>
          <w:szCs w:val="18"/>
        </w:rPr>
        <w:t>イスラエル・イッシ・ドロン教授</w:t>
      </w:r>
      <w:r w:rsidR="00523A0E">
        <w:tab/>
      </w:r>
      <w:r w:rsidR="00523A0E">
        <w:rPr>
          <w:noProof/>
        </w:rPr>
        <w:drawing>
          <wp:inline distT="0" distB="0" distL="0" distR="0" wp14:anchorId="3296EC94" wp14:editId="20C02BBA">
            <wp:extent cx="1263110" cy="291711"/>
            <wp:effectExtent l="0" t="0" r="0" b="0"/>
            <wp:docPr id="1766580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80165" name=""/>
                    <pic:cNvPicPr/>
                  </pic:nvPicPr>
                  <pic:blipFill>
                    <a:blip r:embed="rId7"/>
                    <a:stretch>
                      <a:fillRect/>
                    </a:stretch>
                  </pic:blipFill>
                  <pic:spPr>
                    <a:xfrm>
                      <a:off x="0" y="0"/>
                      <a:ext cx="1333718" cy="308018"/>
                    </a:xfrm>
                    <a:prstGeom prst="rect">
                      <a:avLst/>
                    </a:prstGeom>
                  </pic:spPr>
                </pic:pic>
              </a:graphicData>
            </a:graphic>
          </wp:inline>
        </w:drawing>
      </w:r>
      <w:r w:rsidR="00523A0E">
        <w:tab/>
      </w:r>
      <w:r w:rsidR="00523A0E" w:rsidRPr="5E59BB36">
        <w:rPr>
          <w:rFonts w:asciiTheme="minorBidi" w:hAnsiTheme="minorBidi"/>
          <w:i/>
          <w:iCs/>
          <w:color w:val="0070C0"/>
          <w:sz w:val="18"/>
          <w:szCs w:val="18"/>
        </w:rPr>
        <w:t>イスラエル、ハイファ大学</w:t>
      </w:r>
    </w:p>
    <w:p w14:paraId="1611AD23" w14:textId="77777777" w:rsidR="00293DA7" w:rsidRDefault="00DD52AB" w:rsidP="000F4CE9">
      <w:pPr>
        <w:spacing w:line="360" w:lineRule="exact"/>
        <w:ind w:left="720"/>
        <w:jc w:val="center"/>
        <w:rPr>
          <w:rFonts w:ascii="Aptos" w:eastAsia="游ゴシック" w:hAnsi="Aptos" w:cs="Arial"/>
          <w:b/>
          <w:bCs/>
          <w:lang w:bidi="he-IL"/>
        </w:rPr>
      </w:pPr>
      <w:r w:rsidRPr="5E59BB36">
        <w:rPr>
          <w:rFonts w:ascii="Aptos" w:eastAsia="游ゴシック" w:hAnsi="Aptos" w:cs="Arial"/>
          <w:b/>
          <w:bCs/>
          <w:lang w:bidi="he-IL"/>
        </w:rPr>
        <w:t>意見募集：高齢者の人権に関する法的拘束力のある文書の</w:t>
      </w:r>
    </w:p>
    <w:p w14:paraId="62D255E4" w14:textId="3F2BD2D5" w:rsidR="00DD52AB" w:rsidRPr="00DD52AB" w:rsidRDefault="00DD52AB" w:rsidP="000F4CE9">
      <w:pPr>
        <w:spacing w:line="360" w:lineRule="exact"/>
        <w:ind w:left="720"/>
        <w:jc w:val="center"/>
        <w:rPr>
          <w:rFonts w:ascii="Aptos" w:eastAsia="游ゴシック" w:hAnsi="Aptos" w:cs="Arial"/>
          <w:b/>
          <w:bCs/>
          <w:lang w:bidi="he-IL"/>
        </w:rPr>
      </w:pPr>
      <w:r w:rsidRPr="5E59BB36">
        <w:rPr>
          <w:rFonts w:ascii="Aptos" w:eastAsia="游ゴシック" w:hAnsi="Aptos" w:cs="Arial"/>
          <w:b/>
          <w:bCs/>
          <w:lang w:bidi="he-IL"/>
        </w:rPr>
        <w:t>一般的な枠組み、構成、および指針</w:t>
      </w:r>
    </w:p>
    <w:p w14:paraId="3A35E585" w14:textId="42D77432" w:rsidR="00DD52AB" w:rsidRPr="006409B1" w:rsidRDefault="00DD52AB" w:rsidP="000F4CE9">
      <w:pPr>
        <w:spacing w:line="360" w:lineRule="exact"/>
        <w:ind w:firstLineChars="100" w:firstLine="220"/>
        <w:rPr>
          <w:rFonts w:ascii="Aptos" w:eastAsia="游ゴシック" w:hAnsi="Aptos" w:cs="Arial"/>
          <w:szCs w:val="22"/>
          <w:lang w:bidi="he-IL"/>
        </w:rPr>
      </w:pPr>
      <w:r w:rsidRPr="006409B1">
        <w:rPr>
          <w:rFonts w:ascii="Aptos" w:eastAsia="游ゴシック" w:hAnsi="Aptos" w:cs="Arial"/>
          <w:szCs w:val="22"/>
          <w:lang w:bidi="he-IL"/>
        </w:rPr>
        <w:t>高齢者の人権分野を専門とし、長年にわたりこの分野の動向を追ってきた学者として、皆様から提示された質問に対する私の見解を提出できることを光栄に思います。</w:t>
      </w:r>
    </w:p>
    <w:p w14:paraId="2D2A686D" w14:textId="7CF1ABD1" w:rsidR="5E59BB36" w:rsidRPr="006409B1" w:rsidRDefault="00861B31" w:rsidP="000F4CE9">
      <w:pPr>
        <w:spacing w:line="360" w:lineRule="exact"/>
        <w:ind w:left="720"/>
        <w:rPr>
          <w:rFonts w:ascii="Aptos" w:eastAsia="游ゴシック" w:hAnsi="Aptos" w:cs="Arial"/>
          <w:i/>
          <w:iCs/>
          <w:color w:val="0070C0"/>
          <w:szCs w:val="22"/>
          <w:lang w:bidi="he-IL"/>
        </w:rPr>
      </w:pPr>
      <w:r w:rsidRPr="00861B31">
        <w:rPr>
          <w:rFonts w:ascii="Aptos" w:eastAsia="游ゴシック" w:hAnsi="Aptos" w:cs="Arial" w:hint="eastAsia"/>
          <w:i/>
          <w:iCs/>
          <w:color w:val="0070C0"/>
          <w:szCs w:val="22"/>
          <w:lang w:bidi="he-IL"/>
        </w:rPr>
        <w:t>質問</w:t>
      </w:r>
      <w:r w:rsidRPr="00861B31">
        <w:rPr>
          <w:rFonts w:ascii="Aptos" w:eastAsia="游ゴシック" w:hAnsi="Aptos" w:cs="Arial"/>
          <w:i/>
          <w:iCs/>
          <w:color w:val="0070C0"/>
          <w:szCs w:val="22"/>
          <w:lang w:bidi="he-IL"/>
        </w:rPr>
        <w:t xml:space="preserve">1. </w:t>
      </w:r>
      <w:r w:rsidRPr="00861B31">
        <w:rPr>
          <w:rFonts w:ascii="Aptos" w:eastAsia="游ゴシック" w:hAnsi="Aptos" w:cs="Arial"/>
          <w:i/>
          <w:iCs/>
          <w:color w:val="0070C0"/>
          <w:szCs w:val="22"/>
          <w:lang w:bidi="he-IL"/>
        </w:rPr>
        <w:t>高齢者の人権に関する国際的な法的拘束力のある文書は、どのような包括的な枠組みに基づいて策定されるべきか？さらに、高齢者がすべての人権および基本的自由を完全かつ平等に享受する権利保有者であるという認識を、その文書が最も適切に反映し、強化するにはどうすべきか？</w:t>
      </w:r>
    </w:p>
    <w:p w14:paraId="29BD4B5B" w14:textId="391ADB55" w:rsidR="00DD52AB" w:rsidRPr="006409B1" w:rsidRDefault="00DD52AB" w:rsidP="000F4CE9">
      <w:pPr>
        <w:spacing w:line="360" w:lineRule="exact"/>
        <w:ind w:firstLineChars="100" w:firstLine="220"/>
        <w:rPr>
          <w:rFonts w:ascii="Aptos" w:eastAsia="游ゴシック" w:hAnsi="Aptos" w:cs="Arial"/>
          <w:szCs w:val="22"/>
          <w:lang w:bidi="he-IL"/>
        </w:rPr>
      </w:pPr>
      <w:r w:rsidRPr="006409B1">
        <w:rPr>
          <w:rFonts w:ascii="Aptos" w:eastAsia="游ゴシック" w:hAnsi="Aptos" w:cs="Arial"/>
          <w:szCs w:val="22"/>
          <w:lang w:bidi="he-IL"/>
        </w:rPr>
        <w:t>新たな条約は、以下の</w:t>
      </w:r>
      <w:r w:rsidRPr="006409B1">
        <w:rPr>
          <w:rFonts w:ascii="Aptos" w:eastAsia="游ゴシック" w:hAnsi="Aptos" w:cs="Arial"/>
          <w:szCs w:val="22"/>
          <w:lang w:bidi="he-IL"/>
        </w:rPr>
        <w:t>4</w:t>
      </w:r>
      <w:r w:rsidRPr="006409B1">
        <w:rPr>
          <w:rFonts w:ascii="Aptos" w:eastAsia="游ゴシック" w:hAnsi="Aptos" w:cs="Arial"/>
          <w:szCs w:val="22"/>
          <w:lang w:bidi="he-IL"/>
        </w:rPr>
        <w:t>つの相互に関連</w:t>
      </w:r>
      <w:r w:rsidR="00293DA7">
        <w:rPr>
          <w:rFonts w:ascii="Aptos" w:eastAsia="游ゴシック" w:hAnsi="Aptos" w:cs="Arial" w:hint="eastAsia"/>
          <w:szCs w:val="22"/>
          <w:lang w:bidi="he-IL"/>
        </w:rPr>
        <w:t>する基本的</w:t>
      </w:r>
      <w:r w:rsidRPr="006409B1">
        <w:rPr>
          <w:rFonts w:ascii="Aptos" w:eastAsia="游ゴシック" w:hAnsi="Aptos" w:cs="Arial"/>
          <w:szCs w:val="22"/>
          <w:lang w:bidi="he-IL"/>
        </w:rPr>
        <w:t>要素に基づいて策定され、</w:t>
      </w:r>
      <w:r w:rsidR="000F4CE9">
        <w:rPr>
          <w:rFonts w:ascii="Aptos" w:eastAsia="游ゴシック" w:hAnsi="Aptos" w:cs="Arial" w:hint="eastAsia"/>
          <w:szCs w:val="22"/>
          <w:lang w:bidi="he-IL"/>
        </w:rPr>
        <w:t>それらを</w:t>
      </w:r>
      <w:r w:rsidRPr="006409B1">
        <w:rPr>
          <w:rFonts w:ascii="Aptos" w:eastAsia="游ゴシック" w:hAnsi="Aptos" w:cs="Arial"/>
          <w:szCs w:val="22"/>
          <w:lang w:bidi="he-IL"/>
        </w:rPr>
        <w:t>指針とすべきです：</w:t>
      </w:r>
    </w:p>
    <w:p w14:paraId="5B5AED90" w14:textId="5B07D561" w:rsidR="00DD52AB" w:rsidRPr="006409B1" w:rsidRDefault="00DD52AB" w:rsidP="000F4CE9">
      <w:pPr>
        <w:numPr>
          <w:ilvl w:val="0"/>
          <w:numId w:val="17"/>
        </w:numPr>
        <w:spacing w:line="360" w:lineRule="exact"/>
        <w:rPr>
          <w:szCs w:val="22"/>
        </w:rPr>
      </w:pPr>
      <w:r w:rsidRPr="006409B1">
        <w:rPr>
          <w:rFonts w:ascii="Aptos" w:eastAsia="游ゴシック" w:hAnsi="Aptos" w:cs="Arial"/>
          <w:b/>
          <w:bCs/>
          <w:szCs w:val="22"/>
          <w:lang w:bidi="he-IL"/>
        </w:rPr>
        <w:t xml:space="preserve">1. </w:t>
      </w:r>
      <w:r w:rsidR="00796646">
        <w:rPr>
          <w:rFonts w:ascii="Aptos" w:eastAsia="游ゴシック" w:hAnsi="Aptos" w:cs="Arial"/>
          <w:b/>
          <w:bCs/>
          <w:szCs w:val="22"/>
          <w:lang w:bidi="he-IL"/>
        </w:rPr>
        <w:t>高齢</w:t>
      </w:r>
      <w:r w:rsidRPr="006409B1">
        <w:rPr>
          <w:rFonts w:ascii="Aptos" w:eastAsia="游ゴシック" w:hAnsi="Aptos" w:cs="Arial"/>
          <w:b/>
          <w:bCs/>
          <w:szCs w:val="22"/>
          <w:lang w:bidi="he-IL"/>
        </w:rPr>
        <w:t>は社会的構築物であるという認識</w:t>
      </w:r>
    </w:p>
    <w:p w14:paraId="4A58A280" w14:textId="37482BF4" w:rsidR="00DD52AB" w:rsidRPr="006409B1" w:rsidRDefault="00DD52AB" w:rsidP="000F4CE9">
      <w:pPr>
        <w:spacing w:after="0" w:line="360" w:lineRule="exact"/>
        <w:ind w:firstLineChars="100" w:firstLine="220"/>
        <w:rPr>
          <w:rFonts w:ascii="Aptos" w:eastAsia="游ゴシック" w:hAnsi="Aptos" w:cs="Arial"/>
          <w:szCs w:val="22"/>
          <w:lang w:bidi="he-IL"/>
        </w:rPr>
      </w:pPr>
      <w:r w:rsidRPr="006409B1">
        <w:rPr>
          <w:rFonts w:ascii="Aptos" w:eastAsia="游ゴシック" w:hAnsi="Aptos" w:cs="Arial"/>
          <w:szCs w:val="22"/>
          <w:lang w:bidi="he-IL"/>
        </w:rPr>
        <w:t>加齢</w:t>
      </w:r>
      <w:r w:rsidR="000F4CE9">
        <w:rPr>
          <w:rFonts w:ascii="Aptos" w:eastAsia="游ゴシック" w:hAnsi="Aptos" w:cs="Arial" w:hint="eastAsia"/>
          <w:szCs w:val="22"/>
          <w:lang w:bidi="he-IL"/>
        </w:rPr>
        <w:t>（</w:t>
      </w:r>
      <w:r w:rsidR="000F4CE9" w:rsidRPr="000F4CE9">
        <w:rPr>
          <w:rFonts w:ascii="Aptos" w:eastAsia="游ゴシック" w:hAnsi="Aptos" w:cs="Arial"/>
          <w:szCs w:val="22"/>
          <w:lang w:bidi="he-IL"/>
        </w:rPr>
        <w:t>ageing</w:t>
      </w:r>
      <w:r w:rsidR="000F4CE9">
        <w:rPr>
          <w:rFonts w:ascii="Aptos" w:eastAsia="游ゴシック" w:hAnsi="Aptos" w:cs="Arial" w:hint="eastAsia"/>
          <w:szCs w:val="22"/>
          <w:lang w:bidi="he-IL"/>
        </w:rPr>
        <w:t>）</w:t>
      </w:r>
      <w:r w:rsidRPr="006409B1">
        <w:rPr>
          <w:rFonts w:ascii="Aptos" w:eastAsia="游ゴシック" w:hAnsi="Aptos" w:cs="Arial"/>
          <w:szCs w:val="22"/>
          <w:lang w:bidi="he-IL"/>
        </w:rPr>
        <w:t>は普遍的かつ生物学に根ざしたプロセスですが、個人を「老いた」</w:t>
      </w:r>
      <w:bookmarkStart w:id="0" w:name="_Hlk231844241"/>
      <w:r w:rsidR="000F4CE9">
        <w:rPr>
          <w:rFonts w:ascii="Aptos" w:eastAsia="游ゴシック" w:hAnsi="Aptos" w:cs="Arial" w:hint="eastAsia"/>
          <w:szCs w:val="22"/>
          <w:lang w:bidi="he-IL"/>
        </w:rPr>
        <w:t>（</w:t>
      </w:r>
      <w:r w:rsidR="007C1B78" w:rsidRPr="007C1B78">
        <w:rPr>
          <w:rFonts w:ascii="Aptos" w:eastAsia="游ゴシック" w:hAnsi="Aptos" w:cs="Arial"/>
          <w:szCs w:val="22"/>
          <w:lang w:bidi="he-IL"/>
        </w:rPr>
        <w:t>old</w:t>
      </w:r>
      <w:r w:rsidR="000F4CE9">
        <w:rPr>
          <w:rFonts w:ascii="Aptos" w:eastAsia="游ゴシック" w:hAnsi="Aptos" w:cs="Arial" w:hint="eastAsia"/>
          <w:szCs w:val="22"/>
          <w:lang w:bidi="he-IL"/>
        </w:rPr>
        <w:t>）</w:t>
      </w:r>
      <w:bookmarkEnd w:id="0"/>
      <w:r w:rsidR="007C1B78">
        <w:rPr>
          <w:rFonts w:ascii="Aptos" w:eastAsia="游ゴシック" w:hAnsi="Aptos" w:cs="Arial" w:hint="eastAsia"/>
          <w:szCs w:val="22"/>
          <w:lang w:bidi="he-IL"/>
        </w:rPr>
        <w:t>、</w:t>
      </w:r>
      <w:r w:rsidRPr="006409B1">
        <w:rPr>
          <w:rFonts w:ascii="Aptos" w:eastAsia="游ゴシック" w:hAnsi="Aptos" w:cs="Arial"/>
          <w:szCs w:val="22"/>
          <w:lang w:bidi="he-IL"/>
        </w:rPr>
        <w:t>「</w:t>
      </w:r>
      <w:r w:rsidR="000F4CE9">
        <w:rPr>
          <w:rFonts w:ascii="Aptos" w:eastAsia="游ゴシック" w:hAnsi="Aptos" w:cs="Arial" w:hint="eastAsia"/>
          <w:szCs w:val="22"/>
          <w:lang w:bidi="he-IL"/>
        </w:rPr>
        <w:t>老人</w:t>
      </w:r>
      <w:r w:rsidRPr="006409B1">
        <w:rPr>
          <w:rFonts w:ascii="Aptos" w:eastAsia="游ゴシック" w:hAnsi="Aptos" w:cs="Arial"/>
          <w:szCs w:val="22"/>
          <w:lang w:bidi="he-IL"/>
        </w:rPr>
        <w:t>」</w:t>
      </w:r>
      <w:r w:rsidR="007C1B78">
        <w:rPr>
          <w:rFonts w:ascii="Aptos" w:eastAsia="游ゴシック" w:hAnsi="Aptos" w:cs="Arial" w:hint="eastAsia"/>
          <w:szCs w:val="22"/>
          <w:lang w:bidi="he-IL"/>
        </w:rPr>
        <w:t>（</w:t>
      </w:r>
      <w:r w:rsidR="007C1B78" w:rsidRPr="007C1B78">
        <w:rPr>
          <w:rFonts w:ascii="Aptos" w:eastAsia="游ゴシック" w:hAnsi="Aptos" w:cs="Arial"/>
          <w:szCs w:val="22"/>
          <w:lang w:bidi="he-IL"/>
        </w:rPr>
        <w:t>elderly</w:t>
      </w:r>
      <w:r w:rsidR="007C1B78">
        <w:rPr>
          <w:rFonts w:ascii="Aptos" w:eastAsia="游ゴシック" w:hAnsi="Aptos" w:cs="Arial" w:hint="eastAsia"/>
          <w:szCs w:val="22"/>
          <w:lang w:bidi="he-IL"/>
        </w:rPr>
        <w:t>）</w:t>
      </w:r>
      <w:r w:rsidRPr="006409B1">
        <w:rPr>
          <w:rFonts w:ascii="Aptos" w:eastAsia="游ゴシック" w:hAnsi="Aptos" w:cs="Arial"/>
          <w:szCs w:val="22"/>
          <w:lang w:bidi="he-IL"/>
        </w:rPr>
        <w:t>あるいは「</w:t>
      </w:r>
      <w:r w:rsidR="00796646">
        <w:rPr>
          <w:rFonts w:ascii="Aptos" w:eastAsia="游ゴシック" w:hAnsi="Aptos" w:cs="Arial"/>
          <w:szCs w:val="22"/>
          <w:lang w:bidi="he-IL"/>
        </w:rPr>
        <w:t>高齢</w:t>
      </w:r>
      <w:r w:rsidRPr="006409B1">
        <w:rPr>
          <w:rFonts w:ascii="Aptos" w:eastAsia="游ゴシック" w:hAnsi="Aptos" w:cs="Arial"/>
          <w:szCs w:val="22"/>
          <w:lang w:bidi="he-IL"/>
        </w:rPr>
        <w:t>期」</w:t>
      </w:r>
      <w:r w:rsidR="000F4CE9" w:rsidRPr="000F4CE9">
        <w:rPr>
          <w:rFonts w:ascii="Aptos" w:eastAsia="游ゴシック" w:hAnsi="Aptos" w:cs="Arial" w:hint="eastAsia"/>
          <w:szCs w:val="22"/>
          <w:lang w:bidi="he-IL"/>
        </w:rPr>
        <w:t>（</w:t>
      </w:r>
      <w:r w:rsidR="007C1B78" w:rsidRPr="007C1B78">
        <w:rPr>
          <w:rFonts w:ascii="Aptos" w:eastAsia="游ゴシック" w:hAnsi="Aptos" w:cs="Arial"/>
          <w:szCs w:val="22"/>
          <w:lang w:bidi="he-IL"/>
        </w:rPr>
        <w:t>old age</w:t>
      </w:r>
      <w:r w:rsidR="000F4CE9" w:rsidRPr="000F4CE9">
        <w:rPr>
          <w:rFonts w:ascii="Aptos" w:eastAsia="游ゴシック" w:hAnsi="Aptos" w:cs="Arial" w:hint="eastAsia"/>
          <w:szCs w:val="22"/>
          <w:lang w:bidi="he-IL"/>
        </w:rPr>
        <w:t>）</w:t>
      </w:r>
      <w:r w:rsidRPr="006409B1">
        <w:rPr>
          <w:rFonts w:ascii="Aptos" w:eastAsia="游ゴシック" w:hAnsi="Aptos" w:cs="Arial"/>
          <w:szCs w:val="22"/>
          <w:lang w:bidi="he-IL"/>
        </w:rPr>
        <w:t>にあると分類することは、生物学的に</w:t>
      </w:r>
      <w:r w:rsidR="000F4CE9">
        <w:rPr>
          <w:rFonts w:ascii="Aptos" w:eastAsia="游ゴシック" w:hAnsi="Aptos" w:cs="Arial" w:hint="eastAsia"/>
          <w:szCs w:val="22"/>
          <w:lang w:bidi="he-IL"/>
        </w:rPr>
        <w:t>決められた</w:t>
      </w:r>
      <w:r w:rsidRPr="006409B1">
        <w:rPr>
          <w:rFonts w:ascii="Aptos" w:eastAsia="游ゴシック" w:hAnsi="Aptos" w:cs="Arial"/>
          <w:szCs w:val="22"/>
          <w:lang w:bidi="he-IL"/>
        </w:rPr>
        <w:t>ものではなく、社会的に構築されたものです。</w:t>
      </w:r>
      <w:r w:rsidR="00796646">
        <w:rPr>
          <w:rFonts w:ascii="Aptos" w:eastAsia="游ゴシック" w:hAnsi="Aptos" w:cs="Arial"/>
          <w:szCs w:val="22"/>
          <w:lang w:bidi="he-IL"/>
        </w:rPr>
        <w:t>高齢</w:t>
      </w:r>
      <w:r w:rsidRPr="006409B1">
        <w:rPr>
          <w:rFonts w:ascii="Aptos" w:eastAsia="游ゴシック" w:hAnsi="Aptos" w:cs="Arial"/>
          <w:szCs w:val="22"/>
          <w:lang w:bidi="he-IL"/>
        </w:rPr>
        <w:t>期の意味</w:t>
      </w:r>
      <w:r w:rsidRPr="006409B1">
        <w:rPr>
          <w:rFonts w:ascii="Aptos" w:eastAsia="游ゴシック" w:hAnsi="Aptos" w:cs="Arial"/>
          <w:szCs w:val="22"/>
          <w:lang w:bidi="he-IL"/>
        </w:rPr>
        <w:t>——</w:t>
      </w:r>
      <w:r w:rsidRPr="006409B1">
        <w:rPr>
          <w:rFonts w:ascii="Aptos" w:eastAsia="游ゴシック" w:hAnsi="Aptos" w:cs="Arial"/>
          <w:szCs w:val="22"/>
          <w:lang w:bidi="he-IL"/>
        </w:rPr>
        <w:t>誰が「老いた」と見なされるか、高齢者がどのような役割を担うか、そして彼らが社会の完全かつ平等な一員として扱われるか否か</w:t>
      </w:r>
      <w:r w:rsidRPr="006409B1">
        <w:rPr>
          <w:rFonts w:ascii="Aptos" w:eastAsia="游ゴシック" w:hAnsi="Aptos" w:cs="Arial"/>
          <w:szCs w:val="22"/>
          <w:lang w:bidi="he-IL"/>
        </w:rPr>
        <w:t>——</w:t>
      </w:r>
      <w:r w:rsidRPr="006409B1">
        <w:rPr>
          <w:rFonts w:ascii="Aptos" w:eastAsia="游ゴシック" w:hAnsi="Aptos" w:cs="Arial"/>
          <w:szCs w:val="22"/>
          <w:lang w:bidi="he-IL"/>
        </w:rPr>
        <w:t>は、時代、文化、社会的文脈によって大きく異なってきました。</w:t>
      </w:r>
    </w:p>
    <w:p w14:paraId="455EE5A3" w14:textId="7A044982" w:rsidR="00DD52AB" w:rsidRPr="00DD52AB" w:rsidRDefault="00DD52AB" w:rsidP="007C1B78">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したがって、新たな条約は、「</w:t>
      </w:r>
      <w:r w:rsidR="00796646">
        <w:rPr>
          <w:rFonts w:ascii="Aptos" w:eastAsia="游ゴシック" w:hAnsi="Aptos" w:cs="Arial"/>
          <w:szCs w:val="22"/>
          <w:lang w:bidi="he-IL"/>
        </w:rPr>
        <w:t>高齢</w:t>
      </w:r>
      <w:r w:rsidRPr="00DD52AB">
        <w:rPr>
          <w:rFonts w:ascii="Aptos" w:eastAsia="游ゴシック" w:hAnsi="Aptos" w:cs="Arial"/>
          <w:szCs w:val="22"/>
          <w:lang w:bidi="he-IL"/>
        </w:rPr>
        <w:t>」</w:t>
      </w:r>
      <w:r w:rsidR="007C1B78" w:rsidRPr="007C1B78">
        <w:rPr>
          <w:rFonts w:ascii="Aptos" w:eastAsia="游ゴシック" w:hAnsi="Aptos" w:cs="Arial" w:hint="eastAsia"/>
          <w:szCs w:val="22"/>
          <w:lang w:bidi="he-IL"/>
        </w:rPr>
        <w:t>（</w:t>
      </w:r>
      <w:r w:rsidR="007C1B78" w:rsidRPr="007C1B78">
        <w:rPr>
          <w:rFonts w:ascii="Aptos" w:eastAsia="游ゴシック" w:hAnsi="Aptos" w:cs="Arial"/>
          <w:szCs w:val="22"/>
          <w:lang w:bidi="he-IL"/>
        </w:rPr>
        <w:t>old age</w:t>
      </w:r>
      <w:r w:rsidR="007C1B78" w:rsidRPr="007C1B78">
        <w:rPr>
          <w:rFonts w:ascii="Aptos" w:eastAsia="游ゴシック" w:hAnsi="Aptos" w:cs="Arial" w:hint="eastAsia"/>
          <w:szCs w:val="22"/>
          <w:lang w:bidi="he-IL"/>
        </w:rPr>
        <w:t>）</w:t>
      </w:r>
      <w:r w:rsidRPr="00DD52AB">
        <w:rPr>
          <w:rFonts w:ascii="Aptos" w:eastAsia="游ゴシック" w:hAnsi="Aptos" w:cs="Arial"/>
          <w:szCs w:val="22"/>
          <w:lang w:bidi="he-IL"/>
        </w:rPr>
        <w:t>が中立的あるいは自然</w:t>
      </w:r>
      <w:r w:rsidR="007C1B78">
        <w:rPr>
          <w:rFonts w:ascii="Aptos" w:eastAsia="游ゴシック" w:hAnsi="Aptos" w:cs="Arial" w:hint="eastAsia"/>
          <w:szCs w:val="22"/>
          <w:lang w:bidi="he-IL"/>
        </w:rPr>
        <w:t>の</w:t>
      </w:r>
      <w:r w:rsidRPr="00DD52AB">
        <w:rPr>
          <w:rFonts w:ascii="Aptos" w:eastAsia="游ゴシック" w:hAnsi="Aptos" w:cs="Arial"/>
          <w:szCs w:val="22"/>
          <w:lang w:bidi="he-IL"/>
        </w:rPr>
        <w:t>状態ではなく、社会的規範、権力関係、制度的枠組みによって形作られるものであるという認識に基づかなければな</w:t>
      </w:r>
      <w:r w:rsidR="007C1B78">
        <w:rPr>
          <w:rFonts w:ascii="Aptos" w:eastAsia="游ゴシック" w:hAnsi="Aptos" w:cs="Arial" w:hint="eastAsia"/>
          <w:szCs w:val="22"/>
          <w:lang w:bidi="he-IL"/>
        </w:rPr>
        <w:t>りません</w:t>
      </w:r>
      <w:r w:rsidRPr="00DD52AB">
        <w:rPr>
          <w:rFonts w:ascii="Aptos" w:eastAsia="游ゴシック" w:hAnsi="Aptos" w:cs="Arial"/>
          <w:szCs w:val="22"/>
          <w:lang w:bidi="he-IL"/>
        </w:rPr>
        <w:t>。この理解は、社会が高齢者に低い地位を割り当てたり、参加を制限したり、不平等な扱いを正当化したりする仕組みを明らかにし、変革するために不可欠</w:t>
      </w:r>
      <w:r w:rsidR="007C1B78">
        <w:rPr>
          <w:rFonts w:ascii="Aptos" w:eastAsia="游ゴシック" w:hAnsi="Aptos" w:cs="Arial"/>
          <w:szCs w:val="22"/>
          <w:lang w:bidi="he-IL"/>
        </w:rPr>
        <w:t>です</w:t>
      </w:r>
      <w:r w:rsidRPr="00DD52AB">
        <w:rPr>
          <w:rFonts w:ascii="Aptos" w:eastAsia="游ゴシック" w:hAnsi="Aptos" w:cs="Arial"/>
          <w:szCs w:val="22"/>
          <w:lang w:bidi="he-IL"/>
        </w:rPr>
        <w:t>。</w:t>
      </w:r>
      <w:r w:rsidR="007C1B78">
        <w:rPr>
          <w:rFonts w:ascii="Aptos" w:eastAsia="游ゴシック" w:hAnsi="Aptos" w:cs="Arial" w:hint="eastAsia"/>
          <w:szCs w:val="22"/>
          <w:lang w:bidi="he-IL"/>
        </w:rPr>
        <w:t>「</w:t>
      </w:r>
      <w:r w:rsidR="00796646">
        <w:rPr>
          <w:rFonts w:ascii="Aptos" w:eastAsia="游ゴシック" w:hAnsi="Aptos" w:cs="Arial"/>
          <w:szCs w:val="22"/>
          <w:lang w:bidi="he-IL"/>
        </w:rPr>
        <w:t>高齢</w:t>
      </w:r>
      <w:r w:rsidR="007C1B78">
        <w:rPr>
          <w:rFonts w:ascii="Aptos" w:eastAsia="游ゴシック" w:hAnsi="Aptos" w:cs="Arial" w:hint="eastAsia"/>
          <w:szCs w:val="22"/>
          <w:lang w:bidi="he-IL"/>
        </w:rPr>
        <w:t>」</w:t>
      </w:r>
      <w:r w:rsidRPr="00DD52AB">
        <w:rPr>
          <w:rFonts w:ascii="Aptos" w:eastAsia="游ゴシック" w:hAnsi="Aptos" w:cs="Arial"/>
          <w:szCs w:val="22"/>
          <w:lang w:bidi="he-IL"/>
        </w:rPr>
        <w:t>の構築された性質を認識することで、この条約は根強い前提に異議を唱え、高齢者の権利、役割、貢献は、社会的に課された制限によってではなく、平等と尊厳の原則によって決定されなければならないことを明確にすることが</w:t>
      </w:r>
      <w:r w:rsidR="007C1B78">
        <w:rPr>
          <w:rFonts w:ascii="Aptos" w:eastAsia="游ゴシック" w:hAnsi="Aptos" w:cs="Arial"/>
          <w:szCs w:val="22"/>
          <w:lang w:bidi="he-IL"/>
        </w:rPr>
        <w:t>できます</w:t>
      </w:r>
      <w:r w:rsidRPr="00DD52AB">
        <w:rPr>
          <w:rFonts w:ascii="Aptos" w:eastAsia="游ゴシック" w:hAnsi="Aptos" w:cs="Arial"/>
          <w:szCs w:val="22"/>
          <w:lang w:bidi="he-IL"/>
        </w:rPr>
        <w:t>。</w:t>
      </w:r>
    </w:p>
    <w:p w14:paraId="489F0D85" w14:textId="7899C4F4" w:rsidR="00DD52AB" w:rsidRDefault="00DD52AB" w:rsidP="000F4CE9">
      <w:pPr>
        <w:numPr>
          <w:ilvl w:val="0"/>
          <w:numId w:val="18"/>
        </w:numPr>
        <w:spacing w:line="360" w:lineRule="exact"/>
        <w:rPr>
          <w:rFonts w:ascii="Aptos" w:eastAsia="游ゴシック" w:hAnsi="Aptos" w:cs="Arial"/>
          <w:lang w:bidi="he-IL"/>
        </w:rPr>
      </w:pPr>
      <w:r w:rsidRPr="5E59BB36">
        <w:rPr>
          <w:rFonts w:ascii="Aptos" w:eastAsia="游ゴシック" w:hAnsi="Aptos" w:cs="Arial"/>
          <w:b/>
          <w:bCs/>
          <w:lang w:bidi="he-IL"/>
        </w:rPr>
        <w:t xml:space="preserve">2. </w:t>
      </w:r>
      <w:r w:rsidRPr="5E59BB36">
        <w:rPr>
          <w:rFonts w:ascii="Aptos" w:eastAsia="游ゴシック" w:hAnsi="Aptos" w:cs="Arial"/>
          <w:b/>
          <w:bCs/>
          <w:lang w:bidi="he-IL"/>
        </w:rPr>
        <w:t>高齢者</w:t>
      </w:r>
      <w:r w:rsidR="00C60B01">
        <w:rPr>
          <w:rFonts w:ascii="Aptos" w:eastAsia="游ゴシック" w:hAnsi="Aptos" w:cs="Arial" w:hint="eastAsia"/>
          <w:b/>
          <w:bCs/>
          <w:lang w:bidi="he-IL"/>
        </w:rPr>
        <w:t>を</w:t>
      </w:r>
      <w:r w:rsidRPr="5E59BB36">
        <w:rPr>
          <w:rFonts w:ascii="Aptos" w:eastAsia="游ゴシック" w:hAnsi="Aptos" w:cs="Arial"/>
          <w:b/>
          <w:bCs/>
          <w:lang w:bidi="he-IL"/>
        </w:rPr>
        <w:t>独自の集団と</w:t>
      </w:r>
      <w:r w:rsidR="00C60B01">
        <w:rPr>
          <w:rFonts w:ascii="Aptos" w:eastAsia="游ゴシック" w:hAnsi="Aptos" w:cs="Arial" w:hint="eastAsia"/>
          <w:b/>
          <w:bCs/>
          <w:lang w:bidi="he-IL"/>
        </w:rPr>
        <w:t>見る</w:t>
      </w:r>
      <w:r w:rsidRPr="5E59BB36">
        <w:rPr>
          <w:rFonts w:ascii="Aptos" w:eastAsia="游ゴシック" w:hAnsi="Aptos" w:cs="Arial"/>
          <w:b/>
          <w:bCs/>
          <w:lang w:bidi="he-IL"/>
        </w:rPr>
        <w:t>歴史的認識</w:t>
      </w:r>
    </w:p>
    <w:p w14:paraId="04AE683A" w14:textId="38B84950" w:rsidR="00DD52AB" w:rsidRPr="00DD52AB" w:rsidRDefault="00DD52AB" w:rsidP="00C60B01">
      <w:pPr>
        <w:spacing w:line="360" w:lineRule="exact"/>
        <w:ind w:firstLineChars="100" w:firstLine="220"/>
        <w:rPr>
          <w:rFonts w:ascii="Aptos" w:eastAsia="游ゴシック" w:hAnsi="Aptos" w:cs="Arial"/>
          <w:szCs w:val="22"/>
          <w:lang w:bidi="he-IL"/>
        </w:rPr>
      </w:pPr>
      <w:r w:rsidRPr="000F7A1F">
        <w:rPr>
          <w:rFonts w:ascii="Aptos" w:eastAsia="游ゴシック" w:hAnsi="Aptos" w:cs="Arial"/>
          <w:szCs w:val="22"/>
          <w:lang w:bidi="he-IL"/>
        </w:rPr>
        <w:t>歴史を通じて、とりわけ産業化や近代国家の形成という文脈において、高齢者は独</w:t>
      </w:r>
      <w:r w:rsidRPr="00DD52AB">
        <w:rPr>
          <w:rFonts w:ascii="Aptos" w:eastAsia="游ゴシック" w:hAnsi="Aptos" w:cs="Arial"/>
          <w:szCs w:val="22"/>
          <w:lang w:bidi="he-IL"/>
        </w:rPr>
        <w:t>自の社会集団として定義され、認識されてき</w:t>
      </w:r>
      <w:r w:rsidR="000F7A1F">
        <w:rPr>
          <w:rFonts w:ascii="Aptos" w:eastAsia="游ゴシック" w:hAnsi="Aptos" w:cs="Arial" w:hint="eastAsia"/>
          <w:szCs w:val="22"/>
          <w:lang w:bidi="he-IL"/>
        </w:rPr>
        <w:t>まし</w:t>
      </w:r>
      <w:r w:rsidRPr="00DD52AB">
        <w:rPr>
          <w:rFonts w:ascii="Aptos" w:eastAsia="游ゴシック" w:hAnsi="Aptos" w:cs="Arial"/>
          <w:szCs w:val="22"/>
          <w:lang w:bidi="he-IL"/>
        </w:rPr>
        <w:t>た。常にそうであったわけではない</w:t>
      </w:r>
      <w:r w:rsidR="000F7A1F">
        <w:rPr>
          <w:rFonts w:ascii="Aptos" w:eastAsia="游ゴシック" w:hAnsi="Aptos" w:cs="Arial" w:hint="eastAsia"/>
          <w:szCs w:val="22"/>
          <w:lang w:bidi="he-IL"/>
        </w:rPr>
        <w:t>です</w:t>
      </w:r>
      <w:r w:rsidRPr="00DD52AB">
        <w:rPr>
          <w:rFonts w:ascii="Aptos" w:eastAsia="游ゴシック" w:hAnsi="Aptos" w:cs="Arial"/>
          <w:szCs w:val="22"/>
          <w:lang w:bidi="he-IL"/>
        </w:rPr>
        <w:t>が、しばしば、高齢者は「依存的」「非生産的」「虚弱」「負担」といった否定的かつ単純化</w:t>
      </w:r>
      <w:r w:rsidRPr="00DD52AB">
        <w:rPr>
          <w:rFonts w:ascii="Aptos" w:eastAsia="游ゴシック" w:hAnsi="Aptos" w:cs="Arial"/>
          <w:szCs w:val="22"/>
          <w:lang w:bidi="he-IL"/>
        </w:rPr>
        <w:lastRenderedPageBreak/>
        <w:t>された表現で描かれてき</w:t>
      </w:r>
      <w:r w:rsidR="000F7A1F">
        <w:rPr>
          <w:rFonts w:ascii="Aptos" w:eastAsia="游ゴシック" w:hAnsi="Aptos" w:cs="Arial" w:hint="eastAsia"/>
          <w:szCs w:val="22"/>
          <w:lang w:bidi="he-IL"/>
        </w:rPr>
        <w:t>まし</w:t>
      </w:r>
      <w:r w:rsidRPr="00DD52AB">
        <w:rPr>
          <w:rFonts w:ascii="Aptos" w:eastAsia="游ゴシック" w:hAnsi="Aptos" w:cs="Arial"/>
          <w:szCs w:val="22"/>
          <w:lang w:bidi="he-IL"/>
        </w:rPr>
        <w:t>た。こうした表現は、社会・経済・政治生活における排除、周縁化、差別の歴史的な構造的パターンに寄与してき</w:t>
      </w:r>
      <w:r w:rsidR="000F7A1F">
        <w:rPr>
          <w:rFonts w:ascii="Aptos" w:eastAsia="游ゴシック" w:hAnsi="Aptos" w:cs="Arial" w:hint="eastAsia"/>
          <w:szCs w:val="22"/>
          <w:lang w:bidi="he-IL"/>
        </w:rPr>
        <w:t>まし</w:t>
      </w:r>
      <w:r w:rsidRPr="00DD52AB">
        <w:rPr>
          <w:rFonts w:ascii="Aptos" w:eastAsia="游ゴシック" w:hAnsi="Aptos" w:cs="Arial"/>
          <w:szCs w:val="22"/>
          <w:lang w:bidi="he-IL"/>
        </w:rPr>
        <w:t>た。</w:t>
      </w:r>
    </w:p>
    <w:p w14:paraId="31E11CF6" w14:textId="0FAF64DB"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新たな条約は、高齢者が独自の社会集団であることを明確に認識することを基盤としなければな</w:t>
      </w:r>
      <w:r w:rsidR="000F7A1F">
        <w:rPr>
          <w:rFonts w:ascii="Aptos" w:eastAsia="游ゴシック" w:hAnsi="Aptos" w:cs="Arial" w:hint="eastAsia"/>
          <w:szCs w:val="22"/>
          <w:lang w:bidi="he-IL"/>
        </w:rPr>
        <w:t>りません</w:t>
      </w:r>
      <w:r w:rsidRPr="00DD52AB">
        <w:rPr>
          <w:rFonts w:ascii="Aptos" w:eastAsia="游ゴシック" w:hAnsi="Aptos" w:cs="Arial"/>
          <w:szCs w:val="22"/>
          <w:lang w:bidi="he-IL"/>
        </w:rPr>
        <w:t>。さらに、高齢者の周縁化は偶発的あるいは近年の現象ではなく、深く根ざした長年の歴史的不公正を反映してい</w:t>
      </w:r>
      <w:r w:rsidR="000F7A1F">
        <w:rPr>
          <w:rFonts w:ascii="Aptos" w:eastAsia="游ゴシック" w:hAnsi="Aptos" w:cs="Arial" w:hint="eastAsia"/>
          <w:szCs w:val="22"/>
          <w:lang w:bidi="he-IL"/>
        </w:rPr>
        <w:t>ます</w:t>
      </w:r>
      <w:r w:rsidRPr="00DD52AB">
        <w:rPr>
          <w:rFonts w:ascii="Aptos" w:eastAsia="游ゴシック" w:hAnsi="Aptos" w:cs="Arial"/>
          <w:szCs w:val="22"/>
          <w:lang w:bidi="he-IL"/>
        </w:rPr>
        <w:t>。この歴史的視点は、労働市場からの排除、不十分な社会的</w:t>
      </w:r>
      <w:r w:rsidR="00835941">
        <w:rPr>
          <w:rFonts w:ascii="Aptos" w:eastAsia="游ゴシック" w:hAnsi="Aptos" w:cs="Arial" w:hint="eastAsia"/>
          <w:szCs w:val="22"/>
          <w:lang w:bidi="he-IL"/>
        </w:rPr>
        <w:t>保障</w:t>
      </w:r>
      <w:r w:rsidRPr="00DD52AB">
        <w:rPr>
          <w:rFonts w:ascii="Aptos" w:eastAsia="游ゴシック" w:hAnsi="Aptos" w:cs="Arial"/>
          <w:szCs w:val="22"/>
          <w:lang w:bidi="he-IL"/>
        </w:rPr>
        <w:t>、施設入所、自律の否定など、高齢者が今日直面している障壁の構造的性質を理解するために不可欠</w:t>
      </w:r>
      <w:r w:rsidR="007C1B78">
        <w:rPr>
          <w:rFonts w:ascii="Aptos" w:eastAsia="游ゴシック" w:hAnsi="Aptos" w:cs="Arial"/>
          <w:szCs w:val="22"/>
          <w:lang w:bidi="he-IL"/>
        </w:rPr>
        <w:t>です</w:t>
      </w:r>
      <w:r w:rsidRPr="00DD52AB">
        <w:rPr>
          <w:rFonts w:ascii="Aptos" w:eastAsia="游ゴシック" w:hAnsi="Aptos" w:cs="Arial"/>
          <w:szCs w:val="22"/>
          <w:lang w:bidi="he-IL"/>
        </w:rPr>
        <w:t>。この歴史的遺産を認めることは、蓄積された不利益を是正し、完全な包摂を確保することを目的とした、積極的かつ変革的な措置の規範的基盤を強化するもの</w:t>
      </w:r>
      <w:r w:rsidR="007C1B78">
        <w:rPr>
          <w:rFonts w:ascii="Aptos" w:eastAsia="游ゴシック" w:hAnsi="Aptos" w:cs="Arial"/>
          <w:szCs w:val="22"/>
          <w:lang w:bidi="he-IL"/>
        </w:rPr>
        <w:t>です</w:t>
      </w:r>
      <w:r w:rsidRPr="00DD52AB">
        <w:rPr>
          <w:rFonts w:ascii="Aptos" w:eastAsia="游ゴシック" w:hAnsi="Aptos" w:cs="Arial"/>
          <w:szCs w:val="22"/>
          <w:lang w:bidi="he-IL"/>
        </w:rPr>
        <w:t>。</w:t>
      </w:r>
    </w:p>
    <w:p w14:paraId="1CC1D98A" w14:textId="6CCA5D95" w:rsidR="00DD52AB" w:rsidRPr="00DD52AB" w:rsidRDefault="00DD52AB" w:rsidP="000F4CE9">
      <w:pPr>
        <w:numPr>
          <w:ilvl w:val="0"/>
          <w:numId w:val="19"/>
        </w:numPr>
        <w:spacing w:line="360" w:lineRule="exact"/>
      </w:pPr>
      <w:r w:rsidRPr="5E59BB36">
        <w:rPr>
          <w:rFonts w:ascii="Aptos" w:eastAsia="游ゴシック" w:hAnsi="Aptos" w:cs="Arial"/>
          <w:b/>
          <w:bCs/>
          <w:lang w:bidi="he-IL"/>
        </w:rPr>
        <w:t xml:space="preserve">3. </w:t>
      </w:r>
      <w:r w:rsidRPr="5E59BB36">
        <w:rPr>
          <w:rFonts w:ascii="Aptos" w:eastAsia="游ゴシック" w:hAnsi="Aptos" w:cs="Arial"/>
          <w:b/>
          <w:bCs/>
          <w:lang w:bidi="he-IL"/>
        </w:rPr>
        <w:t>社会的抑圧の</w:t>
      </w:r>
      <w:r w:rsidR="00835941">
        <w:rPr>
          <w:rFonts w:ascii="Aptos" w:eastAsia="游ゴシック" w:hAnsi="Aptos" w:cs="Arial" w:hint="eastAsia"/>
          <w:b/>
          <w:bCs/>
          <w:lang w:bidi="he-IL"/>
        </w:rPr>
        <w:t>中心</w:t>
      </w:r>
      <w:r w:rsidRPr="5E59BB36">
        <w:rPr>
          <w:rFonts w:ascii="Aptos" w:eastAsia="游ゴシック" w:hAnsi="Aptos" w:cs="Arial"/>
          <w:b/>
          <w:bCs/>
          <w:lang w:bidi="he-IL"/>
        </w:rPr>
        <w:t>源としてのエイジズムを認識する</w:t>
      </w:r>
    </w:p>
    <w:p w14:paraId="53C35029" w14:textId="495DB7BE" w:rsidR="00DD52AB" w:rsidRPr="00DD52AB" w:rsidRDefault="00DD52AB" w:rsidP="000F7A1F">
      <w:pPr>
        <w:spacing w:line="360" w:lineRule="exact"/>
        <w:ind w:firstLineChars="100" w:firstLine="220"/>
        <w:rPr>
          <w:rFonts w:ascii="Aptos" w:eastAsia="游ゴシック" w:hAnsi="Aptos" w:cs="Arial"/>
          <w:szCs w:val="22"/>
          <w:lang w:bidi="he-IL"/>
        </w:rPr>
      </w:pPr>
      <w:r w:rsidRPr="00835941">
        <w:rPr>
          <w:rFonts w:ascii="Aptos" w:eastAsia="游ゴシック" w:hAnsi="Aptos" w:cs="Arial"/>
          <w:szCs w:val="22"/>
          <w:lang w:bidi="he-IL"/>
        </w:rPr>
        <w:t>20</w:t>
      </w:r>
      <w:r w:rsidRPr="00835941">
        <w:rPr>
          <w:rFonts w:ascii="Aptos" w:eastAsia="游ゴシック" w:hAnsi="Aptos" w:cs="Arial"/>
          <w:szCs w:val="22"/>
          <w:lang w:bidi="he-IL"/>
        </w:rPr>
        <w:t>世紀半ば以来、「エイジズム（年齢差別）」という概念は、</w:t>
      </w:r>
      <w:r w:rsidR="00796646">
        <w:rPr>
          <w:rFonts w:ascii="Aptos" w:eastAsia="游ゴシック" w:hAnsi="Aptos" w:cs="Arial"/>
          <w:szCs w:val="22"/>
          <w:lang w:bidi="he-IL"/>
        </w:rPr>
        <w:t>高齢</w:t>
      </w:r>
      <w:r w:rsidRPr="00835941">
        <w:rPr>
          <w:rFonts w:ascii="Aptos" w:eastAsia="游ゴシック" w:hAnsi="Aptos" w:cs="Arial"/>
          <w:szCs w:val="22"/>
          <w:lang w:bidi="he-IL"/>
        </w:rPr>
        <w:t>という社会的構築</w:t>
      </w:r>
      <w:r w:rsidRPr="00DD52AB">
        <w:rPr>
          <w:rFonts w:ascii="Aptos" w:eastAsia="游ゴシック" w:hAnsi="Aptos" w:cs="Arial"/>
          <w:szCs w:val="22"/>
          <w:lang w:bidi="he-IL"/>
        </w:rPr>
        <w:t>物や高齢者が経験する体系的な差別を理解するための重要な枠組みを提供してき</w:t>
      </w:r>
      <w:r w:rsidR="000F7A1F">
        <w:rPr>
          <w:rFonts w:ascii="Aptos" w:eastAsia="游ゴシック" w:hAnsi="Aptos" w:cs="Arial" w:hint="eastAsia"/>
          <w:szCs w:val="22"/>
          <w:lang w:bidi="he-IL"/>
        </w:rPr>
        <w:t>まし</w:t>
      </w:r>
      <w:r w:rsidRPr="00DD52AB">
        <w:rPr>
          <w:rFonts w:ascii="Aptos" w:eastAsia="游ゴシック" w:hAnsi="Aptos" w:cs="Arial"/>
          <w:szCs w:val="22"/>
          <w:lang w:bidi="he-IL"/>
        </w:rPr>
        <w:t>た。エイジズムは、</w:t>
      </w:r>
      <w:r w:rsidR="00796646">
        <w:rPr>
          <w:rFonts w:ascii="Aptos" w:eastAsia="游ゴシック" w:hAnsi="Aptos" w:cs="Arial"/>
          <w:szCs w:val="22"/>
          <w:lang w:bidi="he-IL"/>
        </w:rPr>
        <w:t>高齢</w:t>
      </w:r>
      <w:r w:rsidRPr="00DD52AB">
        <w:rPr>
          <w:rFonts w:ascii="Aptos" w:eastAsia="游ゴシック" w:hAnsi="Aptos" w:cs="Arial"/>
          <w:szCs w:val="22"/>
          <w:lang w:bidi="he-IL"/>
        </w:rPr>
        <w:t>に基づく</w:t>
      </w:r>
      <w:r w:rsidR="00795EB3">
        <w:rPr>
          <w:rFonts w:ascii="Aptos" w:eastAsia="游ゴシック" w:hAnsi="Aptos" w:cs="Arial" w:hint="eastAsia"/>
          <w:szCs w:val="22"/>
          <w:lang w:bidi="he-IL"/>
        </w:rPr>
        <w:t>固定観念</w:t>
      </w:r>
      <w:r w:rsidRPr="00DD52AB">
        <w:rPr>
          <w:rFonts w:ascii="Aptos" w:eastAsia="游ゴシック" w:hAnsi="Aptos" w:cs="Arial"/>
          <w:szCs w:val="22"/>
          <w:lang w:bidi="he-IL"/>
        </w:rPr>
        <w:t>（考え方）、偏見（感情）、差別（行動）を含</w:t>
      </w:r>
      <w:r w:rsidR="00795EB3">
        <w:rPr>
          <w:rFonts w:ascii="Aptos" w:eastAsia="游ゴシック" w:hAnsi="Aptos" w:cs="Arial" w:hint="eastAsia"/>
          <w:szCs w:val="22"/>
          <w:lang w:bidi="he-IL"/>
        </w:rPr>
        <w:t>み</w:t>
      </w:r>
      <w:r w:rsidRPr="00DD52AB">
        <w:rPr>
          <w:rFonts w:ascii="Aptos" w:eastAsia="游ゴシック" w:hAnsi="Aptos" w:cs="Arial"/>
          <w:szCs w:val="22"/>
          <w:lang w:bidi="he-IL"/>
        </w:rPr>
        <w:t>、個人、制度、構造の各レベルで作用</w:t>
      </w:r>
      <w:r w:rsidR="000F7A1F">
        <w:rPr>
          <w:rFonts w:ascii="Aptos" w:eastAsia="游ゴシック" w:hAnsi="Aptos" w:cs="Arial" w:hint="eastAsia"/>
          <w:szCs w:val="22"/>
          <w:lang w:bidi="he-IL"/>
        </w:rPr>
        <w:t>します</w:t>
      </w:r>
      <w:r w:rsidRPr="00DD52AB">
        <w:rPr>
          <w:rFonts w:ascii="Aptos" w:eastAsia="游ゴシック" w:hAnsi="Aptos" w:cs="Arial"/>
          <w:szCs w:val="22"/>
          <w:lang w:bidi="he-IL"/>
        </w:rPr>
        <w:t>。</w:t>
      </w:r>
    </w:p>
    <w:p w14:paraId="06E7043F" w14:textId="398BD631"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過去数十年にわたり、エイジズムの根源と現れ</w:t>
      </w:r>
      <w:r w:rsidR="00795EB3">
        <w:rPr>
          <w:rFonts w:ascii="Aptos" w:eastAsia="游ゴシック" w:hAnsi="Aptos" w:cs="Arial" w:hint="eastAsia"/>
          <w:szCs w:val="22"/>
          <w:lang w:bidi="he-IL"/>
        </w:rPr>
        <w:t>方</w:t>
      </w:r>
      <w:r w:rsidRPr="00DD52AB">
        <w:rPr>
          <w:rFonts w:ascii="Aptos" w:eastAsia="游ゴシック" w:hAnsi="Aptos" w:cs="Arial"/>
          <w:szCs w:val="22"/>
          <w:lang w:bidi="he-IL"/>
        </w:rPr>
        <w:t>を説明するための、実質的かつ学際的な実証的知見が蓄積されてき</w:t>
      </w:r>
      <w:r w:rsidR="000F7A1F">
        <w:rPr>
          <w:rFonts w:ascii="Aptos" w:eastAsia="游ゴシック" w:hAnsi="Aptos" w:cs="Arial" w:hint="eastAsia"/>
          <w:szCs w:val="22"/>
          <w:lang w:bidi="he-IL"/>
        </w:rPr>
        <w:t>まし</w:t>
      </w:r>
      <w:r w:rsidRPr="00DD52AB">
        <w:rPr>
          <w:rFonts w:ascii="Aptos" w:eastAsia="游ゴシック" w:hAnsi="Aptos" w:cs="Arial"/>
          <w:szCs w:val="22"/>
          <w:lang w:bidi="he-IL"/>
        </w:rPr>
        <w:t>た。これには、加齢や死への恐怖に関連する心理学的理論、グループ</w:t>
      </w:r>
      <w:r w:rsidR="00795EB3">
        <w:rPr>
          <w:rFonts w:ascii="Aptos" w:eastAsia="游ゴシック" w:hAnsi="Aptos" w:cs="Arial" w:hint="eastAsia"/>
          <w:szCs w:val="22"/>
          <w:lang w:bidi="he-IL"/>
        </w:rPr>
        <w:t>内</w:t>
      </w:r>
      <w:r w:rsidRPr="00DD52AB">
        <w:rPr>
          <w:rFonts w:ascii="Aptos" w:eastAsia="游ゴシック" w:hAnsi="Aptos" w:cs="Arial"/>
          <w:szCs w:val="22"/>
          <w:lang w:bidi="he-IL"/>
        </w:rPr>
        <w:t>とグループ</w:t>
      </w:r>
      <w:r w:rsidR="00795EB3">
        <w:rPr>
          <w:rFonts w:ascii="Aptos" w:eastAsia="游ゴシック" w:hAnsi="Aptos" w:cs="Arial" w:hint="eastAsia"/>
          <w:szCs w:val="22"/>
          <w:lang w:bidi="he-IL"/>
        </w:rPr>
        <w:t>外</w:t>
      </w:r>
      <w:r w:rsidRPr="00DD52AB">
        <w:rPr>
          <w:rFonts w:ascii="Aptos" w:eastAsia="游ゴシック" w:hAnsi="Aptos" w:cs="Arial"/>
          <w:szCs w:val="22"/>
          <w:lang w:bidi="he-IL"/>
        </w:rPr>
        <w:t>の力学に関する社会学的理論、そして労働市場、生産性規範、福祉制度に関する政治経済学的分析が含まれ</w:t>
      </w:r>
      <w:r w:rsidR="000F7A1F">
        <w:rPr>
          <w:rFonts w:ascii="Aptos" w:eastAsia="游ゴシック" w:hAnsi="Aptos" w:cs="Arial" w:hint="eastAsia"/>
          <w:szCs w:val="22"/>
          <w:lang w:bidi="he-IL"/>
        </w:rPr>
        <w:t>ます</w:t>
      </w:r>
      <w:r w:rsidRPr="00DD52AB">
        <w:rPr>
          <w:rFonts w:ascii="Aptos" w:eastAsia="游ゴシック" w:hAnsi="Aptos" w:cs="Arial"/>
          <w:szCs w:val="22"/>
          <w:lang w:bidi="he-IL"/>
        </w:rPr>
        <w:t>。これらのデータに基づく視点は、エイジズムが単なる態度の問題ではなく、国境や文化を越えて存在する法律、政策、社会制度に根ざしていることを示してい</w:t>
      </w:r>
      <w:r w:rsidR="000F7A1F">
        <w:rPr>
          <w:rFonts w:ascii="Aptos" w:eastAsia="游ゴシック" w:hAnsi="Aptos" w:cs="Arial" w:hint="eastAsia"/>
          <w:szCs w:val="22"/>
          <w:lang w:bidi="he-IL"/>
        </w:rPr>
        <w:t>ます</w:t>
      </w:r>
      <w:r w:rsidRPr="00DD52AB">
        <w:rPr>
          <w:rFonts w:ascii="Aptos" w:eastAsia="游ゴシック" w:hAnsi="Aptos" w:cs="Arial"/>
          <w:szCs w:val="22"/>
          <w:lang w:bidi="he-IL"/>
        </w:rPr>
        <w:t>。</w:t>
      </w:r>
    </w:p>
    <w:p w14:paraId="679AA612" w14:textId="2C111106" w:rsidR="00DD52AB" w:rsidRPr="00DD52AB" w:rsidRDefault="00DD52AB" w:rsidP="000F7A1F">
      <w:pPr>
        <w:spacing w:line="360" w:lineRule="exact"/>
        <w:ind w:firstLineChars="100" w:firstLine="220"/>
        <w:rPr>
          <w:rFonts w:ascii="Aptos" w:eastAsia="游ゴシック" w:hAnsi="Aptos" w:cs="Arial"/>
          <w:szCs w:val="22"/>
          <w:lang w:bidi="he-IL"/>
        </w:rPr>
      </w:pPr>
      <w:r w:rsidRPr="00602CC5">
        <w:rPr>
          <w:rFonts w:ascii="Aptos" w:eastAsia="游ゴシック" w:hAnsi="Aptos" w:cs="Arial"/>
          <w:szCs w:val="22"/>
          <w:lang w:bidi="he-IL"/>
        </w:rPr>
        <w:t>新たな条約は、エイジズムの</w:t>
      </w:r>
      <w:r w:rsidR="00602CC5">
        <w:rPr>
          <w:rFonts w:ascii="Aptos" w:eastAsia="游ゴシック" w:hAnsi="Aptos" w:cs="Arial" w:hint="eastAsia"/>
          <w:szCs w:val="22"/>
          <w:lang w:bidi="he-IL"/>
        </w:rPr>
        <w:t>根絶</w:t>
      </w:r>
      <w:r w:rsidRPr="00602CC5">
        <w:rPr>
          <w:rFonts w:ascii="Aptos" w:eastAsia="游ゴシック" w:hAnsi="Aptos" w:cs="Arial"/>
          <w:szCs w:val="22"/>
          <w:lang w:bidi="he-IL"/>
        </w:rPr>
        <w:t>をその中核に据えなければな</w:t>
      </w:r>
      <w:r w:rsidR="000F7A1F" w:rsidRPr="00602CC5">
        <w:rPr>
          <w:rFonts w:ascii="Aptos" w:eastAsia="游ゴシック" w:hAnsi="Aptos" w:cs="Arial" w:hint="eastAsia"/>
          <w:szCs w:val="22"/>
          <w:lang w:bidi="he-IL"/>
        </w:rPr>
        <w:t>りません</w:t>
      </w:r>
      <w:r w:rsidRPr="00602CC5">
        <w:rPr>
          <w:rFonts w:ascii="Aptos" w:eastAsia="游ゴシック" w:hAnsi="Aptos" w:cs="Arial"/>
          <w:szCs w:val="22"/>
          <w:lang w:bidi="he-IL"/>
        </w:rPr>
        <w:t>。エイジズ</w:t>
      </w:r>
      <w:r w:rsidRPr="00DD52AB">
        <w:rPr>
          <w:rFonts w:ascii="Aptos" w:eastAsia="游ゴシック" w:hAnsi="Aptos" w:cs="Arial"/>
          <w:szCs w:val="22"/>
          <w:lang w:bidi="he-IL"/>
        </w:rPr>
        <w:t>ムを、広範に蔓延する差別の形態であり、高齢者が他者と平等に人権を享受することを妨げる根本的な障壁であることを</w:t>
      </w:r>
      <w:r w:rsidR="00602CC5">
        <w:rPr>
          <w:rFonts w:ascii="Aptos" w:eastAsia="游ゴシック" w:hAnsi="Aptos" w:cs="Arial" w:hint="eastAsia"/>
          <w:szCs w:val="22"/>
          <w:lang w:bidi="he-IL"/>
        </w:rPr>
        <w:t>明確に</w:t>
      </w:r>
      <w:r w:rsidRPr="00DD52AB">
        <w:rPr>
          <w:rFonts w:ascii="Aptos" w:eastAsia="游ゴシック" w:hAnsi="Aptos" w:cs="Arial"/>
          <w:szCs w:val="22"/>
          <w:lang w:bidi="he-IL"/>
        </w:rPr>
        <w:t>認識すべき</w:t>
      </w:r>
      <w:r w:rsidR="007C1B78">
        <w:rPr>
          <w:rFonts w:ascii="Aptos" w:eastAsia="游ゴシック" w:hAnsi="Aptos" w:cs="Arial"/>
          <w:szCs w:val="22"/>
          <w:lang w:bidi="he-IL"/>
        </w:rPr>
        <w:t>です</w:t>
      </w:r>
      <w:r w:rsidRPr="00DD52AB">
        <w:rPr>
          <w:rFonts w:ascii="Aptos" w:eastAsia="游ゴシック" w:hAnsi="Aptos" w:cs="Arial"/>
          <w:szCs w:val="22"/>
          <w:lang w:bidi="he-IL"/>
        </w:rPr>
        <w:t>。各国に対し、法改正、公衆教育、データ収集、制度的変革などを通じ、あらゆる形態のエイジズムと闘うための包括的な措置を講じることを義務付けるべき</w:t>
      </w:r>
      <w:r w:rsidR="007C1B78">
        <w:rPr>
          <w:rFonts w:ascii="Aptos" w:eastAsia="游ゴシック" w:hAnsi="Aptos" w:cs="Arial"/>
          <w:szCs w:val="22"/>
          <w:lang w:bidi="he-IL"/>
        </w:rPr>
        <w:t>です</w:t>
      </w:r>
      <w:r w:rsidRPr="00DD52AB">
        <w:rPr>
          <w:rFonts w:ascii="Aptos" w:eastAsia="游ゴシック" w:hAnsi="Aptos" w:cs="Arial"/>
          <w:szCs w:val="22"/>
          <w:lang w:bidi="he-IL"/>
        </w:rPr>
        <w:t>。</w:t>
      </w:r>
    </w:p>
    <w:p w14:paraId="780B6BBE" w14:textId="2F82794A" w:rsidR="00DD52AB" w:rsidRDefault="00DD52AB" w:rsidP="000F4CE9">
      <w:pPr>
        <w:numPr>
          <w:ilvl w:val="0"/>
          <w:numId w:val="20"/>
        </w:numPr>
        <w:spacing w:line="360" w:lineRule="exact"/>
        <w:rPr>
          <w:rFonts w:ascii="Aptos" w:eastAsia="游ゴシック" w:hAnsi="Aptos" w:cs="Arial"/>
          <w:b/>
          <w:bCs/>
          <w:lang w:bidi="he-IL"/>
        </w:rPr>
      </w:pPr>
      <w:r w:rsidRPr="5E59BB36">
        <w:rPr>
          <w:rFonts w:ascii="Aptos" w:eastAsia="游ゴシック" w:hAnsi="Aptos" w:cs="Arial"/>
          <w:b/>
          <w:bCs/>
          <w:lang w:bidi="he-IL"/>
        </w:rPr>
        <w:t xml:space="preserve">4. </w:t>
      </w:r>
      <w:r w:rsidRPr="5E59BB36">
        <w:rPr>
          <w:rFonts w:ascii="Aptos" w:eastAsia="游ゴシック" w:hAnsi="Aptos" w:cs="Arial"/>
          <w:b/>
          <w:bCs/>
          <w:lang w:bidi="he-IL"/>
        </w:rPr>
        <w:t>エイジ</w:t>
      </w:r>
      <w:r w:rsidR="00602CC5">
        <w:rPr>
          <w:rFonts w:ascii="Aptos" w:eastAsia="游ゴシック" w:hAnsi="Aptos" w:cs="Arial" w:hint="eastAsia"/>
          <w:b/>
          <w:bCs/>
          <w:lang w:bidi="he-IL"/>
        </w:rPr>
        <w:t>ビ</w:t>
      </w:r>
      <w:r w:rsidRPr="5E59BB36">
        <w:rPr>
          <w:rFonts w:ascii="Aptos" w:eastAsia="游ゴシック" w:hAnsi="Aptos" w:cs="Arial"/>
          <w:b/>
          <w:bCs/>
          <w:lang w:bidi="he-IL"/>
        </w:rPr>
        <w:t>ズム</w:t>
      </w:r>
      <w:r w:rsidR="00602CC5">
        <w:rPr>
          <w:rFonts w:ascii="Aptos" w:eastAsia="游ゴシック" w:hAnsi="Aptos" w:cs="Arial" w:hint="eastAsia"/>
          <w:b/>
          <w:bCs/>
          <w:lang w:bidi="he-IL"/>
        </w:rPr>
        <w:t>（</w:t>
      </w:r>
      <w:r w:rsidR="00602CC5">
        <w:rPr>
          <w:rFonts w:ascii="Aptos" w:eastAsia="游ゴシック" w:hAnsi="Aptos" w:cs="Arial" w:hint="eastAsia"/>
          <w:b/>
          <w:bCs/>
          <w:lang w:bidi="he-IL"/>
        </w:rPr>
        <w:t>ageivism</w:t>
      </w:r>
      <w:r w:rsidR="00602CC5">
        <w:rPr>
          <w:rFonts w:ascii="Aptos" w:eastAsia="游ゴシック" w:hAnsi="Aptos" w:cs="Arial" w:hint="eastAsia"/>
          <w:b/>
          <w:bCs/>
          <w:lang w:bidi="he-IL"/>
        </w:rPr>
        <w:t>）</w:t>
      </w:r>
      <w:r w:rsidRPr="5E59BB36">
        <w:rPr>
          <w:rFonts w:ascii="Aptos" w:eastAsia="游ゴシック" w:hAnsi="Aptos" w:cs="Arial"/>
          <w:b/>
          <w:bCs/>
          <w:lang w:bidi="he-IL"/>
        </w:rPr>
        <w:t>：イデオロギーの重要性の認識</w:t>
      </w:r>
    </w:p>
    <w:p w14:paraId="6F6F3285" w14:textId="5ADEE045"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持続可能な人権の進展は、多くの場合、既存の権力構造に異議を唱え、影響を受ける集団を動員する変革的な規範的枠組みによって支えられてい</w:t>
      </w:r>
      <w:r w:rsidR="000F7A1F">
        <w:rPr>
          <w:rFonts w:ascii="Aptos" w:eastAsia="游ゴシック" w:hAnsi="Aptos" w:cs="Arial" w:hint="eastAsia"/>
          <w:szCs w:val="22"/>
          <w:lang w:bidi="he-IL"/>
        </w:rPr>
        <w:t>ます</w:t>
      </w:r>
      <w:r w:rsidRPr="00DD52AB">
        <w:rPr>
          <w:rFonts w:ascii="Aptos" w:eastAsia="游ゴシック" w:hAnsi="Aptos" w:cs="Arial"/>
          <w:szCs w:val="22"/>
          <w:lang w:bidi="he-IL"/>
        </w:rPr>
        <w:t>。高齢者の文脈において、新たな条約の策定は、社会的態度や構造を再構築する上で高齢者の主体性、発言権、集団的行動を中核に据える、新たなイデオロギー的指向</w:t>
      </w:r>
      <w:r w:rsidRPr="00DD52AB">
        <w:rPr>
          <w:rFonts w:ascii="Aptos" w:eastAsia="游ゴシック" w:hAnsi="Aptos" w:cs="Arial"/>
          <w:szCs w:val="22"/>
          <w:lang w:bidi="he-IL"/>
        </w:rPr>
        <w:t>——</w:t>
      </w:r>
      <w:r w:rsidRPr="00DD52AB">
        <w:rPr>
          <w:rFonts w:ascii="Aptos" w:eastAsia="游ゴシック" w:hAnsi="Aptos" w:cs="Arial"/>
          <w:szCs w:val="22"/>
          <w:lang w:bidi="he-IL"/>
        </w:rPr>
        <w:t>ここでは「エイジ</w:t>
      </w:r>
      <w:r w:rsidR="00A731C1">
        <w:rPr>
          <w:rFonts w:ascii="Aptos" w:eastAsia="游ゴシック" w:hAnsi="Aptos" w:cs="Arial" w:hint="eastAsia"/>
          <w:szCs w:val="22"/>
          <w:lang w:bidi="he-IL"/>
        </w:rPr>
        <w:t>ビ</w:t>
      </w:r>
      <w:r w:rsidRPr="00DD52AB">
        <w:rPr>
          <w:rFonts w:ascii="Aptos" w:eastAsia="游ゴシック" w:hAnsi="Aptos" w:cs="Arial"/>
          <w:szCs w:val="22"/>
          <w:lang w:bidi="he-IL"/>
        </w:rPr>
        <w:t>ズム」と呼ぶ</w:t>
      </w:r>
      <w:r w:rsidRPr="00DD52AB">
        <w:rPr>
          <w:rFonts w:ascii="Aptos" w:eastAsia="游ゴシック" w:hAnsi="Aptos" w:cs="Arial"/>
          <w:szCs w:val="22"/>
          <w:lang w:bidi="he-IL"/>
        </w:rPr>
        <w:t>——</w:t>
      </w:r>
      <w:r w:rsidR="00A731C1">
        <w:rPr>
          <w:rFonts w:ascii="Aptos" w:eastAsia="游ゴシック" w:hAnsi="Aptos" w:cs="Arial" w:hint="eastAsia"/>
          <w:szCs w:val="22"/>
          <w:lang w:bidi="he-IL"/>
        </w:rPr>
        <w:t>を反映する</w:t>
      </w:r>
      <w:r w:rsidRPr="00DD52AB">
        <w:rPr>
          <w:rFonts w:ascii="Aptos" w:eastAsia="游ゴシック" w:hAnsi="Aptos" w:cs="Arial"/>
          <w:szCs w:val="22"/>
          <w:lang w:bidi="he-IL"/>
        </w:rPr>
        <w:t>べき</w:t>
      </w:r>
      <w:r w:rsidR="007C1B78">
        <w:rPr>
          <w:rFonts w:ascii="Aptos" w:eastAsia="游ゴシック" w:hAnsi="Aptos" w:cs="Arial"/>
          <w:szCs w:val="22"/>
          <w:lang w:bidi="he-IL"/>
        </w:rPr>
        <w:t>です</w:t>
      </w:r>
      <w:r w:rsidRPr="00DD52AB">
        <w:rPr>
          <w:rFonts w:ascii="Aptos" w:eastAsia="游ゴシック" w:hAnsi="Aptos" w:cs="Arial"/>
          <w:szCs w:val="22"/>
          <w:lang w:bidi="he-IL"/>
        </w:rPr>
        <w:t>。</w:t>
      </w:r>
    </w:p>
    <w:p w14:paraId="17F21227" w14:textId="393E186E"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lastRenderedPageBreak/>
        <w:t>エイジイ</w:t>
      </w:r>
      <w:r w:rsidR="00A731C1">
        <w:rPr>
          <w:rFonts w:ascii="Aptos" w:eastAsia="游ゴシック" w:hAnsi="Aptos" w:cs="Arial" w:hint="eastAsia"/>
          <w:szCs w:val="22"/>
          <w:lang w:bidi="he-IL"/>
        </w:rPr>
        <w:t>ビ</w:t>
      </w:r>
      <w:r w:rsidRPr="00DD52AB">
        <w:rPr>
          <w:rFonts w:ascii="Aptos" w:eastAsia="游ゴシック" w:hAnsi="Aptos" w:cs="Arial"/>
          <w:szCs w:val="22"/>
          <w:lang w:bidi="he-IL"/>
        </w:rPr>
        <w:t>ズムは、高齢者が単なる権利の受益者ではなく、変革の能動的な主体であるという原則を反映してい</w:t>
      </w:r>
      <w:r w:rsidR="000F7A1F">
        <w:rPr>
          <w:rFonts w:ascii="Aptos" w:eastAsia="游ゴシック" w:hAnsi="Aptos" w:cs="Arial" w:hint="eastAsia"/>
          <w:szCs w:val="22"/>
          <w:lang w:bidi="he-IL"/>
        </w:rPr>
        <w:t>ます</w:t>
      </w:r>
      <w:r w:rsidRPr="00DD52AB">
        <w:rPr>
          <w:rFonts w:ascii="Aptos" w:eastAsia="游ゴシック" w:hAnsi="Aptos" w:cs="Arial"/>
          <w:szCs w:val="22"/>
          <w:lang w:bidi="he-IL"/>
        </w:rPr>
        <w:t>。これは参加、自己</w:t>
      </w:r>
      <w:r w:rsidR="00A731C1">
        <w:rPr>
          <w:rFonts w:ascii="Aptos" w:eastAsia="游ゴシック" w:hAnsi="Aptos" w:cs="Arial" w:hint="eastAsia"/>
          <w:szCs w:val="22"/>
          <w:lang w:bidi="he-IL"/>
        </w:rPr>
        <w:t>表現</w:t>
      </w:r>
      <w:r w:rsidRPr="00DD52AB">
        <w:rPr>
          <w:rFonts w:ascii="Aptos" w:eastAsia="游ゴシック" w:hAnsi="Aptos" w:cs="Arial"/>
          <w:szCs w:val="22"/>
          <w:lang w:bidi="he-IL"/>
        </w:rPr>
        <w:t>、エンパワーメントを重視し、「私たち抜き</w:t>
      </w:r>
      <w:r w:rsidR="00A731C1">
        <w:rPr>
          <w:rFonts w:ascii="Aptos" w:eastAsia="游ゴシック" w:hAnsi="Aptos" w:cs="Arial" w:hint="eastAsia"/>
          <w:szCs w:val="22"/>
          <w:lang w:bidi="he-IL"/>
        </w:rPr>
        <w:t>に</w:t>
      </w:r>
      <w:r w:rsidRPr="00DD52AB">
        <w:rPr>
          <w:rFonts w:ascii="Aptos" w:eastAsia="游ゴシック" w:hAnsi="Aptos" w:cs="Arial"/>
          <w:szCs w:val="22"/>
          <w:lang w:bidi="he-IL"/>
        </w:rPr>
        <w:t>私たち</w:t>
      </w:r>
      <w:r w:rsidR="00A731C1">
        <w:rPr>
          <w:rFonts w:ascii="Aptos" w:eastAsia="游ゴシック" w:hAnsi="Aptos" w:cs="Arial" w:hint="eastAsia"/>
          <w:szCs w:val="22"/>
          <w:lang w:bidi="he-IL"/>
        </w:rPr>
        <w:t>のことは決めないで</w:t>
      </w:r>
      <w:r w:rsidRPr="00DD52AB">
        <w:rPr>
          <w:rFonts w:ascii="Aptos" w:eastAsia="游ゴシック" w:hAnsi="Aptos" w:cs="Arial"/>
          <w:szCs w:val="22"/>
          <w:lang w:bidi="he-IL"/>
        </w:rPr>
        <w:t>」という広範な人権原則と合致</w:t>
      </w:r>
      <w:r w:rsidR="000F7A1F">
        <w:rPr>
          <w:rFonts w:ascii="Aptos" w:eastAsia="游ゴシック" w:hAnsi="Aptos" w:cs="Arial" w:hint="eastAsia"/>
          <w:szCs w:val="22"/>
          <w:lang w:bidi="he-IL"/>
        </w:rPr>
        <w:t>します</w:t>
      </w:r>
      <w:r w:rsidRPr="00DD52AB">
        <w:rPr>
          <w:rFonts w:ascii="Aptos" w:eastAsia="游ゴシック" w:hAnsi="Aptos" w:cs="Arial"/>
          <w:szCs w:val="22"/>
          <w:lang w:bidi="he-IL"/>
        </w:rPr>
        <w:t>。高齢者の社会的・政治的動員を促進することにより、このイデオロギー的枠組みは、社会</w:t>
      </w:r>
      <w:r w:rsidR="00A731C1">
        <w:rPr>
          <w:rFonts w:ascii="Aptos" w:eastAsia="游ゴシック" w:hAnsi="Aptos" w:cs="Arial" w:hint="eastAsia"/>
          <w:szCs w:val="22"/>
          <w:lang w:bidi="he-IL"/>
        </w:rPr>
        <w:t>の</w:t>
      </w:r>
      <w:r w:rsidRPr="00DD52AB">
        <w:rPr>
          <w:rFonts w:ascii="Aptos" w:eastAsia="游ゴシック" w:hAnsi="Aptos" w:cs="Arial"/>
          <w:szCs w:val="22"/>
          <w:lang w:bidi="he-IL"/>
        </w:rPr>
        <w:t>高齢化</w:t>
      </w:r>
      <w:r w:rsidR="00A731C1">
        <w:rPr>
          <w:rFonts w:ascii="Aptos" w:eastAsia="游ゴシック" w:hAnsi="Aptos" w:cs="Arial" w:hint="eastAsia"/>
          <w:szCs w:val="22"/>
          <w:lang w:bidi="he-IL"/>
        </w:rPr>
        <w:t>のとらえ方</w:t>
      </w:r>
      <w:r w:rsidRPr="00DD52AB">
        <w:rPr>
          <w:rFonts w:ascii="Aptos" w:eastAsia="游ゴシック" w:hAnsi="Aptos" w:cs="Arial"/>
          <w:szCs w:val="22"/>
          <w:lang w:bidi="he-IL"/>
        </w:rPr>
        <w:t>を</w:t>
      </w:r>
      <w:r w:rsidR="00A731C1">
        <w:rPr>
          <w:rFonts w:ascii="Aptos" w:eastAsia="游ゴシック" w:hAnsi="Aptos" w:cs="Arial" w:hint="eastAsia"/>
          <w:szCs w:val="22"/>
          <w:lang w:bidi="he-IL"/>
        </w:rPr>
        <w:t>変え</w:t>
      </w:r>
      <w:r w:rsidRPr="00DD52AB">
        <w:rPr>
          <w:rFonts w:ascii="Aptos" w:eastAsia="游ゴシック" w:hAnsi="Aptos" w:cs="Arial"/>
          <w:szCs w:val="22"/>
          <w:lang w:bidi="he-IL"/>
        </w:rPr>
        <w:t>、排除</w:t>
      </w:r>
      <w:r w:rsidR="00A731C1">
        <w:rPr>
          <w:rFonts w:ascii="Aptos" w:eastAsia="游ゴシック" w:hAnsi="Aptos" w:cs="Arial" w:hint="eastAsia"/>
          <w:szCs w:val="22"/>
          <w:lang w:bidi="he-IL"/>
        </w:rPr>
        <w:t>と</w:t>
      </w:r>
      <w:r w:rsidRPr="00DD52AB">
        <w:rPr>
          <w:rFonts w:ascii="Aptos" w:eastAsia="游ゴシック" w:hAnsi="Aptos" w:cs="Arial"/>
          <w:szCs w:val="22"/>
          <w:lang w:bidi="he-IL"/>
        </w:rPr>
        <w:t>父権主義</w:t>
      </w:r>
      <w:r w:rsidR="00A731C1">
        <w:rPr>
          <w:rFonts w:ascii="Aptos" w:eastAsia="游ゴシック" w:hAnsi="Aptos" w:cs="Arial" w:hint="eastAsia"/>
          <w:szCs w:val="22"/>
          <w:lang w:bidi="he-IL"/>
        </w:rPr>
        <w:t>の</w:t>
      </w:r>
      <w:r w:rsidRPr="00DD52AB">
        <w:rPr>
          <w:rFonts w:ascii="Aptos" w:eastAsia="游ゴシック" w:hAnsi="Aptos" w:cs="Arial"/>
          <w:szCs w:val="22"/>
          <w:lang w:bidi="he-IL"/>
        </w:rPr>
        <w:t>システム</w:t>
      </w:r>
      <w:r w:rsidR="00A731C1">
        <w:rPr>
          <w:rFonts w:ascii="Aptos" w:eastAsia="游ゴシック" w:hAnsi="Aptos" w:cs="Arial" w:hint="eastAsia"/>
          <w:szCs w:val="22"/>
          <w:lang w:bidi="he-IL"/>
        </w:rPr>
        <w:t>の</w:t>
      </w:r>
      <w:r w:rsidRPr="00DD52AB">
        <w:rPr>
          <w:rFonts w:ascii="Aptos" w:eastAsia="游ゴシック" w:hAnsi="Aptos" w:cs="Arial"/>
          <w:szCs w:val="22"/>
          <w:lang w:bidi="he-IL"/>
        </w:rPr>
        <w:t>解体を目指</w:t>
      </w:r>
      <w:r w:rsidR="000F7A1F">
        <w:rPr>
          <w:rFonts w:ascii="Aptos" w:eastAsia="游ゴシック" w:hAnsi="Aptos" w:cs="Arial" w:hint="eastAsia"/>
          <w:szCs w:val="22"/>
          <w:lang w:bidi="he-IL"/>
        </w:rPr>
        <w:t>します</w:t>
      </w:r>
      <w:r w:rsidRPr="00DD52AB">
        <w:rPr>
          <w:rFonts w:ascii="Aptos" w:eastAsia="游ゴシック" w:hAnsi="Aptos" w:cs="Arial"/>
          <w:szCs w:val="22"/>
          <w:lang w:bidi="he-IL"/>
        </w:rPr>
        <w:t>。</w:t>
      </w:r>
    </w:p>
    <w:p w14:paraId="25E39556" w14:textId="6FAA3815" w:rsidR="00DD52AB" w:rsidRPr="00DD52AB" w:rsidRDefault="00DD52AB" w:rsidP="000F7A1F">
      <w:pPr>
        <w:spacing w:line="360" w:lineRule="exact"/>
        <w:ind w:firstLineChars="100" w:firstLine="220"/>
        <w:rPr>
          <w:rFonts w:ascii="Aptos" w:eastAsia="游ゴシック" w:hAnsi="Aptos" w:cs="Arial"/>
          <w:lang w:bidi="he-IL"/>
        </w:rPr>
      </w:pPr>
      <w:r w:rsidRPr="5E59BB36">
        <w:rPr>
          <w:rFonts w:ascii="Aptos" w:eastAsia="游ゴシック" w:hAnsi="Aptos" w:cs="Arial"/>
          <w:lang w:bidi="he-IL"/>
        </w:rPr>
        <w:t>したがって、この条約は、権利と国家の義務を明文化するだけでなく、あらゆるレベルの意思決定プロセスへの高齢者の有意義な参加を促進するイデオロギーへの</w:t>
      </w:r>
      <w:r w:rsidR="00DE4E10">
        <w:rPr>
          <w:rFonts w:ascii="Aptos" w:eastAsia="游ゴシック" w:hAnsi="Aptos" w:cs="Arial" w:hint="eastAsia"/>
          <w:lang w:bidi="he-IL"/>
        </w:rPr>
        <w:t>熱意を育てるも</w:t>
      </w:r>
      <w:r w:rsidRPr="5E59BB36">
        <w:rPr>
          <w:rFonts w:ascii="Aptos" w:eastAsia="游ゴシック" w:hAnsi="Aptos" w:cs="Arial"/>
          <w:lang w:bidi="he-IL"/>
        </w:rPr>
        <w:t>のでなければな</w:t>
      </w:r>
      <w:r w:rsidR="000F7A1F">
        <w:rPr>
          <w:rFonts w:ascii="Aptos" w:eastAsia="游ゴシック" w:hAnsi="Aptos" w:cs="Arial" w:hint="eastAsia"/>
          <w:lang w:bidi="he-IL"/>
        </w:rPr>
        <w:t>りません</w:t>
      </w:r>
      <w:r w:rsidRPr="5E59BB36">
        <w:rPr>
          <w:rFonts w:ascii="Aptos" w:eastAsia="游ゴシック" w:hAnsi="Aptos" w:cs="Arial"/>
          <w:lang w:bidi="he-IL"/>
        </w:rPr>
        <w:t>。このイデオロギー的基盤を組み込むことで、条約が単なる保護にとどまらず、構造的変革および高齢者を平等な権利保有者として完全に認めることに寄与することが保証され</w:t>
      </w:r>
      <w:r w:rsidR="000F7A1F">
        <w:rPr>
          <w:rFonts w:ascii="Aptos" w:eastAsia="游ゴシック" w:hAnsi="Aptos" w:cs="Arial" w:hint="eastAsia"/>
          <w:lang w:bidi="he-IL"/>
        </w:rPr>
        <w:t>ます</w:t>
      </w:r>
      <w:r w:rsidRPr="5E59BB36">
        <w:rPr>
          <w:rFonts w:ascii="Aptos" w:eastAsia="游ゴシック" w:hAnsi="Aptos" w:cs="Arial"/>
          <w:lang w:bidi="he-IL"/>
        </w:rPr>
        <w:t>。</w:t>
      </w:r>
    </w:p>
    <w:p w14:paraId="62807519" w14:textId="5564C394" w:rsidR="00DD52AB" w:rsidRPr="00DD52AB" w:rsidRDefault="00861B31" w:rsidP="000F4CE9">
      <w:pPr>
        <w:spacing w:line="360" w:lineRule="exact"/>
        <w:rPr>
          <w:rFonts w:ascii="Aptos" w:eastAsia="游ゴシック" w:hAnsi="Aptos" w:cs="Arial"/>
          <w:szCs w:val="22"/>
          <w:lang w:bidi="he-IL"/>
        </w:rPr>
      </w:pPr>
      <w:r w:rsidRPr="00861B31">
        <w:rPr>
          <w:rFonts w:ascii="Aptos" w:eastAsia="游ゴシック" w:hAnsi="Aptos" w:cs="Arial" w:hint="eastAsia"/>
          <w:i/>
          <w:iCs/>
          <w:color w:val="0070C0"/>
          <w:szCs w:val="22"/>
          <w:lang w:bidi="he-IL"/>
        </w:rPr>
        <w:t>質問</w:t>
      </w:r>
      <w:r w:rsidRPr="00861B31">
        <w:rPr>
          <w:rFonts w:ascii="Aptos" w:eastAsia="游ゴシック" w:hAnsi="Aptos" w:cs="Arial"/>
          <w:i/>
          <w:iCs/>
          <w:color w:val="0070C0"/>
          <w:szCs w:val="22"/>
          <w:lang w:bidi="he-IL"/>
        </w:rPr>
        <w:t xml:space="preserve">2. </w:t>
      </w:r>
      <w:r w:rsidRPr="00861B31">
        <w:rPr>
          <w:rFonts w:ascii="Aptos" w:eastAsia="游ゴシック" w:hAnsi="Aptos" w:cs="Arial"/>
          <w:i/>
          <w:iCs/>
          <w:color w:val="0070C0"/>
          <w:szCs w:val="22"/>
          <w:lang w:bidi="he-IL"/>
        </w:rPr>
        <w:t>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問題や課題（ギャップ）を明確に特定し、対処するにはどうすればよいか？</w:t>
      </w:r>
    </w:p>
    <w:p w14:paraId="75192CCD" w14:textId="0EEBB795"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法的拘束力のある文書を支えるべき</w:t>
      </w:r>
      <w:r w:rsidRPr="00DD52AB">
        <w:rPr>
          <w:rFonts w:ascii="Aptos" w:eastAsia="游ゴシック" w:hAnsi="Aptos" w:cs="Arial"/>
          <w:szCs w:val="22"/>
          <w:lang w:bidi="he-IL"/>
        </w:rPr>
        <w:t>7</w:t>
      </w:r>
      <w:r w:rsidRPr="00DD52AB">
        <w:rPr>
          <w:rFonts w:ascii="Aptos" w:eastAsia="游ゴシック" w:hAnsi="Aptos" w:cs="Arial"/>
          <w:szCs w:val="22"/>
          <w:lang w:bidi="he-IL"/>
        </w:rPr>
        <w:t>つの基本原則は以下の通り</w:t>
      </w:r>
      <w:r w:rsidR="007C1B78">
        <w:rPr>
          <w:rFonts w:ascii="Aptos" w:eastAsia="游ゴシック" w:hAnsi="Aptos" w:cs="Arial"/>
          <w:szCs w:val="22"/>
          <w:lang w:bidi="he-IL"/>
        </w:rPr>
        <w:t>です</w:t>
      </w:r>
      <w:r w:rsidRPr="00DD52AB">
        <w:rPr>
          <w:rFonts w:ascii="Aptos" w:eastAsia="游ゴシック" w:hAnsi="Aptos" w:cs="Arial"/>
          <w:szCs w:val="22"/>
          <w:lang w:bidi="he-IL"/>
        </w:rPr>
        <w:t>：</w:t>
      </w:r>
    </w:p>
    <w:p w14:paraId="280A7ACA" w14:textId="5F08D1B5" w:rsidR="00DD52AB" w:rsidRDefault="00DD52AB" w:rsidP="000F4CE9">
      <w:pPr>
        <w:numPr>
          <w:ilvl w:val="0"/>
          <w:numId w:val="21"/>
        </w:numPr>
        <w:spacing w:line="360" w:lineRule="exact"/>
        <w:contextualSpacing/>
        <w:rPr>
          <w:rFonts w:ascii="Aptos" w:eastAsia="游ゴシック" w:hAnsi="Aptos" w:cs="Arial"/>
          <w:lang w:eastAsia="en-US" w:bidi="he-IL"/>
        </w:rPr>
      </w:pPr>
      <w:r w:rsidRPr="5E59BB36">
        <w:rPr>
          <w:rFonts w:ascii="Aptos" w:eastAsia="游ゴシック" w:hAnsi="Aptos" w:cs="Arial"/>
          <w:b/>
          <w:bCs/>
          <w:lang w:eastAsia="en-US" w:bidi="he-IL"/>
        </w:rPr>
        <w:t xml:space="preserve">1. </w:t>
      </w:r>
      <w:r w:rsidRPr="5E59BB36">
        <w:rPr>
          <w:rFonts w:ascii="Aptos" w:eastAsia="游ゴシック" w:hAnsi="Aptos" w:cs="Arial"/>
          <w:b/>
          <w:bCs/>
          <w:lang w:eastAsia="en-US" w:bidi="he-IL"/>
        </w:rPr>
        <w:t>年齢</w:t>
      </w:r>
      <w:r w:rsidR="00DE4E10">
        <w:rPr>
          <w:rFonts w:ascii="Aptos" w:eastAsia="游ゴシック" w:hAnsi="Aptos" w:cs="Arial" w:hint="eastAsia"/>
          <w:b/>
          <w:bCs/>
          <w:lang w:bidi="he-IL"/>
        </w:rPr>
        <w:t>を理由とする</w:t>
      </w:r>
      <w:r w:rsidRPr="5E59BB36">
        <w:rPr>
          <w:rFonts w:ascii="Aptos" w:eastAsia="游ゴシック" w:hAnsi="Aptos" w:cs="Arial"/>
          <w:b/>
          <w:bCs/>
          <w:lang w:eastAsia="en-US" w:bidi="he-IL"/>
        </w:rPr>
        <w:t>差別と平等</w:t>
      </w:r>
    </w:p>
    <w:p w14:paraId="6893D00C" w14:textId="0C651265"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新しい条約の根底にある最も基本的かつ根本的な原則は、年齢を理由とする差別の禁止であるべき</w:t>
      </w:r>
      <w:r w:rsidR="007C1B78">
        <w:rPr>
          <w:rFonts w:ascii="Aptos" w:eastAsia="游ゴシック" w:hAnsi="Aptos" w:cs="Arial"/>
          <w:szCs w:val="22"/>
          <w:lang w:bidi="he-IL"/>
        </w:rPr>
        <w:t>です</w:t>
      </w:r>
      <w:r w:rsidRPr="00DD52AB">
        <w:rPr>
          <w:rFonts w:ascii="Aptos" w:eastAsia="游ゴシック" w:hAnsi="Aptos" w:cs="Arial"/>
          <w:szCs w:val="22"/>
          <w:lang w:bidi="he-IL"/>
        </w:rPr>
        <w:t>。この法的拘束力のある文書は、年齢を差別の禁止事由として明</w:t>
      </w:r>
      <w:r w:rsidR="00DE4E10">
        <w:rPr>
          <w:rFonts w:ascii="Aptos" w:eastAsia="游ゴシック" w:hAnsi="Aptos" w:cs="Arial" w:hint="eastAsia"/>
          <w:szCs w:val="22"/>
          <w:lang w:bidi="he-IL"/>
        </w:rPr>
        <w:t>確</w:t>
      </w:r>
      <w:r w:rsidRPr="00DD52AB">
        <w:rPr>
          <w:rFonts w:ascii="Aptos" w:eastAsia="游ゴシック" w:hAnsi="Aptos" w:cs="Arial"/>
          <w:szCs w:val="22"/>
          <w:lang w:bidi="he-IL"/>
        </w:rPr>
        <w:t>に認め、高齢者が他の人々と</w:t>
      </w:r>
      <w:r w:rsidR="00DE4E10">
        <w:rPr>
          <w:rFonts w:ascii="Aptos" w:eastAsia="游ゴシック" w:hAnsi="Aptos" w:cs="Arial" w:hint="eastAsia"/>
          <w:szCs w:val="22"/>
          <w:lang w:bidi="he-IL"/>
        </w:rPr>
        <w:t>平等に</w:t>
      </w:r>
      <w:r w:rsidRPr="00DD52AB">
        <w:rPr>
          <w:rFonts w:ascii="Aptos" w:eastAsia="游ゴシック" w:hAnsi="Aptos" w:cs="Arial"/>
          <w:szCs w:val="22"/>
          <w:lang w:bidi="he-IL"/>
        </w:rPr>
        <w:t>全ての人権を享受できるようにすべき</w:t>
      </w:r>
      <w:r w:rsidR="007C1B78">
        <w:rPr>
          <w:rFonts w:ascii="Aptos" w:eastAsia="游ゴシック" w:hAnsi="Aptos" w:cs="Arial"/>
          <w:szCs w:val="22"/>
          <w:lang w:bidi="he-IL"/>
        </w:rPr>
        <w:t>です</w:t>
      </w:r>
      <w:r w:rsidRPr="00DD52AB">
        <w:rPr>
          <w:rFonts w:ascii="Aptos" w:eastAsia="游ゴシック" w:hAnsi="Aptos" w:cs="Arial"/>
          <w:szCs w:val="22"/>
          <w:lang w:bidi="he-IL"/>
        </w:rPr>
        <w:t>。</w:t>
      </w:r>
    </w:p>
    <w:p w14:paraId="09A14124" w14:textId="7F4647A4"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この新しい文書は、</w:t>
      </w:r>
      <w:r w:rsidR="005366A1" w:rsidRPr="00DD52AB">
        <w:rPr>
          <w:rFonts w:ascii="Aptos" w:eastAsia="游ゴシック" w:hAnsi="Aptos" w:cs="Arial"/>
          <w:b/>
          <w:bCs/>
          <w:szCs w:val="22"/>
          <w:lang w:bidi="he-IL"/>
        </w:rPr>
        <w:t>実質的平等</w:t>
      </w:r>
      <w:r w:rsidR="005366A1" w:rsidRPr="005366A1">
        <w:rPr>
          <w:rFonts w:ascii="Aptos" w:eastAsia="游ゴシック" w:hAnsi="Aptos" w:cs="Arial" w:hint="eastAsia"/>
          <w:szCs w:val="22"/>
          <w:lang w:bidi="he-IL"/>
        </w:rPr>
        <w:t>（</w:t>
      </w:r>
      <w:r w:rsidR="005366A1" w:rsidRPr="005366A1">
        <w:rPr>
          <w:rFonts w:ascii="Aptos" w:eastAsia="游ゴシック" w:hAnsi="Aptos" w:cs="Arial"/>
          <w:szCs w:val="22"/>
          <w:lang w:bidi="he-IL"/>
        </w:rPr>
        <w:t>substantive equality</w:t>
      </w:r>
      <w:r w:rsidR="005366A1" w:rsidRPr="005366A1">
        <w:rPr>
          <w:rFonts w:ascii="Aptos" w:eastAsia="游ゴシック" w:hAnsi="Aptos" w:cs="Arial" w:hint="eastAsia"/>
          <w:szCs w:val="22"/>
          <w:lang w:bidi="he-IL"/>
        </w:rPr>
        <w:t>）</w:t>
      </w:r>
      <w:r w:rsidR="005366A1" w:rsidRPr="00DD52AB">
        <w:rPr>
          <w:rFonts w:ascii="Aptos" w:eastAsia="游ゴシック" w:hAnsi="Aptos" w:cs="Arial"/>
          <w:b/>
          <w:bCs/>
          <w:szCs w:val="22"/>
          <w:lang w:bidi="he-IL"/>
        </w:rPr>
        <w:t>と変革的平等</w:t>
      </w:r>
      <w:r w:rsidR="005366A1" w:rsidRPr="005366A1">
        <w:rPr>
          <w:rFonts w:ascii="Aptos" w:eastAsia="游ゴシック" w:hAnsi="Aptos" w:cs="Arial" w:hint="eastAsia"/>
          <w:szCs w:val="22"/>
          <w:lang w:bidi="he-IL"/>
        </w:rPr>
        <w:t>（</w:t>
      </w:r>
      <w:r w:rsidR="005366A1" w:rsidRPr="005366A1">
        <w:rPr>
          <w:rFonts w:ascii="Aptos" w:eastAsia="游ゴシック" w:hAnsi="Aptos" w:cs="Arial"/>
          <w:szCs w:val="22"/>
          <w:lang w:bidi="he-IL"/>
        </w:rPr>
        <w:t>transformative equality</w:t>
      </w:r>
      <w:r w:rsidR="005366A1" w:rsidRPr="005366A1">
        <w:rPr>
          <w:rFonts w:ascii="Aptos" w:eastAsia="游ゴシック" w:hAnsi="Aptos" w:cs="Arial" w:hint="eastAsia"/>
          <w:szCs w:val="22"/>
          <w:lang w:bidi="he-IL"/>
        </w:rPr>
        <w:t>）</w:t>
      </w:r>
      <w:r w:rsidR="005366A1" w:rsidRPr="005366A1">
        <w:rPr>
          <w:rFonts w:ascii="Aptos" w:eastAsia="游ゴシック" w:hAnsi="Aptos" w:cs="Arial"/>
          <w:szCs w:val="22"/>
          <w:lang w:bidi="he-IL"/>
        </w:rPr>
        <w:t>の</w:t>
      </w:r>
      <w:r w:rsidR="005366A1" w:rsidRPr="00DD52AB">
        <w:rPr>
          <w:rFonts w:ascii="Aptos" w:eastAsia="游ゴシック" w:hAnsi="Aptos" w:cs="Arial"/>
          <w:szCs w:val="22"/>
          <w:lang w:bidi="he-IL"/>
        </w:rPr>
        <w:t>概念を</w:t>
      </w:r>
      <w:r w:rsidR="005366A1">
        <w:rPr>
          <w:rFonts w:ascii="Aptos" w:eastAsia="游ゴシック" w:hAnsi="Aptos" w:cs="Arial" w:hint="eastAsia"/>
          <w:szCs w:val="22"/>
          <w:lang w:bidi="he-IL"/>
        </w:rPr>
        <w:t>盛り込む</w:t>
      </w:r>
      <w:r w:rsidR="005366A1" w:rsidRPr="00DD52AB">
        <w:rPr>
          <w:rFonts w:ascii="Aptos" w:eastAsia="游ゴシック" w:hAnsi="Aptos" w:cs="Arial"/>
          <w:szCs w:val="22"/>
          <w:lang w:bidi="he-IL"/>
        </w:rPr>
        <w:t>べき</w:t>
      </w:r>
      <w:r w:rsidR="005366A1">
        <w:rPr>
          <w:rFonts w:ascii="Aptos" w:eastAsia="游ゴシック" w:hAnsi="Aptos" w:cs="Arial"/>
          <w:szCs w:val="22"/>
          <w:lang w:bidi="he-IL"/>
        </w:rPr>
        <w:t>です</w:t>
      </w:r>
      <w:r w:rsidR="005366A1" w:rsidRPr="00DD52AB">
        <w:rPr>
          <w:rFonts w:ascii="Aptos" w:eastAsia="游ゴシック" w:hAnsi="Aptos" w:cs="Arial"/>
          <w:szCs w:val="22"/>
          <w:lang w:bidi="he-IL"/>
        </w:rPr>
        <w:t>。</w:t>
      </w:r>
      <w:r w:rsidR="005366A1">
        <w:rPr>
          <w:rFonts w:ascii="Aptos" w:eastAsia="游ゴシック" w:hAnsi="Aptos" w:cs="Arial" w:hint="eastAsia"/>
          <w:szCs w:val="22"/>
          <w:lang w:bidi="he-IL"/>
        </w:rPr>
        <w:t>それは、</w:t>
      </w:r>
      <w:r w:rsidRPr="00DD52AB">
        <w:rPr>
          <w:rFonts w:ascii="Aptos" w:eastAsia="游ゴシック" w:hAnsi="Aptos" w:cs="Arial"/>
          <w:szCs w:val="22"/>
          <w:lang w:bidi="he-IL"/>
        </w:rPr>
        <w:t>年齢</w:t>
      </w:r>
      <w:r w:rsidR="005366A1">
        <w:rPr>
          <w:rFonts w:ascii="Aptos" w:eastAsia="游ゴシック" w:hAnsi="Aptos" w:cs="Arial" w:hint="eastAsia"/>
          <w:szCs w:val="22"/>
          <w:lang w:bidi="he-IL"/>
        </w:rPr>
        <w:t>を理由とする</w:t>
      </w:r>
      <w:r w:rsidRPr="00DD52AB">
        <w:rPr>
          <w:rFonts w:ascii="Aptos" w:eastAsia="游ゴシック" w:hAnsi="Aptos" w:cs="Arial"/>
          <w:szCs w:val="22"/>
          <w:lang w:bidi="he-IL"/>
        </w:rPr>
        <w:t>差別の複雑かつ構造的な性質、およびそれに対処する際に</w:t>
      </w:r>
      <w:r w:rsidR="00DE4E10">
        <w:rPr>
          <w:rFonts w:ascii="Aptos" w:eastAsia="游ゴシック" w:hAnsi="Aptos" w:cs="Arial" w:hint="eastAsia"/>
          <w:szCs w:val="22"/>
          <w:lang w:bidi="he-IL"/>
        </w:rPr>
        <w:t>出てくる</w:t>
      </w:r>
      <w:r w:rsidRPr="00DD52AB">
        <w:rPr>
          <w:rFonts w:ascii="Aptos" w:eastAsia="游ゴシック" w:hAnsi="Aptos" w:cs="Arial"/>
          <w:szCs w:val="22"/>
          <w:lang w:bidi="he-IL"/>
        </w:rPr>
        <w:t>課題を十分に捉えるため</w:t>
      </w:r>
      <w:r w:rsidR="005366A1">
        <w:rPr>
          <w:rFonts w:ascii="Aptos" w:eastAsia="游ゴシック" w:hAnsi="Aptos" w:cs="Arial" w:hint="eastAsia"/>
          <w:szCs w:val="22"/>
          <w:lang w:bidi="he-IL"/>
        </w:rPr>
        <w:t>です。</w:t>
      </w:r>
      <w:r w:rsidRPr="00DD52AB">
        <w:rPr>
          <w:rFonts w:ascii="Aptos" w:eastAsia="游ゴシック" w:hAnsi="Aptos" w:cs="Arial"/>
          <w:szCs w:val="22"/>
          <w:lang w:bidi="he-IL"/>
        </w:rPr>
        <w:t>実質的平等とは、高齢者が直面する現実の不利益、障壁、および累積的な不平等を認識し、これに対処することを求めるもの</w:t>
      </w:r>
      <w:r w:rsidR="007C1B78">
        <w:rPr>
          <w:rFonts w:ascii="Aptos" w:eastAsia="游ゴシック" w:hAnsi="Aptos" w:cs="Arial"/>
          <w:szCs w:val="22"/>
          <w:lang w:bidi="he-IL"/>
        </w:rPr>
        <w:t>です</w:t>
      </w:r>
      <w:r w:rsidRPr="00DD52AB">
        <w:rPr>
          <w:rFonts w:ascii="Aptos" w:eastAsia="游ゴシック" w:hAnsi="Aptos" w:cs="Arial"/>
          <w:szCs w:val="22"/>
          <w:lang w:bidi="he-IL"/>
        </w:rPr>
        <w:t>。変革的平等はさらに一歩進み、国家に対し、不利益を是正するだけでなく、エイジズム（年齢差別）</w:t>
      </w:r>
      <w:r w:rsidR="005366A1">
        <w:rPr>
          <w:rFonts w:ascii="Aptos" w:eastAsia="游ゴシック" w:hAnsi="Aptos" w:cs="Arial" w:hint="eastAsia"/>
          <w:szCs w:val="22"/>
          <w:lang w:bidi="he-IL"/>
        </w:rPr>
        <w:t>と</w:t>
      </w:r>
      <w:r w:rsidRPr="00DD52AB">
        <w:rPr>
          <w:rFonts w:ascii="Aptos" w:eastAsia="游ゴシック" w:hAnsi="Aptos" w:cs="Arial"/>
          <w:szCs w:val="22"/>
          <w:lang w:bidi="he-IL"/>
        </w:rPr>
        <w:t>排除を永続させる社会的、制度的、文化的構造を積極的に変革することを求め</w:t>
      </w:r>
      <w:r w:rsidR="000F7A1F">
        <w:rPr>
          <w:rFonts w:ascii="Aptos" w:eastAsia="游ゴシック" w:hAnsi="Aptos" w:cs="Arial" w:hint="eastAsia"/>
          <w:szCs w:val="22"/>
          <w:lang w:bidi="he-IL"/>
        </w:rPr>
        <w:t>ます</w:t>
      </w:r>
      <w:r w:rsidRPr="00DD52AB">
        <w:rPr>
          <w:rFonts w:ascii="Aptos" w:eastAsia="游ゴシック" w:hAnsi="Aptos" w:cs="Arial"/>
          <w:szCs w:val="22"/>
          <w:lang w:bidi="he-IL"/>
        </w:rPr>
        <w:t>。これら二つのアプローチを組み合わせることで、平等が単なる形式的なものではなく、実効性があり、生活の中で実感され、持続可能なものとなることが保証され</w:t>
      </w:r>
      <w:r w:rsidR="000F7A1F">
        <w:rPr>
          <w:rFonts w:ascii="Aptos" w:eastAsia="游ゴシック" w:hAnsi="Aptos" w:cs="Arial" w:hint="eastAsia"/>
          <w:szCs w:val="22"/>
          <w:lang w:bidi="he-IL"/>
        </w:rPr>
        <w:t>ます</w:t>
      </w:r>
      <w:r w:rsidRPr="00DD52AB">
        <w:rPr>
          <w:rFonts w:ascii="Aptos" w:eastAsia="游ゴシック" w:hAnsi="Aptos" w:cs="Arial"/>
          <w:szCs w:val="22"/>
          <w:lang w:bidi="he-IL"/>
        </w:rPr>
        <w:t>。</w:t>
      </w:r>
    </w:p>
    <w:p w14:paraId="0A4CC152" w14:textId="77777777" w:rsidR="00DD52AB" w:rsidRPr="00DD52AB" w:rsidRDefault="00A61EF3" w:rsidP="000F4CE9">
      <w:pPr>
        <w:spacing w:line="360" w:lineRule="exact"/>
        <w:ind w:left="720"/>
        <w:contextualSpacing/>
        <w:rPr>
          <w:rFonts w:ascii="Aptos" w:eastAsia="游ゴシック" w:hAnsi="Aptos" w:cs="Arial"/>
          <w:szCs w:val="22"/>
          <w:lang w:eastAsia="en-US" w:bidi="he-IL"/>
        </w:rPr>
      </w:pPr>
      <w:r>
        <w:rPr>
          <w:rFonts w:ascii="Aptos" w:eastAsia="游ゴシック" w:hAnsi="Aptos" w:cs="Arial"/>
          <w:szCs w:val="22"/>
          <w:lang w:eastAsia="en-US" w:bidi="he-IL"/>
        </w:rPr>
        <w:pict w14:anchorId="0F8B4E14">
          <v:rect id="_x0000_i1061" style="width:0;height:1.5pt" o:hralign="center" o:hrstd="t" o:hr="t" fillcolor="#a0a0a0" stroked="f"/>
        </w:pict>
      </w:r>
    </w:p>
    <w:p w14:paraId="71156FB9" w14:textId="2CB4B5BB" w:rsidR="00DD52AB" w:rsidRDefault="00DD52AB" w:rsidP="000F4CE9">
      <w:pPr>
        <w:numPr>
          <w:ilvl w:val="0"/>
          <w:numId w:val="22"/>
        </w:numPr>
        <w:spacing w:line="360" w:lineRule="exact"/>
        <w:contextualSpacing/>
        <w:rPr>
          <w:rFonts w:ascii="Aptos" w:eastAsia="游ゴシック" w:hAnsi="Aptos" w:cs="Arial"/>
          <w:lang w:bidi="he-IL"/>
        </w:rPr>
      </w:pPr>
      <w:r w:rsidRPr="5E59BB36">
        <w:rPr>
          <w:rFonts w:ascii="Aptos" w:eastAsia="游ゴシック" w:hAnsi="Aptos" w:cs="Arial"/>
          <w:b/>
          <w:bCs/>
          <w:lang w:bidi="he-IL"/>
        </w:rPr>
        <w:t xml:space="preserve">2. </w:t>
      </w:r>
      <w:r w:rsidRPr="5E59BB36">
        <w:rPr>
          <w:rFonts w:ascii="Aptos" w:eastAsia="游ゴシック" w:hAnsi="Aptos" w:cs="Arial"/>
          <w:b/>
          <w:bCs/>
          <w:lang w:bidi="he-IL"/>
        </w:rPr>
        <w:t>個人的・社会的解放：個人の自由と社会的な再生の機会としての老年期</w:t>
      </w:r>
    </w:p>
    <w:p w14:paraId="6A39E033" w14:textId="452FB904" w:rsidR="00DD52AB" w:rsidRPr="00DD52AB" w:rsidRDefault="005366A1" w:rsidP="000F7A1F">
      <w:pPr>
        <w:spacing w:line="360" w:lineRule="exact"/>
        <w:ind w:firstLineChars="100" w:firstLine="220"/>
        <w:rPr>
          <w:rFonts w:ascii="Aptos" w:eastAsia="游ゴシック" w:hAnsi="Aptos" w:cs="Arial"/>
          <w:szCs w:val="22"/>
          <w:lang w:bidi="he-IL"/>
        </w:rPr>
      </w:pPr>
      <w:r>
        <w:rPr>
          <w:rFonts w:ascii="Aptos" w:eastAsia="游ゴシック" w:hAnsi="Aptos" w:cs="Arial" w:hint="eastAsia"/>
          <w:szCs w:val="22"/>
          <w:lang w:bidi="he-IL"/>
        </w:rPr>
        <w:lastRenderedPageBreak/>
        <w:t>高齢（</w:t>
      </w:r>
      <w:r>
        <w:rPr>
          <w:rFonts w:ascii="Aptos" w:eastAsia="游ゴシック" w:hAnsi="Aptos" w:cs="Arial" w:hint="eastAsia"/>
          <w:szCs w:val="22"/>
          <w:lang w:bidi="he-IL"/>
        </w:rPr>
        <w:t>old age</w:t>
      </w:r>
      <w:r>
        <w:rPr>
          <w:rFonts w:ascii="Aptos" w:eastAsia="游ゴシック" w:hAnsi="Aptos" w:cs="Arial" w:hint="eastAsia"/>
          <w:szCs w:val="22"/>
          <w:lang w:bidi="he-IL"/>
        </w:rPr>
        <w:t>）</w:t>
      </w:r>
      <w:r w:rsidR="00DD52AB" w:rsidRPr="00DD52AB">
        <w:rPr>
          <w:rFonts w:ascii="Aptos" w:eastAsia="游ゴシック" w:hAnsi="Aptos" w:cs="Arial"/>
          <w:szCs w:val="22"/>
          <w:lang w:bidi="he-IL"/>
        </w:rPr>
        <w:t>は、避けられない衰退の時期としてではなく、新たな形の自由、自己決定、そして</w:t>
      </w:r>
      <w:r>
        <w:rPr>
          <w:rFonts w:ascii="Aptos" w:eastAsia="游ゴシック" w:hAnsi="Aptos" w:cs="Arial" w:hint="eastAsia"/>
          <w:szCs w:val="22"/>
          <w:lang w:bidi="he-IL"/>
        </w:rPr>
        <w:t>個人の発達</w:t>
      </w:r>
      <w:r w:rsidR="00DD52AB" w:rsidRPr="00DD52AB">
        <w:rPr>
          <w:rFonts w:ascii="Aptos" w:eastAsia="游ゴシック" w:hAnsi="Aptos" w:cs="Arial"/>
          <w:szCs w:val="22"/>
          <w:lang w:bidi="he-IL"/>
        </w:rPr>
        <w:t>をもたらし得る人生の段階として認識されるべき</w:t>
      </w:r>
      <w:r w:rsidR="007C1B78">
        <w:rPr>
          <w:rFonts w:ascii="Aptos" w:eastAsia="游ゴシック" w:hAnsi="Aptos" w:cs="Arial"/>
          <w:szCs w:val="22"/>
          <w:lang w:bidi="he-IL"/>
        </w:rPr>
        <w:t>です</w:t>
      </w:r>
      <w:r w:rsidR="00DD52AB" w:rsidRPr="00DD52AB">
        <w:rPr>
          <w:rFonts w:ascii="Aptos" w:eastAsia="游ゴシック" w:hAnsi="Aptos" w:cs="Arial"/>
          <w:szCs w:val="22"/>
          <w:lang w:bidi="he-IL"/>
        </w:rPr>
        <w:t>。多くの人々にとって、老後は、仕事、家族の役割、あるいは社会的期待に関連する制約を含む、これまでの生活の制約を超え、新たな志、人間関係、そして参加の形態を追求する機会を意味</w:t>
      </w:r>
      <w:r w:rsidR="000F7A1F">
        <w:rPr>
          <w:rFonts w:ascii="Aptos" w:eastAsia="游ゴシック" w:hAnsi="Aptos" w:cs="Arial" w:hint="eastAsia"/>
          <w:szCs w:val="22"/>
          <w:lang w:bidi="he-IL"/>
        </w:rPr>
        <w:t>します</w:t>
      </w:r>
      <w:r w:rsidR="00DD52AB" w:rsidRPr="00DD52AB">
        <w:rPr>
          <w:rFonts w:ascii="Aptos" w:eastAsia="游ゴシック" w:hAnsi="Aptos" w:cs="Arial"/>
          <w:szCs w:val="22"/>
          <w:lang w:bidi="he-IL"/>
        </w:rPr>
        <w:t>。</w:t>
      </w:r>
    </w:p>
    <w:p w14:paraId="495AE735" w14:textId="52D99EB3"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したがって、本条約は、高齢者が自律、自己実現、および人格の自由な発展を享受する権利を明記すべき</w:t>
      </w:r>
      <w:r w:rsidR="007C1B78">
        <w:rPr>
          <w:rFonts w:ascii="Aptos" w:eastAsia="游ゴシック" w:hAnsi="Aptos" w:cs="Arial"/>
          <w:szCs w:val="22"/>
          <w:lang w:bidi="he-IL"/>
        </w:rPr>
        <w:t>です</w:t>
      </w:r>
      <w:r w:rsidRPr="00DD52AB">
        <w:rPr>
          <w:rFonts w:ascii="Aptos" w:eastAsia="游ゴシック" w:hAnsi="Aptos" w:cs="Arial"/>
          <w:szCs w:val="22"/>
          <w:lang w:bidi="he-IL"/>
        </w:rPr>
        <w:t>。また、高齢者が自らの意思に基づき役割やアイデンティティを再定義し、生涯学習、文化活動への関与、創造性、社会貢献の機会を得られるような環境を促進すべき</w:t>
      </w:r>
      <w:r w:rsidR="007C1B78">
        <w:rPr>
          <w:rFonts w:ascii="Aptos" w:eastAsia="游ゴシック" w:hAnsi="Aptos" w:cs="Arial"/>
          <w:szCs w:val="22"/>
          <w:lang w:bidi="he-IL"/>
        </w:rPr>
        <w:t>です</w:t>
      </w:r>
      <w:r w:rsidRPr="00DD52AB">
        <w:rPr>
          <w:rFonts w:ascii="Aptos" w:eastAsia="游ゴシック" w:hAnsi="Aptos" w:cs="Arial"/>
          <w:szCs w:val="22"/>
          <w:lang w:bidi="he-IL"/>
        </w:rPr>
        <w:t>。</w:t>
      </w:r>
    </w:p>
    <w:p w14:paraId="3F64BE8F" w14:textId="77777777" w:rsidR="00DD52AB" w:rsidRPr="00DD52AB" w:rsidRDefault="00A61EF3" w:rsidP="000F4CE9">
      <w:pPr>
        <w:spacing w:line="360" w:lineRule="exact"/>
        <w:ind w:left="720"/>
        <w:contextualSpacing/>
        <w:rPr>
          <w:rFonts w:ascii="Aptos" w:eastAsia="游ゴシック" w:hAnsi="Aptos" w:cs="Arial"/>
          <w:szCs w:val="22"/>
          <w:lang w:eastAsia="en-US" w:bidi="he-IL"/>
        </w:rPr>
      </w:pPr>
      <w:r>
        <w:rPr>
          <w:rFonts w:ascii="Aptos" w:eastAsia="游ゴシック" w:hAnsi="Aptos" w:cs="Arial"/>
          <w:szCs w:val="22"/>
          <w:lang w:eastAsia="en-US" w:bidi="he-IL"/>
        </w:rPr>
        <w:pict w14:anchorId="6E3F1DCB">
          <v:rect id="_x0000_i1062" style="width:0;height:1.5pt" o:hralign="center" o:hrstd="t" o:hr="t" fillcolor="#a0a0a0" stroked="f"/>
        </w:pict>
      </w:r>
    </w:p>
    <w:p w14:paraId="16EF59C8" w14:textId="2BAC95AF" w:rsidR="00DD52AB" w:rsidRPr="00DD52AB" w:rsidRDefault="00DD52AB" w:rsidP="000F4CE9">
      <w:pPr>
        <w:numPr>
          <w:ilvl w:val="0"/>
          <w:numId w:val="23"/>
        </w:numPr>
        <w:spacing w:line="360" w:lineRule="exact"/>
        <w:contextualSpacing/>
        <w:rPr>
          <w:rFonts w:ascii="Aptos" w:eastAsia="游ゴシック" w:hAnsi="Aptos" w:cs="Arial"/>
          <w:szCs w:val="22"/>
          <w:lang w:bidi="he-IL"/>
        </w:rPr>
      </w:pPr>
      <w:r w:rsidRPr="00DD52AB">
        <w:rPr>
          <w:rFonts w:ascii="Aptos" w:eastAsia="游ゴシック" w:hAnsi="Aptos" w:cs="Arial"/>
          <w:b/>
          <w:bCs/>
          <w:szCs w:val="22"/>
          <w:lang w:bidi="he-IL"/>
        </w:rPr>
        <w:t xml:space="preserve">3. </w:t>
      </w:r>
      <w:r w:rsidRPr="00DD52AB">
        <w:rPr>
          <w:rFonts w:ascii="Aptos" w:eastAsia="游ゴシック" w:hAnsi="Aptos" w:cs="Arial"/>
          <w:b/>
          <w:bCs/>
          <w:szCs w:val="22"/>
          <w:lang w:bidi="he-IL"/>
        </w:rPr>
        <w:t>高齢期における参加と関与</w:t>
      </w:r>
    </w:p>
    <w:p w14:paraId="7753FB5C" w14:textId="64E91AF8"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高齢者は、法律、政策、サービスの策定、実施、評価を含め、自らの生活に影響を及ぼすあらゆる意思決定プロセスに、有意義な形で参画すべき</w:t>
      </w:r>
      <w:r w:rsidR="007C1B78">
        <w:rPr>
          <w:rFonts w:ascii="Aptos" w:eastAsia="游ゴシック" w:hAnsi="Aptos" w:cs="Arial"/>
          <w:szCs w:val="22"/>
          <w:lang w:bidi="he-IL"/>
        </w:rPr>
        <w:t>です</w:t>
      </w:r>
      <w:r w:rsidRPr="00DD52AB">
        <w:rPr>
          <w:rFonts w:ascii="Aptos" w:eastAsia="游ゴシック" w:hAnsi="Aptos" w:cs="Arial"/>
          <w:szCs w:val="22"/>
          <w:lang w:bidi="he-IL"/>
        </w:rPr>
        <w:t>。高齢者の権利は、彼らの本音、実体験、視点が単に聞かれるだけでなく、真摯に考慮されて初めて、効果的に実現され</w:t>
      </w:r>
      <w:r w:rsidR="00796646">
        <w:rPr>
          <w:rFonts w:ascii="Aptos" w:eastAsia="游ゴシック" w:hAnsi="Aptos" w:cs="Arial" w:hint="eastAsia"/>
          <w:szCs w:val="22"/>
          <w:lang w:bidi="he-IL"/>
        </w:rPr>
        <w:t>ま</w:t>
      </w:r>
      <w:r w:rsidR="007C1B78">
        <w:rPr>
          <w:rFonts w:ascii="Aptos" w:eastAsia="游ゴシック" w:hAnsi="Aptos" w:cs="Arial"/>
          <w:szCs w:val="22"/>
          <w:lang w:bidi="he-IL"/>
        </w:rPr>
        <w:t>す</w:t>
      </w:r>
      <w:r w:rsidRPr="00DD52AB">
        <w:rPr>
          <w:rFonts w:ascii="Aptos" w:eastAsia="游ゴシック" w:hAnsi="Aptos" w:cs="Arial"/>
          <w:szCs w:val="22"/>
          <w:lang w:bidi="he-IL"/>
        </w:rPr>
        <w:t>。</w:t>
      </w:r>
    </w:p>
    <w:p w14:paraId="6BDEF0FB" w14:textId="1EF6C47A"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本条約は、包摂と民主的ガバナンスというより広範な人権上の取り組みに沿って、積極的、自由かつ有意義な参加の原則を明文化すべき</w:t>
      </w:r>
      <w:r w:rsidR="007C1B78">
        <w:rPr>
          <w:rFonts w:ascii="Aptos" w:eastAsia="游ゴシック" w:hAnsi="Aptos" w:cs="Arial"/>
          <w:szCs w:val="22"/>
          <w:lang w:bidi="he-IL"/>
        </w:rPr>
        <w:t>です</w:t>
      </w:r>
      <w:r w:rsidRPr="00DD52AB">
        <w:rPr>
          <w:rFonts w:ascii="Aptos" w:eastAsia="游ゴシック" w:hAnsi="Aptos" w:cs="Arial"/>
          <w:szCs w:val="22"/>
          <w:lang w:bidi="he-IL"/>
        </w:rPr>
        <w:t>。これには、高齢者を代表する組織への支援、</w:t>
      </w:r>
      <w:r w:rsidR="00796646">
        <w:rPr>
          <w:rFonts w:ascii="Aptos" w:eastAsia="游ゴシック" w:hAnsi="Aptos" w:cs="Arial" w:hint="eastAsia"/>
          <w:szCs w:val="22"/>
          <w:lang w:bidi="he-IL"/>
        </w:rPr>
        <w:t>アクセシブルな</w:t>
      </w:r>
      <w:r w:rsidRPr="00DD52AB">
        <w:rPr>
          <w:rFonts w:ascii="Aptos" w:eastAsia="游ゴシック" w:hAnsi="Aptos" w:cs="Arial"/>
          <w:szCs w:val="22"/>
          <w:lang w:bidi="he-IL"/>
        </w:rPr>
        <w:t>協議</w:t>
      </w:r>
      <w:r w:rsidR="00796646">
        <w:rPr>
          <w:rFonts w:ascii="Aptos" w:eastAsia="游ゴシック" w:hAnsi="Aptos" w:cs="Arial" w:hint="eastAsia"/>
          <w:szCs w:val="22"/>
          <w:lang w:bidi="he-IL"/>
        </w:rPr>
        <w:t>の仕組み</w:t>
      </w:r>
      <w:r w:rsidRPr="00DD52AB">
        <w:rPr>
          <w:rFonts w:ascii="Aptos" w:eastAsia="游ゴシック" w:hAnsi="Aptos" w:cs="Arial"/>
          <w:szCs w:val="22"/>
          <w:lang w:bidi="he-IL"/>
        </w:rPr>
        <w:t>の整備、および参加を制限する法的、制度的、そして意識的な障壁の撤廃が含まれ</w:t>
      </w:r>
      <w:r w:rsidR="000F7A1F">
        <w:rPr>
          <w:rFonts w:ascii="Aptos" w:eastAsia="游ゴシック" w:hAnsi="Aptos" w:cs="Arial" w:hint="eastAsia"/>
          <w:szCs w:val="22"/>
          <w:lang w:bidi="he-IL"/>
        </w:rPr>
        <w:t>ます</w:t>
      </w:r>
      <w:r w:rsidRPr="00DD52AB">
        <w:rPr>
          <w:rFonts w:ascii="Aptos" w:eastAsia="游ゴシック" w:hAnsi="Aptos" w:cs="Arial"/>
          <w:szCs w:val="22"/>
          <w:lang w:bidi="he-IL"/>
        </w:rPr>
        <w:t>。</w:t>
      </w:r>
    </w:p>
    <w:p w14:paraId="62CFB110" w14:textId="77777777" w:rsidR="00DD52AB" w:rsidRPr="00DD52AB" w:rsidRDefault="00A61EF3" w:rsidP="000F4CE9">
      <w:pPr>
        <w:spacing w:line="360" w:lineRule="exact"/>
        <w:ind w:left="720"/>
        <w:contextualSpacing/>
        <w:rPr>
          <w:rFonts w:ascii="Aptos" w:eastAsia="游ゴシック" w:hAnsi="Aptos" w:cs="Arial"/>
          <w:szCs w:val="22"/>
          <w:lang w:eastAsia="en-US" w:bidi="he-IL"/>
        </w:rPr>
      </w:pPr>
      <w:r>
        <w:rPr>
          <w:rFonts w:ascii="Aptos" w:eastAsia="游ゴシック" w:hAnsi="Aptos" w:cs="Arial"/>
          <w:szCs w:val="22"/>
          <w:lang w:eastAsia="en-US" w:bidi="he-IL"/>
        </w:rPr>
        <w:pict w14:anchorId="0666EE5C">
          <v:rect id="_x0000_i1063" style="width:0;height:1.5pt" o:hralign="center" o:hrstd="t" o:hr="t" fillcolor="#a0a0a0" stroked="f"/>
        </w:pict>
      </w:r>
    </w:p>
    <w:p w14:paraId="54C89199" w14:textId="16F730BF" w:rsidR="00DD52AB" w:rsidRPr="00DD52AB" w:rsidRDefault="00DD52AB" w:rsidP="000F4CE9">
      <w:pPr>
        <w:numPr>
          <w:ilvl w:val="0"/>
          <w:numId w:val="24"/>
        </w:numPr>
        <w:spacing w:line="360" w:lineRule="exact"/>
        <w:contextualSpacing/>
        <w:rPr>
          <w:rFonts w:ascii="Aptos" w:eastAsia="游ゴシック" w:hAnsi="Aptos" w:cs="Arial"/>
          <w:szCs w:val="22"/>
          <w:lang w:bidi="he-IL"/>
        </w:rPr>
      </w:pPr>
      <w:r w:rsidRPr="00DD52AB">
        <w:rPr>
          <w:rFonts w:ascii="Aptos" w:eastAsia="游ゴシック" w:hAnsi="Aptos" w:cs="Arial"/>
          <w:b/>
          <w:bCs/>
          <w:szCs w:val="22"/>
          <w:lang w:bidi="he-IL"/>
        </w:rPr>
        <w:t xml:space="preserve">4. </w:t>
      </w:r>
      <w:r w:rsidRPr="00DD52AB">
        <w:rPr>
          <w:rFonts w:ascii="Aptos" w:eastAsia="游ゴシック" w:hAnsi="Aptos" w:cs="Arial"/>
          <w:b/>
          <w:bCs/>
          <w:szCs w:val="22"/>
          <w:lang w:bidi="he-IL"/>
        </w:rPr>
        <w:t>社会的帰属と世代間関係</w:t>
      </w:r>
    </w:p>
    <w:p w14:paraId="2D866BCE" w14:textId="744F465C" w:rsidR="00DD52AB" w:rsidRPr="00DD52AB" w:rsidRDefault="00796646" w:rsidP="000F7A1F">
      <w:pPr>
        <w:spacing w:line="360" w:lineRule="exact"/>
        <w:ind w:firstLineChars="100" w:firstLine="220"/>
        <w:rPr>
          <w:rFonts w:ascii="Aptos" w:eastAsia="游ゴシック" w:hAnsi="Aptos" w:cs="Arial"/>
          <w:szCs w:val="22"/>
          <w:lang w:bidi="he-IL"/>
        </w:rPr>
      </w:pPr>
      <w:r>
        <w:rPr>
          <w:rFonts w:ascii="Aptos" w:eastAsia="游ゴシック" w:hAnsi="Aptos" w:cs="Arial"/>
          <w:szCs w:val="22"/>
          <w:lang w:bidi="he-IL"/>
        </w:rPr>
        <w:t>高齢</w:t>
      </w:r>
      <w:r w:rsidR="00DD52AB" w:rsidRPr="00DD52AB">
        <w:rPr>
          <w:rFonts w:ascii="Aptos" w:eastAsia="游ゴシック" w:hAnsi="Aptos" w:cs="Arial"/>
          <w:szCs w:val="22"/>
          <w:lang w:bidi="he-IL"/>
        </w:rPr>
        <w:t>期は、人生の他の段階との関係において社会的に定義されるものであり、本質的に関係性に基づくもの</w:t>
      </w:r>
      <w:r w:rsidR="007C1B78">
        <w:rPr>
          <w:rFonts w:ascii="Aptos" w:eastAsia="游ゴシック" w:hAnsi="Aptos" w:cs="Arial"/>
          <w:szCs w:val="22"/>
          <w:lang w:bidi="he-IL"/>
        </w:rPr>
        <w:t>です</w:t>
      </w:r>
      <w:r w:rsidR="00DD52AB" w:rsidRPr="00DD52AB">
        <w:rPr>
          <w:rFonts w:ascii="Aptos" w:eastAsia="游ゴシック" w:hAnsi="Aptos" w:cs="Arial"/>
          <w:szCs w:val="22"/>
          <w:lang w:bidi="he-IL"/>
        </w:rPr>
        <w:t>。したがって、新条約の重要な原則の一つとして、</w:t>
      </w:r>
      <w:r>
        <w:rPr>
          <w:rFonts w:ascii="Aptos" w:eastAsia="游ゴシック" w:hAnsi="Aptos" w:cs="Arial"/>
          <w:szCs w:val="22"/>
          <w:lang w:bidi="he-IL"/>
        </w:rPr>
        <w:t>高齢</w:t>
      </w:r>
      <w:r w:rsidR="00DD52AB" w:rsidRPr="00DD52AB">
        <w:rPr>
          <w:rFonts w:ascii="Aptos" w:eastAsia="游ゴシック" w:hAnsi="Aptos" w:cs="Arial"/>
          <w:szCs w:val="22"/>
          <w:lang w:bidi="he-IL"/>
        </w:rPr>
        <w:t>期における社会的帰属、つながり、相互依存の重要性を反映すべき</w:t>
      </w:r>
      <w:r w:rsidR="007C1B78">
        <w:rPr>
          <w:rFonts w:ascii="Aptos" w:eastAsia="游ゴシック" w:hAnsi="Aptos" w:cs="Arial"/>
          <w:szCs w:val="22"/>
          <w:lang w:bidi="he-IL"/>
        </w:rPr>
        <w:t>です</w:t>
      </w:r>
      <w:r w:rsidR="00DD52AB" w:rsidRPr="00DD52AB">
        <w:rPr>
          <w:rFonts w:ascii="Aptos" w:eastAsia="游ゴシック" w:hAnsi="Aptos" w:cs="Arial"/>
          <w:szCs w:val="22"/>
          <w:lang w:bidi="he-IL"/>
        </w:rPr>
        <w:t>。加齢の経験は、家族、友人、地域社会、そして若い世代との関係によって深く形作られ</w:t>
      </w:r>
      <w:r w:rsidR="000F7A1F">
        <w:rPr>
          <w:rFonts w:ascii="Aptos" w:eastAsia="游ゴシック" w:hAnsi="Aptos" w:cs="Arial" w:hint="eastAsia"/>
          <w:szCs w:val="22"/>
          <w:lang w:bidi="he-IL"/>
        </w:rPr>
        <w:t>ます</w:t>
      </w:r>
      <w:r w:rsidR="00DD52AB" w:rsidRPr="00DD52AB">
        <w:rPr>
          <w:rFonts w:ascii="Aptos" w:eastAsia="游ゴシック" w:hAnsi="Aptos" w:cs="Arial"/>
          <w:szCs w:val="22"/>
          <w:lang w:bidi="he-IL"/>
        </w:rPr>
        <w:t>。</w:t>
      </w:r>
    </w:p>
    <w:p w14:paraId="18E293C8" w14:textId="7C4F2058"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高齢者が社会</w:t>
      </w:r>
      <w:r w:rsidR="00B37840">
        <w:rPr>
          <w:rFonts w:ascii="Aptos" w:eastAsia="游ゴシック" w:hAnsi="Aptos" w:cs="Arial" w:hint="eastAsia"/>
          <w:szCs w:val="22"/>
          <w:lang w:bidi="he-IL"/>
        </w:rPr>
        <w:t>のネットワーク</w:t>
      </w:r>
      <w:r w:rsidRPr="00DD52AB">
        <w:rPr>
          <w:rFonts w:ascii="Aptos" w:eastAsia="游ゴシック" w:hAnsi="Aptos" w:cs="Arial"/>
          <w:szCs w:val="22"/>
          <w:lang w:bidi="he-IL"/>
        </w:rPr>
        <w:t>の一員であり続けられるよう維持・促進することは、尊厳、心身の</w:t>
      </w:r>
      <w:r w:rsidR="00B37840">
        <w:rPr>
          <w:rFonts w:ascii="Aptos" w:eastAsia="游ゴシック" w:hAnsi="Aptos" w:cs="Arial" w:hint="eastAsia"/>
          <w:szCs w:val="22"/>
          <w:lang w:bidi="he-IL"/>
        </w:rPr>
        <w:t>ウェルビーイング</w:t>
      </w:r>
      <w:r w:rsidRPr="00DD52AB">
        <w:rPr>
          <w:rFonts w:ascii="Aptos" w:eastAsia="游ゴシック" w:hAnsi="Aptos" w:cs="Arial"/>
          <w:szCs w:val="22"/>
          <w:lang w:bidi="he-IL"/>
        </w:rPr>
        <w:t>、地域社会への参加を含む人権を享受するために不可欠</w:t>
      </w:r>
      <w:r w:rsidR="007C1B78">
        <w:rPr>
          <w:rFonts w:ascii="Aptos" w:eastAsia="游ゴシック" w:hAnsi="Aptos" w:cs="Arial"/>
          <w:szCs w:val="22"/>
          <w:lang w:bidi="he-IL"/>
        </w:rPr>
        <w:t>です</w:t>
      </w:r>
      <w:r w:rsidRPr="00DD52AB">
        <w:rPr>
          <w:rFonts w:ascii="Aptos" w:eastAsia="游ゴシック" w:hAnsi="Aptos" w:cs="Arial"/>
          <w:szCs w:val="22"/>
          <w:lang w:bidi="he-IL"/>
        </w:rPr>
        <w:t>。本条約は、世代間の連帯を促進し、社会的孤立、孤独、排除と闘い、年齢層を</w:t>
      </w:r>
      <w:r w:rsidR="00B37840">
        <w:rPr>
          <w:rFonts w:ascii="Aptos" w:eastAsia="游ゴシック" w:hAnsi="Aptos" w:cs="Arial" w:hint="eastAsia"/>
          <w:szCs w:val="22"/>
          <w:lang w:bidi="he-IL"/>
        </w:rPr>
        <w:t>またぐ</w:t>
      </w:r>
      <w:r w:rsidRPr="00DD52AB">
        <w:rPr>
          <w:rFonts w:ascii="Aptos" w:eastAsia="游ゴシック" w:hAnsi="Aptos" w:cs="Arial"/>
          <w:szCs w:val="22"/>
          <w:lang w:bidi="he-IL"/>
        </w:rPr>
        <w:t>有意義な関係を育む環境を支援すべき</w:t>
      </w:r>
      <w:r w:rsidR="007C1B78">
        <w:rPr>
          <w:rFonts w:ascii="Aptos" w:eastAsia="游ゴシック" w:hAnsi="Aptos" w:cs="Arial"/>
          <w:szCs w:val="22"/>
          <w:lang w:bidi="he-IL"/>
        </w:rPr>
        <w:t>です</w:t>
      </w:r>
      <w:r w:rsidRPr="00DD52AB">
        <w:rPr>
          <w:rFonts w:ascii="Aptos" w:eastAsia="游ゴシック" w:hAnsi="Aptos" w:cs="Arial"/>
          <w:szCs w:val="22"/>
          <w:lang w:bidi="he-IL"/>
        </w:rPr>
        <w:t>。</w:t>
      </w:r>
    </w:p>
    <w:p w14:paraId="474C203F" w14:textId="77777777" w:rsidR="00DD52AB" w:rsidRPr="00DD52AB" w:rsidRDefault="00A61EF3" w:rsidP="000F4CE9">
      <w:pPr>
        <w:spacing w:line="360" w:lineRule="exact"/>
        <w:ind w:left="720"/>
        <w:contextualSpacing/>
        <w:rPr>
          <w:rFonts w:ascii="Aptos" w:eastAsia="游ゴシック" w:hAnsi="Aptos" w:cs="Arial"/>
          <w:szCs w:val="22"/>
          <w:lang w:eastAsia="en-US" w:bidi="he-IL"/>
        </w:rPr>
      </w:pPr>
      <w:r>
        <w:rPr>
          <w:rFonts w:ascii="Aptos" w:eastAsia="游ゴシック" w:hAnsi="Aptos" w:cs="Arial"/>
          <w:szCs w:val="22"/>
          <w:lang w:eastAsia="en-US" w:bidi="he-IL"/>
        </w:rPr>
        <w:pict w14:anchorId="35D2EB68">
          <v:rect id="_x0000_i1064" style="width:0;height:1.5pt" o:hralign="center" o:hrstd="t" o:hr="t" fillcolor="#a0a0a0" stroked="f"/>
        </w:pict>
      </w:r>
    </w:p>
    <w:p w14:paraId="4E7DDA64" w14:textId="0AF47D7E" w:rsidR="00DD52AB" w:rsidRPr="00DD52AB" w:rsidRDefault="00DD52AB" w:rsidP="000F4CE9">
      <w:pPr>
        <w:numPr>
          <w:ilvl w:val="0"/>
          <w:numId w:val="25"/>
        </w:numPr>
        <w:spacing w:line="360" w:lineRule="exact"/>
        <w:contextualSpacing/>
        <w:rPr>
          <w:rFonts w:ascii="Aptos" w:eastAsia="游ゴシック" w:hAnsi="Aptos" w:cs="Arial"/>
          <w:szCs w:val="22"/>
          <w:lang w:bidi="he-IL"/>
        </w:rPr>
      </w:pPr>
      <w:r w:rsidRPr="00DD52AB">
        <w:rPr>
          <w:rFonts w:ascii="Aptos" w:eastAsia="游ゴシック" w:hAnsi="Aptos" w:cs="Arial"/>
          <w:b/>
          <w:bCs/>
          <w:szCs w:val="22"/>
          <w:lang w:bidi="he-IL"/>
        </w:rPr>
        <w:t xml:space="preserve">5. </w:t>
      </w:r>
      <w:r w:rsidRPr="00DD52AB">
        <w:rPr>
          <w:rFonts w:ascii="Aptos" w:eastAsia="游ゴシック" w:hAnsi="Aptos" w:cs="Arial"/>
          <w:b/>
          <w:bCs/>
          <w:szCs w:val="22"/>
          <w:lang w:bidi="he-IL"/>
        </w:rPr>
        <w:t>高齢期における交差性と生涯</w:t>
      </w:r>
      <w:r w:rsidR="00B37840">
        <w:rPr>
          <w:rFonts w:ascii="Aptos" w:eastAsia="游ゴシック" w:hAnsi="Aptos" w:cs="Arial" w:hint="eastAsia"/>
          <w:b/>
          <w:bCs/>
          <w:szCs w:val="22"/>
          <w:lang w:bidi="he-IL"/>
        </w:rPr>
        <w:t>の</w:t>
      </w:r>
      <w:r w:rsidRPr="00DD52AB">
        <w:rPr>
          <w:rFonts w:ascii="Aptos" w:eastAsia="游ゴシック" w:hAnsi="Aptos" w:cs="Arial"/>
          <w:b/>
          <w:bCs/>
          <w:szCs w:val="22"/>
          <w:lang w:bidi="he-IL"/>
        </w:rPr>
        <w:t>視点</w:t>
      </w:r>
    </w:p>
    <w:p w14:paraId="4D300F6F" w14:textId="0C132A3C"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lastRenderedPageBreak/>
        <w:t>高齢者は</w:t>
      </w:r>
      <w:r w:rsidR="00B37840">
        <w:rPr>
          <w:rFonts w:ascii="Aptos" w:eastAsia="游ゴシック" w:hAnsi="Aptos" w:cs="Arial" w:hint="eastAsia"/>
          <w:szCs w:val="22"/>
          <w:lang w:bidi="he-IL"/>
        </w:rPr>
        <w:t>高齢期の人生に、</w:t>
      </w:r>
      <w:r w:rsidRPr="00DD52AB">
        <w:rPr>
          <w:rFonts w:ascii="Aptos" w:eastAsia="游ゴシック" w:hAnsi="Aptos" w:cs="Arial"/>
          <w:szCs w:val="22"/>
          <w:lang w:bidi="he-IL"/>
        </w:rPr>
        <w:t>多様な経験、アイデンティティ、そして状況を持ち込み、それらが加齢の体験を形作ってい</w:t>
      </w:r>
      <w:r w:rsidR="000F7A1F">
        <w:rPr>
          <w:rFonts w:ascii="Aptos" w:eastAsia="游ゴシック" w:hAnsi="Aptos" w:cs="Arial" w:hint="eastAsia"/>
          <w:szCs w:val="22"/>
          <w:lang w:bidi="he-IL"/>
        </w:rPr>
        <w:t>ます</w:t>
      </w:r>
      <w:r w:rsidRPr="00DD52AB">
        <w:rPr>
          <w:rFonts w:ascii="Aptos" w:eastAsia="游ゴシック" w:hAnsi="Aptos" w:cs="Arial"/>
          <w:szCs w:val="22"/>
          <w:lang w:bidi="he-IL"/>
        </w:rPr>
        <w:t>。これには、障害、</w:t>
      </w:r>
      <w:r w:rsidR="00B37840">
        <w:rPr>
          <w:rFonts w:ascii="Aptos" w:eastAsia="游ゴシック" w:hAnsi="Aptos" w:cs="Arial" w:hint="eastAsia"/>
          <w:szCs w:val="22"/>
          <w:lang w:bidi="he-IL"/>
        </w:rPr>
        <w:t>ジェンダー</w:t>
      </w:r>
      <w:r w:rsidRPr="00DD52AB">
        <w:rPr>
          <w:rFonts w:ascii="Aptos" w:eastAsia="游ゴシック" w:hAnsi="Aptos" w:cs="Arial"/>
          <w:szCs w:val="22"/>
          <w:lang w:bidi="he-IL"/>
        </w:rPr>
        <w:t>、移民の地位、社会経済的地位、民族性、あるいはその他の要因が含まれ、これらはしばしば交差して不利な状況をさらに悪化させ</w:t>
      </w:r>
      <w:r w:rsidR="000F7A1F">
        <w:rPr>
          <w:rFonts w:ascii="Aptos" w:eastAsia="游ゴシック" w:hAnsi="Aptos" w:cs="Arial" w:hint="eastAsia"/>
          <w:szCs w:val="22"/>
          <w:lang w:bidi="he-IL"/>
        </w:rPr>
        <w:t>ます</w:t>
      </w:r>
      <w:r w:rsidRPr="00DD52AB">
        <w:rPr>
          <w:rFonts w:ascii="Aptos" w:eastAsia="游ゴシック" w:hAnsi="Aptos" w:cs="Arial"/>
          <w:szCs w:val="22"/>
          <w:lang w:bidi="he-IL"/>
        </w:rPr>
        <w:t>。</w:t>
      </w:r>
    </w:p>
    <w:p w14:paraId="47CCFEC0" w14:textId="5D9F3A2D"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本条約は、高齢期における差別の交差的な性質を明確に認識し、これに対処すべき</w:t>
      </w:r>
      <w:r w:rsidR="007C1B78">
        <w:rPr>
          <w:rFonts w:ascii="Aptos" w:eastAsia="游ゴシック" w:hAnsi="Aptos" w:cs="Arial"/>
          <w:szCs w:val="22"/>
          <w:lang w:bidi="he-IL"/>
        </w:rPr>
        <w:t>です</w:t>
      </w:r>
      <w:r w:rsidRPr="00DD52AB">
        <w:rPr>
          <w:rFonts w:ascii="Aptos" w:eastAsia="游ゴシック" w:hAnsi="Aptos" w:cs="Arial"/>
          <w:szCs w:val="22"/>
          <w:lang w:bidi="he-IL"/>
        </w:rPr>
        <w:t>。また、人生の早い段階で経験した不平等が蓄積し、高齢期に顕在化することを認め、ライフコースの視点を採用すべき</w:t>
      </w:r>
      <w:r w:rsidR="007C1B78">
        <w:rPr>
          <w:rFonts w:ascii="Aptos" w:eastAsia="游ゴシック" w:hAnsi="Aptos" w:cs="Arial"/>
          <w:szCs w:val="22"/>
          <w:lang w:bidi="he-IL"/>
        </w:rPr>
        <w:t>です</w:t>
      </w:r>
      <w:r w:rsidRPr="00DD52AB">
        <w:rPr>
          <w:rFonts w:ascii="Aptos" w:eastAsia="游ゴシック" w:hAnsi="Aptos" w:cs="Arial"/>
          <w:szCs w:val="22"/>
          <w:lang w:bidi="he-IL"/>
        </w:rPr>
        <w:t>。このアプローチは、高齢者の生きた現実のあらゆる多様性に対応する、効果的かつ公平な政策を策定するために不可欠</w:t>
      </w:r>
      <w:r w:rsidR="007C1B78">
        <w:rPr>
          <w:rFonts w:ascii="Aptos" w:eastAsia="游ゴシック" w:hAnsi="Aptos" w:cs="Arial"/>
          <w:szCs w:val="22"/>
          <w:lang w:bidi="he-IL"/>
        </w:rPr>
        <w:t>です</w:t>
      </w:r>
      <w:r w:rsidRPr="00DD52AB">
        <w:rPr>
          <w:rFonts w:ascii="Aptos" w:eastAsia="游ゴシック" w:hAnsi="Aptos" w:cs="Arial"/>
          <w:szCs w:val="22"/>
          <w:lang w:bidi="he-IL"/>
        </w:rPr>
        <w:t>。</w:t>
      </w:r>
    </w:p>
    <w:p w14:paraId="1E55D508" w14:textId="77777777" w:rsidR="00DD52AB" w:rsidRPr="00DD52AB" w:rsidRDefault="00A61EF3" w:rsidP="000F4CE9">
      <w:pPr>
        <w:spacing w:line="360" w:lineRule="exact"/>
        <w:ind w:left="720"/>
        <w:contextualSpacing/>
        <w:rPr>
          <w:rFonts w:ascii="Aptos" w:eastAsia="游ゴシック" w:hAnsi="Aptos" w:cs="Arial"/>
          <w:szCs w:val="22"/>
          <w:lang w:eastAsia="en-US" w:bidi="he-IL"/>
        </w:rPr>
      </w:pPr>
      <w:r>
        <w:rPr>
          <w:rFonts w:ascii="Aptos" w:eastAsia="游ゴシック" w:hAnsi="Aptos" w:cs="Arial"/>
          <w:szCs w:val="22"/>
          <w:lang w:eastAsia="en-US" w:bidi="he-IL"/>
        </w:rPr>
        <w:pict w14:anchorId="779DC028">
          <v:rect id="_x0000_i1065" style="width:0;height:1.5pt" o:hralign="center" o:hrstd="t" o:hr="t" fillcolor="#a0a0a0" stroked="f"/>
        </w:pict>
      </w:r>
    </w:p>
    <w:p w14:paraId="5DDA601B" w14:textId="6B7AFB06" w:rsidR="00DD52AB" w:rsidRPr="00DD52AB" w:rsidRDefault="00DD52AB" w:rsidP="000F4CE9">
      <w:pPr>
        <w:numPr>
          <w:ilvl w:val="0"/>
          <w:numId w:val="26"/>
        </w:numPr>
        <w:spacing w:line="360" w:lineRule="exact"/>
        <w:contextualSpacing/>
        <w:rPr>
          <w:rFonts w:ascii="Aptos" w:eastAsia="游ゴシック" w:hAnsi="Aptos" w:cs="Arial"/>
          <w:szCs w:val="22"/>
          <w:lang w:bidi="he-IL"/>
        </w:rPr>
      </w:pPr>
      <w:r w:rsidRPr="00DD52AB">
        <w:rPr>
          <w:rFonts w:ascii="Aptos" w:eastAsia="游ゴシック" w:hAnsi="Aptos" w:cs="Arial"/>
          <w:b/>
          <w:bCs/>
          <w:szCs w:val="22"/>
          <w:lang w:bidi="he-IL"/>
        </w:rPr>
        <w:t xml:space="preserve">6. </w:t>
      </w:r>
      <w:r w:rsidRPr="00DD52AB">
        <w:rPr>
          <w:rFonts w:ascii="Aptos" w:eastAsia="游ゴシック" w:hAnsi="Aptos" w:cs="Arial"/>
          <w:b/>
          <w:bCs/>
          <w:szCs w:val="22"/>
          <w:lang w:bidi="he-IL"/>
        </w:rPr>
        <w:t>包摂性：社会を年齢包摂型社会</w:t>
      </w:r>
      <w:r w:rsidR="00082CB3">
        <w:rPr>
          <w:rFonts w:ascii="Aptos" w:eastAsia="游ゴシック" w:hAnsi="Aptos" w:cs="Arial" w:hint="eastAsia"/>
          <w:b/>
          <w:bCs/>
          <w:szCs w:val="22"/>
          <w:lang w:bidi="he-IL"/>
        </w:rPr>
        <w:t>に</w:t>
      </w:r>
      <w:r w:rsidRPr="00DD52AB">
        <w:rPr>
          <w:rFonts w:ascii="Aptos" w:eastAsia="游ゴシック" w:hAnsi="Aptos" w:cs="Arial"/>
          <w:b/>
          <w:bCs/>
          <w:szCs w:val="22"/>
          <w:lang w:bidi="he-IL"/>
        </w:rPr>
        <w:t>変</w:t>
      </w:r>
      <w:r w:rsidR="00082CB3">
        <w:rPr>
          <w:rFonts w:ascii="Aptos" w:eastAsia="游ゴシック" w:hAnsi="Aptos" w:cs="Arial" w:hint="eastAsia"/>
          <w:b/>
          <w:bCs/>
          <w:szCs w:val="22"/>
          <w:lang w:bidi="he-IL"/>
        </w:rPr>
        <w:t>える</w:t>
      </w:r>
    </w:p>
    <w:p w14:paraId="1DA5E199" w14:textId="67FCF6E2"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本条約は、あらゆる年齢層の人を包摂し、高齢者が完全に統合され、可視化され、尊重される社会のビジョンを推進すべき</w:t>
      </w:r>
      <w:r w:rsidR="007C1B78">
        <w:rPr>
          <w:rFonts w:ascii="Aptos" w:eastAsia="游ゴシック" w:hAnsi="Aptos" w:cs="Arial"/>
          <w:szCs w:val="22"/>
          <w:lang w:bidi="he-IL"/>
        </w:rPr>
        <w:t>です</w:t>
      </w:r>
      <w:r w:rsidRPr="00DD52AB">
        <w:rPr>
          <w:rFonts w:ascii="Aptos" w:eastAsia="游ゴシック" w:hAnsi="Aptos" w:cs="Arial"/>
          <w:szCs w:val="22"/>
          <w:lang w:bidi="he-IL"/>
        </w:rPr>
        <w:t>。これには、個人レベルでの介入を超えて、法律、政策、公共空間、サービス、制度、技術を含む制度的な変革が必要とな</w:t>
      </w:r>
      <w:r w:rsidR="000F7A1F">
        <w:rPr>
          <w:rFonts w:ascii="Aptos" w:eastAsia="游ゴシック" w:hAnsi="Aptos" w:cs="Arial" w:hint="eastAsia"/>
          <w:szCs w:val="22"/>
          <w:lang w:bidi="he-IL"/>
        </w:rPr>
        <w:t>ります</w:t>
      </w:r>
      <w:r w:rsidRPr="00DD52AB">
        <w:rPr>
          <w:rFonts w:ascii="Aptos" w:eastAsia="游ゴシック" w:hAnsi="Aptos" w:cs="Arial"/>
          <w:szCs w:val="22"/>
          <w:lang w:bidi="he-IL"/>
        </w:rPr>
        <w:t>。</w:t>
      </w:r>
    </w:p>
    <w:p w14:paraId="7FCC72BC" w14:textId="43612388"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各国は、構造的な障壁を取り除き、アクセシビリティを確保し、高齢者が生活のあらゆる側面に十分に参加できる環境を育むための積極的な措置を講じるよう求められるべき</w:t>
      </w:r>
      <w:r w:rsidR="007C1B78">
        <w:rPr>
          <w:rFonts w:ascii="Aptos" w:eastAsia="游ゴシック" w:hAnsi="Aptos" w:cs="Arial"/>
          <w:szCs w:val="22"/>
          <w:lang w:bidi="he-IL"/>
        </w:rPr>
        <w:t>です</w:t>
      </w:r>
      <w:r w:rsidRPr="00DD52AB">
        <w:rPr>
          <w:rFonts w:ascii="Aptos" w:eastAsia="游ゴシック" w:hAnsi="Aptos" w:cs="Arial"/>
          <w:szCs w:val="22"/>
          <w:lang w:bidi="he-IL"/>
        </w:rPr>
        <w:t>。年齢包摂的な社会の構築は、高齢期の権利を保護するだけでなく、ライフコース全体にわたる社会的結束と平等を強化するためにも不可欠</w:t>
      </w:r>
      <w:r w:rsidR="007C1B78">
        <w:rPr>
          <w:rFonts w:ascii="Aptos" w:eastAsia="游ゴシック" w:hAnsi="Aptos" w:cs="Arial"/>
          <w:szCs w:val="22"/>
          <w:lang w:bidi="he-IL"/>
        </w:rPr>
        <w:t>です</w:t>
      </w:r>
      <w:r w:rsidRPr="00DD52AB">
        <w:rPr>
          <w:rFonts w:ascii="Aptos" w:eastAsia="游ゴシック" w:hAnsi="Aptos" w:cs="Arial"/>
          <w:szCs w:val="22"/>
          <w:lang w:bidi="he-IL"/>
        </w:rPr>
        <w:t>。</w:t>
      </w:r>
    </w:p>
    <w:p w14:paraId="615A936D" w14:textId="77777777" w:rsidR="00DD52AB" w:rsidRPr="00DD52AB" w:rsidRDefault="00A61EF3" w:rsidP="000F4CE9">
      <w:pPr>
        <w:spacing w:line="360" w:lineRule="exact"/>
        <w:ind w:left="720"/>
        <w:contextualSpacing/>
        <w:rPr>
          <w:rFonts w:ascii="Aptos" w:eastAsia="游ゴシック" w:hAnsi="Aptos" w:cs="Arial"/>
          <w:szCs w:val="22"/>
          <w:lang w:eastAsia="en-US" w:bidi="he-IL"/>
        </w:rPr>
      </w:pPr>
      <w:r>
        <w:rPr>
          <w:rFonts w:ascii="Aptos" w:eastAsia="游ゴシック" w:hAnsi="Aptos" w:cs="Arial"/>
          <w:szCs w:val="22"/>
          <w:lang w:eastAsia="en-US" w:bidi="he-IL"/>
        </w:rPr>
        <w:pict w14:anchorId="79E1B464">
          <v:rect id="_x0000_i1066" style="width:0;height:1.5pt" o:hralign="center" o:hrstd="t" o:hr="t" fillcolor="#a0a0a0" stroked="f"/>
        </w:pict>
      </w:r>
    </w:p>
    <w:p w14:paraId="6AD6A39F" w14:textId="19296CC5" w:rsidR="00DD52AB" w:rsidRPr="00DD52AB" w:rsidRDefault="00DD52AB" w:rsidP="000F4CE9">
      <w:pPr>
        <w:numPr>
          <w:ilvl w:val="0"/>
          <w:numId w:val="27"/>
        </w:numPr>
        <w:spacing w:line="360" w:lineRule="exact"/>
        <w:contextualSpacing/>
        <w:rPr>
          <w:rFonts w:ascii="Aptos" w:eastAsia="游ゴシック" w:hAnsi="Aptos" w:cs="Arial"/>
          <w:szCs w:val="22"/>
          <w:lang w:bidi="he-IL"/>
        </w:rPr>
      </w:pPr>
      <w:r w:rsidRPr="00DD52AB">
        <w:rPr>
          <w:rFonts w:ascii="Aptos" w:eastAsia="游ゴシック" w:hAnsi="Aptos" w:cs="Arial"/>
          <w:b/>
          <w:bCs/>
          <w:szCs w:val="22"/>
          <w:lang w:bidi="he-IL"/>
        </w:rPr>
        <w:t xml:space="preserve">7. </w:t>
      </w:r>
      <w:r w:rsidRPr="00DD52AB">
        <w:rPr>
          <w:rFonts w:ascii="Aptos" w:eastAsia="游ゴシック" w:hAnsi="Aptos" w:cs="Arial"/>
          <w:b/>
          <w:bCs/>
          <w:szCs w:val="22"/>
          <w:lang w:bidi="he-IL"/>
        </w:rPr>
        <w:t>知恵：</w:t>
      </w:r>
      <w:r w:rsidR="00796646">
        <w:rPr>
          <w:rFonts w:ascii="Aptos" w:eastAsia="游ゴシック" w:hAnsi="Aptos" w:cs="Arial"/>
          <w:b/>
          <w:bCs/>
          <w:szCs w:val="22"/>
          <w:lang w:bidi="he-IL"/>
        </w:rPr>
        <w:t>高齢</w:t>
      </w:r>
      <w:r w:rsidRPr="00DD52AB">
        <w:rPr>
          <w:rFonts w:ascii="Aptos" w:eastAsia="游ゴシック" w:hAnsi="Aptos" w:cs="Arial"/>
          <w:b/>
          <w:bCs/>
          <w:szCs w:val="22"/>
          <w:lang w:bidi="he-IL"/>
        </w:rPr>
        <w:t>期の人間としての</w:t>
      </w:r>
      <w:r w:rsidR="00082CB3">
        <w:rPr>
          <w:rFonts w:ascii="Aptos" w:eastAsia="游ゴシック" w:hAnsi="Aptos" w:cs="Arial" w:hint="eastAsia"/>
          <w:b/>
          <w:bCs/>
          <w:szCs w:val="22"/>
          <w:lang w:bidi="he-IL"/>
        </w:rPr>
        <w:t>価値</w:t>
      </w:r>
    </w:p>
    <w:p w14:paraId="47500199" w14:textId="3A4832B3"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確立された心理学および認知科学の研究に基づき、本条約は、</w:t>
      </w:r>
      <w:r w:rsidR="00082CB3">
        <w:rPr>
          <w:rFonts w:ascii="Aptos" w:eastAsia="游ゴシック" w:hAnsi="Aptos" w:cs="Arial" w:hint="eastAsia"/>
          <w:szCs w:val="22"/>
          <w:lang w:bidi="he-IL"/>
        </w:rPr>
        <w:t>高齢</w:t>
      </w:r>
      <w:r w:rsidRPr="00DD52AB">
        <w:rPr>
          <w:rFonts w:ascii="Aptos" w:eastAsia="游ゴシック" w:hAnsi="Aptos" w:cs="Arial"/>
          <w:szCs w:val="22"/>
          <w:lang w:bidi="he-IL"/>
        </w:rPr>
        <w:t>期が蓄積された知識、経験、洞察</w:t>
      </w:r>
      <w:r w:rsidRPr="00DD52AB">
        <w:rPr>
          <w:rFonts w:ascii="Aptos" w:eastAsia="游ゴシック" w:hAnsi="Aptos" w:cs="Arial"/>
          <w:szCs w:val="22"/>
          <w:lang w:bidi="he-IL"/>
        </w:rPr>
        <w:t>——</w:t>
      </w:r>
      <w:r w:rsidRPr="00DD52AB">
        <w:rPr>
          <w:rFonts w:ascii="Aptos" w:eastAsia="游ゴシック" w:hAnsi="Aptos" w:cs="Arial"/>
          <w:szCs w:val="22"/>
          <w:lang w:bidi="he-IL"/>
        </w:rPr>
        <w:t>一般に「知恵」として理解されるもの</w:t>
      </w:r>
      <w:r w:rsidRPr="00DD52AB">
        <w:rPr>
          <w:rFonts w:ascii="Aptos" w:eastAsia="游ゴシック" w:hAnsi="Aptos" w:cs="Arial"/>
          <w:szCs w:val="22"/>
          <w:lang w:bidi="he-IL"/>
        </w:rPr>
        <w:t>——</w:t>
      </w:r>
      <w:r w:rsidRPr="00DD52AB">
        <w:rPr>
          <w:rFonts w:ascii="Aptos" w:eastAsia="游ゴシック" w:hAnsi="Aptos" w:cs="Arial"/>
          <w:szCs w:val="22"/>
          <w:lang w:bidi="he-IL"/>
        </w:rPr>
        <w:t>と密接に関連していることを認識すべき</w:t>
      </w:r>
      <w:r w:rsidR="007C1B78">
        <w:rPr>
          <w:rFonts w:ascii="Aptos" w:eastAsia="游ゴシック" w:hAnsi="Aptos" w:cs="Arial"/>
          <w:szCs w:val="22"/>
          <w:lang w:bidi="he-IL"/>
        </w:rPr>
        <w:t>です</w:t>
      </w:r>
      <w:r w:rsidRPr="00DD52AB">
        <w:rPr>
          <w:rFonts w:ascii="Aptos" w:eastAsia="游ゴシック" w:hAnsi="Aptos" w:cs="Arial"/>
          <w:szCs w:val="22"/>
          <w:lang w:bidi="he-IL"/>
        </w:rPr>
        <w:t>。加齢のこの側面は、人生、人間関係、そして人間の条件に対する理解の深化を反映してい</w:t>
      </w:r>
      <w:r w:rsidR="000F7A1F">
        <w:rPr>
          <w:rFonts w:ascii="Aptos" w:eastAsia="游ゴシック" w:hAnsi="Aptos" w:cs="Arial" w:hint="eastAsia"/>
          <w:szCs w:val="22"/>
          <w:lang w:bidi="he-IL"/>
        </w:rPr>
        <w:t>ます</w:t>
      </w:r>
      <w:r w:rsidRPr="00DD52AB">
        <w:rPr>
          <w:rFonts w:ascii="Aptos" w:eastAsia="游ゴシック" w:hAnsi="Aptos" w:cs="Arial"/>
          <w:szCs w:val="22"/>
          <w:lang w:bidi="he-IL"/>
        </w:rPr>
        <w:t>。</w:t>
      </w:r>
    </w:p>
    <w:p w14:paraId="635A27B7" w14:textId="566B83B3" w:rsidR="00DD52AB" w:rsidRPr="00DD52AB" w:rsidRDefault="00DD52AB" w:rsidP="000F7A1F">
      <w:pPr>
        <w:spacing w:line="360" w:lineRule="exact"/>
        <w:ind w:firstLineChars="100" w:firstLine="220"/>
        <w:rPr>
          <w:rFonts w:ascii="Aptos" w:eastAsia="游ゴシック" w:hAnsi="Aptos" w:cs="Arial"/>
          <w:lang w:bidi="he-IL"/>
        </w:rPr>
      </w:pPr>
      <w:r w:rsidRPr="5E59BB36">
        <w:rPr>
          <w:rFonts w:ascii="Aptos" w:eastAsia="游ゴシック" w:hAnsi="Aptos" w:cs="Arial"/>
          <w:lang w:bidi="he-IL"/>
        </w:rPr>
        <w:t>加齢のこの側面を認識し、評価することは、父権</w:t>
      </w:r>
      <w:r w:rsidR="00082CB3">
        <w:rPr>
          <w:rFonts w:ascii="Aptos" w:eastAsia="游ゴシック" w:hAnsi="Aptos" w:cs="Arial" w:hint="eastAsia"/>
          <w:lang w:bidi="he-IL"/>
        </w:rPr>
        <w:t>主義</w:t>
      </w:r>
      <w:r w:rsidRPr="5E59BB36">
        <w:rPr>
          <w:rFonts w:ascii="Aptos" w:eastAsia="游ゴシック" w:hAnsi="Aptos" w:cs="Arial"/>
          <w:lang w:bidi="he-IL"/>
        </w:rPr>
        <w:t>的あるいはロマンチックに美化された枠組みで捉えるべきではなく、高齢者の尊厳と主体性を肯定する人権原則の一部として位置づけられるべき</w:t>
      </w:r>
      <w:r w:rsidR="007C1B78">
        <w:rPr>
          <w:rFonts w:ascii="Aptos" w:eastAsia="游ゴシック" w:hAnsi="Aptos" w:cs="Arial"/>
          <w:lang w:bidi="he-IL"/>
        </w:rPr>
        <w:t>です</w:t>
      </w:r>
      <w:r w:rsidRPr="5E59BB36">
        <w:rPr>
          <w:rFonts w:ascii="Aptos" w:eastAsia="游ゴシック" w:hAnsi="Aptos" w:cs="Arial"/>
          <w:lang w:bidi="he-IL"/>
        </w:rPr>
        <w:t>。本条約は、高齢者が自らの知識や価値観を表現し、共有し、それに基づいて行動できる環境を支援し、それによって、高齢者の自律、自由、および自らの意思や選好に従って意思決定を行う能力を強化すべき</w:t>
      </w:r>
      <w:r w:rsidR="007C1B78">
        <w:rPr>
          <w:rFonts w:ascii="Aptos" w:eastAsia="游ゴシック" w:hAnsi="Aptos" w:cs="Arial"/>
          <w:lang w:bidi="he-IL"/>
        </w:rPr>
        <w:t>です</w:t>
      </w:r>
      <w:r w:rsidRPr="5E59BB36">
        <w:rPr>
          <w:rFonts w:ascii="Aptos" w:eastAsia="游ゴシック" w:hAnsi="Aptos" w:cs="Arial"/>
          <w:lang w:bidi="he-IL"/>
        </w:rPr>
        <w:t>。</w:t>
      </w:r>
    </w:p>
    <w:p w14:paraId="5AAF7C89" w14:textId="1ABA9145" w:rsidR="5E59BB36" w:rsidRDefault="00861B31" w:rsidP="000F4CE9">
      <w:pPr>
        <w:spacing w:line="360" w:lineRule="exact"/>
        <w:ind w:left="720"/>
        <w:rPr>
          <w:rFonts w:ascii="Aptos" w:eastAsia="游ゴシック" w:hAnsi="Aptos" w:cs="Arial"/>
          <w:i/>
          <w:iCs/>
          <w:color w:val="0070C0"/>
          <w:lang w:bidi="he-IL"/>
        </w:rPr>
      </w:pPr>
      <w:r w:rsidRPr="00861B31">
        <w:rPr>
          <w:rFonts w:ascii="Aptos" w:eastAsia="游ゴシック" w:hAnsi="Aptos" w:cs="Arial" w:hint="eastAsia"/>
          <w:i/>
          <w:iCs/>
          <w:color w:val="0070C0"/>
          <w:lang w:bidi="he-IL"/>
        </w:rPr>
        <w:t>質問</w:t>
      </w:r>
      <w:r w:rsidRPr="00861B31">
        <w:rPr>
          <w:rFonts w:ascii="Aptos" w:eastAsia="游ゴシック" w:hAnsi="Aptos" w:cs="Arial"/>
          <w:i/>
          <w:iCs/>
          <w:color w:val="0070C0"/>
          <w:lang w:bidi="he-IL"/>
        </w:rPr>
        <w:t xml:space="preserve">3. </w:t>
      </w:r>
      <w:r w:rsidRPr="00861B31">
        <w:rPr>
          <w:rFonts w:ascii="Aptos" w:eastAsia="游ゴシック" w:hAnsi="Aptos" w:cs="Arial"/>
          <w:i/>
          <w:iCs/>
          <w:color w:val="0070C0"/>
          <w:lang w:bidi="he-IL"/>
        </w:rPr>
        <w:t>法的拘束力のある文書は、明確性と実効性を確保するために、どのような全体構成（</w:t>
      </w:r>
      <w:r w:rsidRPr="00861B31">
        <w:rPr>
          <w:rFonts w:ascii="Aptos" w:eastAsia="游ゴシック" w:hAnsi="Aptos" w:cs="Arial"/>
          <w:i/>
          <w:iCs/>
          <w:color w:val="0070C0"/>
          <w:lang w:bidi="he-IL"/>
        </w:rPr>
        <w:t>structure</w:t>
      </w:r>
      <w:r w:rsidRPr="00861B31">
        <w:rPr>
          <w:rFonts w:ascii="Aptos" w:eastAsia="游ゴシック" w:hAnsi="Aptos" w:cs="Arial"/>
          <w:i/>
          <w:iCs/>
          <w:color w:val="0070C0"/>
          <w:lang w:bidi="he-IL"/>
        </w:rPr>
        <w:t>）や設計枠組み（</w:t>
      </w:r>
      <w:r w:rsidRPr="00861B31">
        <w:rPr>
          <w:rFonts w:ascii="Aptos" w:eastAsia="游ゴシック" w:hAnsi="Aptos" w:cs="Arial"/>
          <w:i/>
          <w:iCs/>
          <w:color w:val="0070C0"/>
          <w:lang w:bidi="he-IL"/>
        </w:rPr>
        <w:t>architecture</w:t>
      </w:r>
      <w:r w:rsidRPr="00861B31">
        <w:rPr>
          <w:rFonts w:ascii="Aptos" w:eastAsia="游ゴシック" w:hAnsi="Aptos" w:cs="Arial"/>
          <w:i/>
          <w:iCs/>
          <w:color w:val="0070C0"/>
          <w:lang w:bidi="he-IL"/>
        </w:rPr>
        <w:t>）を採用すべきか？例え</w:t>
      </w:r>
      <w:r w:rsidRPr="00861B31">
        <w:rPr>
          <w:rFonts w:ascii="Aptos" w:eastAsia="游ゴシック" w:hAnsi="Aptos" w:cs="Arial"/>
          <w:i/>
          <w:iCs/>
          <w:color w:val="0070C0"/>
          <w:lang w:bidi="he-IL"/>
        </w:rPr>
        <w:lastRenderedPageBreak/>
        <w:t>ば、前文、定義、一般原則、一般的義務、具体的権利、および実施規定を含めるべきか？</w:t>
      </w:r>
    </w:p>
    <w:p w14:paraId="212D14DD" w14:textId="78E7E686"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高齢者の人権に関する法的拘束力のある文書は、既存の主要な国際人権条約、特に「障害者権利条約（</w:t>
      </w:r>
      <w:r w:rsidRPr="00DD52AB">
        <w:rPr>
          <w:rFonts w:ascii="Aptos" w:eastAsia="游ゴシック" w:hAnsi="Aptos" w:cs="Arial"/>
          <w:szCs w:val="22"/>
          <w:lang w:bidi="he-IL"/>
        </w:rPr>
        <w:t>CRPD</w:t>
      </w:r>
      <w:r w:rsidRPr="00DD52AB">
        <w:rPr>
          <w:rFonts w:ascii="Aptos" w:eastAsia="游ゴシック" w:hAnsi="Aptos" w:cs="Arial"/>
          <w:szCs w:val="22"/>
          <w:lang w:bidi="he-IL"/>
        </w:rPr>
        <w:t>）」と整合性のある、明確かつ首尾一貫した構成を採用すべき</w:t>
      </w:r>
      <w:r w:rsidR="007C1B78">
        <w:rPr>
          <w:rFonts w:ascii="Aptos" w:eastAsia="游ゴシック" w:hAnsi="Aptos" w:cs="Arial"/>
          <w:szCs w:val="22"/>
          <w:lang w:bidi="he-IL"/>
        </w:rPr>
        <w:t>です</w:t>
      </w:r>
      <w:r w:rsidRPr="00DD52AB">
        <w:rPr>
          <w:rFonts w:ascii="Aptos" w:eastAsia="游ゴシック" w:hAnsi="Aptos" w:cs="Arial"/>
          <w:szCs w:val="22"/>
          <w:lang w:bidi="he-IL"/>
        </w:rPr>
        <w:t>。この確立された構造に準拠することで、明確性、アクセシビリティ、および法的な整合性が向上するとともに、国家レベルでの実施が促進され、国際人権システムにおける条約の権威が強化され</w:t>
      </w:r>
      <w:r w:rsidR="000F7A1F">
        <w:rPr>
          <w:rFonts w:ascii="Aptos" w:eastAsia="游ゴシック" w:hAnsi="Aptos" w:cs="Arial" w:hint="eastAsia"/>
          <w:szCs w:val="22"/>
          <w:lang w:bidi="he-IL"/>
        </w:rPr>
        <w:t>ます</w:t>
      </w:r>
      <w:r w:rsidRPr="00DD52AB">
        <w:rPr>
          <w:rFonts w:ascii="Aptos" w:eastAsia="游ゴシック" w:hAnsi="Aptos" w:cs="Arial"/>
          <w:szCs w:val="22"/>
          <w:lang w:bidi="he-IL"/>
        </w:rPr>
        <w:t>。</w:t>
      </w:r>
    </w:p>
    <w:p w14:paraId="59861AA1" w14:textId="7383A4AD"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馴染みのある条約構造は、国家、裁判所、および権利保有者が、体系的かつ予測可能な方法でこの文書を解釈し適用することを可能に</w:t>
      </w:r>
      <w:r w:rsidR="00835941">
        <w:rPr>
          <w:rFonts w:ascii="Aptos" w:eastAsia="游ゴシック" w:hAnsi="Aptos" w:cs="Arial" w:hint="eastAsia"/>
          <w:szCs w:val="22"/>
          <w:lang w:bidi="he-IL"/>
        </w:rPr>
        <w:t>します</w:t>
      </w:r>
      <w:r w:rsidRPr="00DD52AB">
        <w:rPr>
          <w:rFonts w:ascii="Aptos" w:eastAsia="游ゴシック" w:hAnsi="Aptos" w:cs="Arial"/>
          <w:szCs w:val="22"/>
          <w:lang w:bidi="he-IL"/>
        </w:rPr>
        <w:t>。また、既存の人権法との連続性を確保しつつ、高齢化という特有の現実に対処することを可能に</w:t>
      </w:r>
      <w:r w:rsidR="00835941">
        <w:rPr>
          <w:rFonts w:ascii="Aptos" w:eastAsia="游ゴシック" w:hAnsi="Aptos" w:cs="Arial" w:hint="eastAsia"/>
          <w:szCs w:val="22"/>
          <w:lang w:bidi="he-IL"/>
        </w:rPr>
        <w:t>します</w:t>
      </w:r>
      <w:r w:rsidRPr="00DD52AB">
        <w:rPr>
          <w:rFonts w:ascii="Aptos" w:eastAsia="游ゴシック" w:hAnsi="Aptos" w:cs="Arial"/>
          <w:szCs w:val="22"/>
          <w:lang w:bidi="he-IL"/>
        </w:rPr>
        <w:t>。</w:t>
      </w:r>
    </w:p>
    <w:p w14:paraId="08B8831C" w14:textId="54F5823A" w:rsidR="00DD52AB" w:rsidRPr="00DD52AB" w:rsidRDefault="00DD52AB" w:rsidP="000F7A1F">
      <w:pPr>
        <w:spacing w:line="360" w:lineRule="exact"/>
        <w:ind w:firstLineChars="100" w:firstLine="220"/>
        <w:rPr>
          <w:rFonts w:ascii="Aptos" w:eastAsia="游ゴシック" w:hAnsi="Aptos" w:cs="Arial"/>
          <w:szCs w:val="22"/>
          <w:lang w:bidi="he-IL"/>
        </w:rPr>
      </w:pPr>
      <w:r w:rsidRPr="00DD52AB">
        <w:rPr>
          <w:rFonts w:ascii="Aptos" w:eastAsia="游ゴシック" w:hAnsi="Aptos" w:cs="Arial"/>
          <w:szCs w:val="22"/>
          <w:lang w:bidi="he-IL"/>
        </w:rPr>
        <w:t>この点</w:t>
      </w:r>
      <w:r w:rsidR="00B8645C">
        <w:rPr>
          <w:rFonts w:ascii="Aptos" w:eastAsia="游ゴシック" w:hAnsi="Aptos" w:cs="Arial" w:hint="eastAsia"/>
          <w:szCs w:val="22"/>
          <w:lang w:bidi="he-IL"/>
        </w:rPr>
        <w:t>で</w:t>
      </w:r>
      <w:r w:rsidRPr="00DD52AB">
        <w:rPr>
          <w:rFonts w:ascii="Aptos" w:eastAsia="游ゴシック" w:hAnsi="Aptos" w:cs="Arial"/>
          <w:szCs w:val="22"/>
          <w:lang w:bidi="he-IL"/>
        </w:rPr>
        <w:t>、本条約には以下の主要な構成要素を含めるべき</w:t>
      </w:r>
      <w:r w:rsidR="007C1B78">
        <w:rPr>
          <w:rFonts w:ascii="Aptos" w:eastAsia="游ゴシック" w:hAnsi="Aptos" w:cs="Arial"/>
          <w:szCs w:val="22"/>
          <w:lang w:bidi="he-IL"/>
        </w:rPr>
        <w:t>です</w:t>
      </w:r>
      <w:r w:rsidRPr="00DD52AB">
        <w:rPr>
          <w:rFonts w:ascii="Aptos" w:eastAsia="游ゴシック" w:hAnsi="Aptos" w:cs="Arial"/>
          <w:szCs w:val="22"/>
          <w:lang w:bidi="he-IL"/>
        </w:rPr>
        <w:t>：</w:t>
      </w:r>
    </w:p>
    <w:p w14:paraId="298A7CE0" w14:textId="0AE64FA2" w:rsidR="00DD52AB" w:rsidRPr="00DD52AB" w:rsidRDefault="00DD52AB" w:rsidP="000F4CE9">
      <w:pPr>
        <w:numPr>
          <w:ilvl w:val="0"/>
          <w:numId w:val="28"/>
        </w:numPr>
        <w:spacing w:line="360" w:lineRule="exact"/>
        <w:rPr>
          <w:rFonts w:ascii="Aptos" w:eastAsia="游ゴシック" w:hAnsi="Aptos" w:cs="Arial"/>
          <w:szCs w:val="22"/>
          <w:lang w:bidi="he-IL"/>
        </w:rPr>
      </w:pPr>
      <w:r w:rsidRPr="00DD52AB">
        <w:rPr>
          <w:rFonts w:ascii="Aptos" w:eastAsia="游ゴシック" w:hAnsi="Aptos" w:cs="Arial"/>
          <w:b/>
          <w:bCs/>
          <w:szCs w:val="22"/>
          <w:lang w:bidi="he-IL"/>
        </w:rPr>
        <w:t>前文</w:t>
      </w:r>
      <w:r w:rsidRPr="00DD52AB">
        <w:rPr>
          <w:rFonts w:ascii="Aptos" w:eastAsia="游ゴシック" w:hAnsi="Aptos" w:cs="Arial"/>
          <w:szCs w:val="22"/>
          <w:lang w:bidi="he-IL"/>
        </w:rPr>
        <w:br/>
      </w:r>
      <w:r w:rsidR="00B8645C">
        <w:rPr>
          <w:rFonts w:ascii="Aptos" w:eastAsia="游ゴシック" w:hAnsi="Aptos" w:cs="Arial" w:hint="eastAsia"/>
          <w:b/>
          <w:bCs/>
          <w:szCs w:val="22"/>
          <w:lang w:bidi="he-IL"/>
        </w:rPr>
        <w:t xml:space="preserve">　</w:t>
      </w:r>
      <w:r w:rsidRPr="00DD52AB">
        <w:rPr>
          <w:rFonts w:ascii="Aptos" w:eastAsia="游ゴシック" w:hAnsi="Aptos" w:cs="Arial"/>
          <w:b/>
          <w:bCs/>
          <w:szCs w:val="22"/>
          <w:lang w:bidi="he-IL"/>
        </w:rPr>
        <w:t>上記第</w:t>
      </w:r>
      <w:r w:rsidRPr="00DD52AB">
        <w:rPr>
          <w:rFonts w:ascii="Aptos" w:eastAsia="游ゴシック" w:hAnsi="Aptos" w:cs="Arial"/>
          <w:b/>
          <w:bCs/>
          <w:szCs w:val="22"/>
          <w:lang w:bidi="he-IL"/>
        </w:rPr>
        <w:t>1</w:t>
      </w:r>
      <w:r w:rsidRPr="00DD52AB">
        <w:rPr>
          <w:rFonts w:ascii="Aptos" w:eastAsia="游ゴシック" w:hAnsi="Aptos" w:cs="Arial"/>
          <w:b/>
          <w:bCs/>
          <w:szCs w:val="22"/>
          <w:lang w:bidi="he-IL"/>
        </w:rPr>
        <w:t>部</w:t>
      </w:r>
      <w:r w:rsidRPr="00DD52AB">
        <w:rPr>
          <w:rFonts w:ascii="Aptos" w:eastAsia="游ゴシック" w:hAnsi="Aptos" w:cs="Arial"/>
          <w:szCs w:val="22"/>
          <w:lang w:bidi="he-IL"/>
        </w:rPr>
        <w:t>で説明した条約の規範的基礎を明記する。</w:t>
      </w:r>
    </w:p>
    <w:p w14:paraId="40E55D97" w14:textId="4089BA11" w:rsidR="00DD52AB" w:rsidRPr="00DD52AB" w:rsidRDefault="00DD52AB" w:rsidP="000F4CE9">
      <w:pPr>
        <w:numPr>
          <w:ilvl w:val="0"/>
          <w:numId w:val="28"/>
        </w:numPr>
        <w:spacing w:line="360" w:lineRule="exact"/>
        <w:rPr>
          <w:rFonts w:ascii="Aptos" w:eastAsia="游ゴシック" w:hAnsi="Aptos" w:cs="Arial"/>
          <w:szCs w:val="22"/>
          <w:lang w:bidi="he-IL"/>
        </w:rPr>
      </w:pPr>
      <w:r w:rsidRPr="00DD52AB">
        <w:rPr>
          <w:rFonts w:ascii="Aptos" w:eastAsia="游ゴシック" w:hAnsi="Aptos" w:cs="Arial"/>
          <w:b/>
          <w:bCs/>
          <w:szCs w:val="22"/>
          <w:lang w:bidi="he-IL"/>
        </w:rPr>
        <w:t>目的および定義</w:t>
      </w:r>
      <w:r w:rsidRPr="00DD52AB">
        <w:rPr>
          <w:rFonts w:ascii="Aptos" w:eastAsia="游ゴシック" w:hAnsi="Aptos" w:cs="Arial"/>
          <w:szCs w:val="22"/>
          <w:lang w:bidi="he-IL"/>
        </w:rPr>
        <w:br/>
      </w:r>
      <w:r w:rsidR="00B8645C">
        <w:rPr>
          <w:rFonts w:ascii="Aptos" w:eastAsia="游ゴシック" w:hAnsi="Aptos" w:cs="Arial" w:hint="eastAsia"/>
          <w:szCs w:val="22"/>
          <w:lang w:bidi="he-IL"/>
        </w:rPr>
        <w:t xml:space="preserve">　</w:t>
      </w:r>
      <w:r w:rsidRPr="00DD52AB">
        <w:rPr>
          <w:rFonts w:ascii="Aptos" w:eastAsia="游ゴシック" w:hAnsi="Aptos" w:cs="Arial"/>
          <w:szCs w:val="22"/>
          <w:lang w:bidi="he-IL"/>
        </w:rPr>
        <w:t>高齢者がすべての人権を完全かつ平等に享受できるようにするという目的を明確にし、年齢</w:t>
      </w:r>
      <w:r w:rsidR="00B8645C">
        <w:rPr>
          <w:rFonts w:ascii="Aptos" w:eastAsia="游ゴシック" w:hAnsi="Aptos" w:cs="Arial" w:hint="eastAsia"/>
          <w:szCs w:val="22"/>
          <w:lang w:bidi="he-IL"/>
        </w:rPr>
        <w:t>を理由とする</w:t>
      </w:r>
      <w:r w:rsidRPr="00DD52AB">
        <w:rPr>
          <w:rFonts w:ascii="Aptos" w:eastAsia="游ゴシック" w:hAnsi="Aptos" w:cs="Arial"/>
          <w:szCs w:val="22"/>
          <w:lang w:bidi="he-IL"/>
        </w:rPr>
        <w:t>差別、エイジズム、エイジイ</w:t>
      </w:r>
      <w:r w:rsidR="00B8645C">
        <w:rPr>
          <w:rFonts w:ascii="Aptos" w:eastAsia="游ゴシック" w:hAnsi="Aptos" w:cs="Arial" w:hint="eastAsia"/>
          <w:szCs w:val="22"/>
          <w:lang w:bidi="he-IL"/>
        </w:rPr>
        <w:t>ビ</w:t>
      </w:r>
      <w:r w:rsidRPr="00DD52AB">
        <w:rPr>
          <w:rFonts w:ascii="Aptos" w:eastAsia="游ゴシック" w:hAnsi="Aptos" w:cs="Arial"/>
          <w:szCs w:val="22"/>
          <w:lang w:bidi="he-IL"/>
        </w:rPr>
        <w:t>ズムといった主要な概念を定義しつつ、柔軟性を維持する。</w:t>
      </w:r>
    </w:p>
    <w:p w14:paraId="3A4436E2" w14:textId="7EB3EB33" w:rsidR="00DD52AB" w:rsidRPr="00DD52AB" w:rsidRDefault="00DD52AB" w:rsidP="000F4CE9">
      <w:pPr>
        <w:numPr>
          <w:ilvl w:val="0"/>
          <w:numId w:val="28"/>
        </w:numPr>
        <w:spacing w:line="360" w:lineRule="exact"/>
        <w:rPr>
          <w:rFonts w:ascii="Aptos" w:eastAsia="游ゴシック" w:hAnsi="Aptos" w:cs="Arial"/>
          <w:szCs w:val="22"/>
          <w:lang w:bidi="he-IL"/>
        </w:rPr>
      </w:pPr>
      <w:r w:rsidRPr="00DD52AB">
        <w:rPr>
          <w:rFonts w:ascii="Aptos" w:eastAsia="游ゴシック" w:hAnsi="Aptos" w:cs="Arial"/>
          <w:b/>
          <w:bCs/>
          <w:szCs w:val="22"/>
          <w:lang w:bidi="he-IL"/>
        </w:rPr>
        <w:t>一般原則</w:t>
      </w:r>
      <w:r w:rsidRPr="00DD52AB">
        <w:rPr>
          <w:rFonts w:ascii="Aptos" w:eastAsia="游ゴシック" w:hAnsi="Aptos" w:cs="Arial"/>
          <w:szCs w:val="22"/>
          <w:lang w:bidi="he-IL"/>
        </w:rPr>
        <w:br/>
      </w:r>
      <w:r w:rsidR="00B8645C">
        <w:rPr>
          <w:rFonts w:ascii="Aptos" w:eastAsia="游ゴシック" w:hAnsi="Aptos" w:cs="Arial" w:hint="eastAsia"/>
          <w:b/>
          <w:bCs/>
          <w:szCs w:val="22"/>
          <w:lang w:bidi="he-IL"/>
        </w:rPr>
        <w:t xml:space="preserve">　</w:t>
      </w:r>
      <w:r w:rsidRPr="00DD52AB">
        <w:rPr>
          <w:rFonts w:ascii="Aptos" w:eastAsia="游ゴシック" w:hAnsi="Aptos" w:cs="Arial"/>
          <w:b/>
          <w:bCs/>
          <w:szCs w:val="22"/>
          <w:lang w:bidi="he-IL"/>
        </w:rPr>
        <w:t>上記の第</w:t>
      </w:r>
      <w:r w:rsidRPr="00DD52AB">
        <w:rPr>
          <w:rFonts w:ascii="Aptos" w:eastAsia="游ゴシック" w:hAnsi="Aptos" w:cs="Arial"/>
          <w:b/>
          <w:bCs/>
          <w:szCs w:val="22"/>
          <w:lang w:bidi="he-IL"/>
        </w:rPr>
        <w:t>2</w:t>
      </w:r>
      <w:r w:rsidRPr="00DD52AB">
        <w:rPr>
          <w:rFonts w:ascii="Aptos" w:eastAsia="游ゴシック" w:hAnsi="Aptos" w:cs="Arial"/>
          <w:b/>
          <w:bCs/>
          <w:szCs w:val="22"/>
          <w:lang w:bidi="he-IL"/>
        </w:rPr>
        <w:t>部</w:t>
      </w:r>
      <w:r w:rsidRPr="00DD52AB">
        <w:rPr>
          <w:rFonts w:ascii="Aptos" w:eastAsia="游ゴシック" w:hAnsi="Aptos" w:cs="Arial"/>
          <w:szCs w:val="22"/>
          <w:lang w:bidi="he-IL"/>
        </w:rPr>
        <w:t>で述べた中核的な原則を含める。</w:t>
      </w:r>
    </w:p>
    <w:p w14:paraId="65FA4B73" w14:textId="63BED37E" w:rsidR="00DD52AB" w:rsidRPr="00DD52AB" w:rsidRDefault="00DD52AB" w:rsidP="000F4CE9">
      <w:pPr>
        <w:numPr>
          <w:ilvl w:val="0"/>
          <w:numId w:val="28"/>
        </w:numPr>
        <w:spacing w:line="360" w:lineRule="exact"/>
        <w:rPr>
          <w:rFonts w:ascii="Aptos" w:eastAsia="游ゴシック" w:hAnsi="Aptos" w:cs="Arial"/>
          <w:szCs w:val="22"/>
          <w:lang w:bidi="he-IL"/>
        </w:rPr>
      </w:pPr>
      <w:r w:rsidRPr="00DD52AB">
        <w:rPr>
          <w:rFonts w:ascii="Aptos" w:eastAsia="游ゴシック" w:hAnsi="Aptos" w:cs="Arial"/>
          <w:b/>
          <w:bCs/>
          <w:szCs w:val="22"/>
          <w:lang w:bidi="he-IL"/>
        </w:rPr>
        <w:t>一般的な義務</w:t>
      </w:r>
      <w:r w:rsidRPr="00DD52AB">
        <w:rPr>
          <w:rFonts w:ascii="Aptos" w:eastAsia="游ゴシック" w:hAnsi="Aptos" w:cs="Arial"/>
          <w:szCs w:val="22"/>
          <w:lang w:bidi="he-IL"/>
        </w:rPr>
        <w:br/>
      </w:r>
      <w:r w:rsidR="00B8645C">
        <w:rPr>
          <w:rFonts w:ascii="Aptos" w:eastAsia="游ゴシック" w:hAnsi="Aptos" w:cs="Arial" w:hint="eastAsia"/>
          <w:szCs w:val="22"/>
          <w:lang w:bidi="he-IL"/>
        </w:rPr>
        <w:t xml:space="preserve">　</w:t>
      </w:r>
      <w:r w:rsidRPr="00DD52AB">
        <w:rPr>
          <w:rFonts w:ascii="Aptos" w:eastAsia="游ゴシック" w:hAnsi="Aptos" w:cs="Arial"/>
          <w:szCs w:val="22"/>
          <w:lang w:bidi="he-IL"/>
        </w:rPr>
        <w:t>権利を尊重、保護、実現する国家の義務の概要を示す。これには、立法および政策措置の採択、差別の</w:t>
      </w:r>
      <w:r w:rsidR="00B8645C">
        <w:rPr>
          <w:rFonts w:ascii="Aptos" w:eastAsia="游ゴシック" w:hAnsi="Aptos" w:cs="Arial" w:hint="eastAsia"/>
          <w:szCs w:val="22"/>
          <w:lang w:bidi="he-IL"/>
        </w:rPr>
        <w:t>根絶</w:t>
      </w:r>
      <w:r w:rsidRPr="00DD52AB">
        <w:rPr>
          <w:rFonts w:ascii="Aptos" w:eastAsia="游ゴシック" w:hAnsi="Aptos" w:cs="Arial"/>
          <w:szCs w:val="22"/>
          <w:lang w:bidi="he-IL"/>
        </w:rPr>
        <w:t>、エイジズムとの闘い、高齢者の参加の確保などが含まれる。</w:t>
      </w:r>
    </w:p>
    <w:p w14:paraId="4E2D6254" w14:textId="253080CA" w:rsidR="00DD52AB" w:rsidRPr="00DD52AB" w:rsidRDefault="00DD52AB" w:rsidP="000F4CE9">
      <w:pPr>
        <w:numPr>
          <w:ilvl w:val="0"/>
          <w:numId w:val="28"/>
        </w:numPr>
        <w:spacing w:line="360" w:lineRule="exact"/>
        <w:rPr>
          <w:rFonts w:ascii="Aptos" w:eastAsia="游ゴシック" w:hAnsi="Aptos" w:cs="Arial"/>
          <w:szCs w:val="22"/>
          <w:lang w:bidi="he-IL"/>
        </w:rPr>
      </w:pPr>
      <w:r w:rsidRPr="00DD52AB">
        <w:rPr>
          <w:rFonts w:ascii="Aptos" w:eastAsia="游ゴシック" w:hAnsi="Aptos" w:cs="Arial"/>
          <w:b/>
          <w:bCs/>
          <w:szCs w:val="22"/>
          <w:lang w:bidi="he-IL"/>
        </w:rPr>
        <w:t>具体的な権利</w:t>
      </w:r>
      <w:r w:rsidRPr="00DD52AB">
        <w:rPr>
          <w:rFonts w:ascii="Aptos" w:eastAsia="游ゴシック" w:hAnsi="Aptos" w:cs="Arial"/>
          <w:szCs w:val="22"/>
          <w:lang w:bidi="he-IL"/>
        </w:rPr>
        <w:br/>
      </w:r>
      <w:r w:rsidR="00B8645C">
        <w:rPr>
          <w:rFonts w:ascii="Aptos" w:eastAsia="游ゴシック" w:hAnsi="Aptos" w:cs="Arial" w:hint="eastAsia"/>
          <w:szCs w:val="22"/>
          <w:lang w:bidi="he-IL"/>
        </w:rPr>
        <w:t xml:space="preserve">　</w:t>
      </w:r>
      <w:r w:rsidRPr="00DD52AB">
        <w:rPr>
          <w:rFonts w:ascii="Aptos" w:eastAsia="游ゴシック" w:hAnsi="Aptos" w:cs="Arial"/>
          <w:szCs w:val="22"/>
          <w:lang w:bidi="he-IL"/>
        </w:rPr>
        <w:t>高齢者に既存の人権がどのように適用されるかを詳述する（このトピックについては、今後の会合で取り上げられる予定）。</w:t>
      </w:r>
    </w:p>
    <w:p w14:paraId="3E220B67" w14:textId="2A51317C" w:rsidR="00DD52AB" w:rsidRPr="00DD52AB" w:rsidRDefault="00DD52AB" w:rsidP="000F4CE9">
      <w:pPr>
        <w:numPr>
          <w:ilvl w:val="0"/>
          <w:numId w:val="28"/>
        </w:numPr>
        <w:spacing w:line="360" w:lineRule="exact"/>
        <w:rPr>
          <w:rFonts w:ascii="Aptos" w:eastAsia="游ゴシック" w:hAnsi="Aptos" w:cs="Arial"/>
          <w:szCs w:val="22"/>
          <w:lang w:bidi="he-IL"/>
        </w:rPr>
      </w:pPr>
      <w:r w:rsidRPr="00DD52AB">
        <w:rPr>
          <w:rFonts w:ascii="Aptos" w:eastAsia="游ゴシック" w:hAnsi="Aptos" w:cs="Arial"/>
          <w:b/>
          <w:bCs/>
          <w:szCs w:val="22"/>
          <w:lang w:bidi="he-IL"/>
        </w:rPr>
        <w:t>実施と</w:t>
      </w:r>
      <w:r w:rsidR="00B8645C">
        <w:rPr>
          <w:rFonts w:ascii="Aptos" w:eastAsia="游ゴシック" w:hAnsi="Aptos" w:cs="Arial" w:hint="eastAsia"/>
          <w:b/>
          <w:bCs/>
          <w:szCs w:val="22"/>
          <w:lang w:bidi="he-IL"/>
        </w:rPr>
        <w:t>監視</w:t>
      </w:r>
      <w:r w:rsidRPr="00DD52AB">
        <w:rPr>
          <w:rFonts w:ascii="Aptos" w:eastAsia="游ゴシック" w:hAnsi="Aptos" w:cs="Arial"/>
          <w:szCs w:val="22"/>
          <w:lang w:bidi="he-IL"/>
        </w:rPr>
        <w:br/>
      </w:r>
      <w:r w:rsidR="00B8645C">
        <w:rPr>
          <w:rFonts w:ascii="Aptos" w:eastAsia="游ゴシック" w:hAnsi="Aptos" w:cs="Arial" w:hint="eastAsia"/>
          <w:szCs w:val="22"/>
          <w:lang w:bidi="he-IL"/>
        </w:rPr>
        <w:t xml:space="preserve">　</w:t>
      </w:r>
      <w:r w:rsidRPr="00DD52AB">
        <w:rPr>
          <w:rFonts w:ascii="Aptos" w:eastAsia="游ゴシック" w:hAnsi="Aptos" w:cs="Arial"/>
          <w:szCs w:val="22"/>
          <w:lang w:bidi="he-IL"/>
        </w:rPr>
        <w:t>効果的なメカニズムの確立（これについても、今後の会合で取り上げられる予定）。</w:t>
      </w:r>
    </w:p>
    <w:p w14:paraId="3B1C54EC" w14:textId="5D61F3C1" w:rsidR="00DD52AB" w:rsidRPr="00DD52AB" w:rsidRDefault="00DD52AB" w:rsidP="000F4CE9">
      <w:pPr>
        <w:numPr>
          <w:ilvl w:val="0"/>
          <w:numId w:val="28"/>
        </w:numPr>
        <w:spacing w:line="360" w:lineRule="exact"/>
        <w:rPr>
          <w:rFonts w:ascii="Aptos" w:eastAsia="游ゴシック" w:hAnsi="Aptos" w:cs="Arial"/>
          <w:szCs w:val="22"/>
          <w:lang w:bidi="he-IL"/>
        </w:rPr>
      </w:pPr>
      <w:r w:rsidRPr="00DD52AB">
        <w:rPr>
          <w:rFonts w:ascii="Aptos" w:eastAsia="游ゴシック" w:hAnsi="Aptos" w:cs="Arial"/>
          <w:b/>
          <w:bCs/>
          <w:szCs w:val="22"/>
          <w:lang w:bidi="he-IL"/>
        </w:rPr>
        <w:lastRenderedPageBreak/>
        <w:t>国際協力および最終規定</w:t>
      </w:r>
      <w:r w:rsidRPr="00DD52AB">
        <w:rPr>
          <w:rFonts w:ascii="Aptos" w:eastAsia="游ゴシック" w:hAnsi="Aptos" w:cs="Arial"/>
          <w:szCs w:val="22"/>
          <w:lang w:bidi="he-IL"/>
        </w:rPr>
        <w:br/>
      </w:r>
      <w:r w:rsidR="00B8645C">
        <w:rPr>
          <w:rFonts w:ascii="Aptos" w:eastAsia="游ゴシック" w:hAnsi="Aptos" w:cs="Arial" w:hint="eastAsia"/>
          <w:szCs w:val="22"/>
          <w:lang w:bidi="he-IL"/>
        </w:rPr>
        <w:t xml:space="preserve">　</w:t>
      </w:r>
      <w:r w:rsidRPr="00DD52AB">
        <w:rPr>
          <w:rFonts w:ascii="Aptos" w:eastAsia="游ゴシック" w:hAnsi="Aptos" w:cs="Arial"/>
          <w:szCs w:val="22"/>
          <w:lang w:bidi="he-IL"/>
        </w:rPr>
        <w:t>国家間の協力を規定し、標準的な条約条項を含める。</w:t>
      </w:r>
    </w:p>
    <w:p w14:paraId="48F2A7CB" w14:textId="1E1DDBA9" w:rsidR="00DD52AB" w:rsidRPr="00DD52AB" w:rsidRDefault="00DD52AB" w:rsidP="000F7A1F">
      <w:pPr>
        <w:spacing w:line="360" w:lineRule="exact"/>
        <w:ind w:firstLineChars="100" w:firstLine="220"/>
        <w:rPr>
          <w:rFonts w:ascii="Aptos" w:eastAsia="游ゴシック" w:hAnsi="Aptos" w:cs="Arial"/>
          <w:szCs w:val="22"/>
          <w:rtl/>
          <w:lang w:eastAsia="en-US" w:bidi="he-IL"/>
        </w:rPr>
      </w:pPr>
      <w:r w:rsidRPr="00DD52AB">
        <w:rPr>
          <w:rFonts w:ascii="Aptos" w:eastAsia="游ゴシック" w:hAnsi="Aptos" w:cs="Arial"/>
          <w:szCs w:val="22"/>
          <w:lang w:bidi="he-IL"/>
        </w:rPr>
        <w:t>既存の条約をモデルとした枠組みを採用することで、この条約は法的に強固かつ実効性のあるものとなる一方で、</w:t>
      </w:r>
      <w:r w:rsidR="005B2718">
        <w:rPr>
          <w:rFonts w:ascii="Aptos" w:eastAsia="游ゴシック" w:hAnsi="Aptos" w:cs="Arial" w:hint="eastAsia"/>
          <w:szCs w:val="22"/>
          <w:lang w:bidi="he-IL"/>
        </w:rPr>
        <w:t>新しい</w:t>
      </w:r>
      <w:r w:rsidRPr="00DD52AB">
        <w:rPr>
          <w:rFonts w:ascii="Aptos" w:eastAsia="游ゴシック" w:hAnsi="Aptos" w:cs="Arial"/>
          <w:szCs w:val="22"/>
          <w:lang w:bidi="he-IL"/>
        </w:rPr>
        <w:t>概念や具体的な権利、そして実施や監視のための新たなモデルを取り入れる余地も残され</w:t>
      </w:r>
      <w:r w:rsidR="005B2718">
        <w:rPr>
          <w:rFonts w:ascii="Aptos" w:eastAsia="游ゴシック" w:hAnsi="Aptos" w:cs="Arial" w:hint="eastAsia"/>
          <w:szCs w:val="22"/>
          <w:lang w:bidi="he-IL"/>
        </w:rPr>
        <w:t>ています</w:t>
      </w:r>
      <w:r w:rsidRPr="00DD52AB">
        <w:rPr>
          <w:rFonts w:ascii="Aptos" w:eastAsia="游ゴシック" w:hAnsi="Aptos" w:cs="Arial"/>
          <w:szCs w:val="22"/>
          <w:lang w:bidi="he-IL"/>
        </w:rPr>
        <w:t>。</w:t>
      </w:r>
    </w:p>
    <w:p w14:paraId="201BEA38" w14:textId="77777777" w:rsidR="00DD52AB" w:rsidRPr="00DD52AB" w:rsidRDefault="00DD52AB" w:rsidP="000F4CE9">
      <w:pPr>
        <w:spacing w:line="360" w:lineRule="exact"/>
        <w:rPr>
          <w:rFonts w:ascii="Aptos" w:eastAsia="游ゴシック" w:hAnsi="Aptos" w:cs="Arial"/>
          <w:szCs w:val="22"/>
          <w:rtl/>
          <w:lang w:eastAsia="en-US" w:bidi="he-IL"/>
        </w:rPr>
      </w:pPr>
    </w:p>
    <w:p w14:paraId="69F52728" w14:textId="77777777" w:rsidR="00DD52AB" w:rsidRPr="00EB28D1" w:rsidRDefault="00DD52AB" w:rsidP="000F4CE9">
      <w:pPr>
        <w:spacing w:line="360" w:lineRule="exact"/>
        <w:jc w:val="center"/>
        <w:rPr>
          <w:rFonts w:ascii="Brush Script MT" w:eastAsia="游ゴシック" w:hAnsi="Brush Script MT" w:cs="Arial"/>
          <w:i/>
          <w:iCs/>
          <w:sz w:val="24"/>
          <w:lang w:bidi="he-IL"/>
        </w:rPr>
      </w:pPr>
      <w:r w:rsidRPr="00EB28D1">
        <w:rPr>
          <w:rFonts w:ascii="Brush Script MT" w:eastAsia="游ゴシック" w:hAnsi="Brush Script MT" w:cs="Arial"/>
          <w:i/>
          <w:iCs/>
          <w:sz w:val="24"/>
          <w:lang w:bidi="he-IL"/>
        </w:rPr>
        <w:t>イスラエル・イッシ・ドロン教授</w:t>
      </w:r>
    </w:p>
    <w:p w14:paraId="7CEC07F0" w14:textId="39ABECD0" w:rsidR="00DD52AB" w:rsidRDefault="005B2718" w:rsidP="000F4CE9">
      <w:pPr>
        <w:spacing w:line="360" w:lineRule="exact"/>
        <w:jc w:val="center"/>
        <w:rPr>
          <w:rFonts w:ascii="Aharoni" w:eastAsia="游ゴシック" w:hAnsi="Aharoni" w:cs="Aharoni"/>
          <w:i/>
          <w:iCs/>
          <w:szCs w:val="22"/>
          <w:lang w:bidi="he-IL"/>
        </w:rPr>
      </w:pPr>
      <w:r w:rsidRPr="00DD52AB">
        <w:rPr>
          <w:rFonts w:ascii="Aharoni" w:eastAsia="游ゴシック" w:hAnsi="Aharoni" w:cs="Aharoni"/>
          <w:i/>
          <w:iCs/>
          <w:szCs w:val="22"/>
          <w:lang w:bidi="he-IL"/>
        </w:rPr>
        <w:t>ハイファ大学老年学部門</w:t>
      </w:r>
      <w:r>
        <w:rPr>
          <w:rFonts w:ascii="Aharoni" w:eastAsia="游ゴシック" w:hAnsi="Aharoni" w:cs="Aharoni" w:hint="eastAsia"/>
          <w:i/>
          <w:iCs/>
          <w:szCs w:val="22"/>
          <w:lang w:bidi="he-IL"/>
        </w:rPr>
        <w:t>（</w:t>
      </w:r>
      <w:r w:rsidR="00DD52AB" w:rsidRPr="00DD52AB">
        <w:rPr>
          <w:rFonts w:ascii="Aharoni" w:eastAsia="游ゴシック" w:hAnsi="Aharoni" w:cs="Aharoni"/>
          <w:i/>
          <w:iCs/>
          <w:szCs w:val="22"/>
          <w:lang w:bidi="he-IL"/>
        </w:rPr>
        <w:t>イスラエル、ハイファ</w:t>
      </w:r>
      <w:r>
        <w:rPr>
          <w:rFonts w:ascii="Aharoni" w:eastAsia="游ゴシック" w:hAnsi="Aharoni" w:cs="Aharoni" w:hint="eastAsia"/>
          <w:i/>
          <w:iCs/>
          <w:szCs w:val="22"/>
          <w:lang w:bidi="he-IL"/>
        </w:rPr>
        <w:t>）</w:t>
      </w:r>
    </w:p>
    <w:p w14:paraId="076B3A06" w14:textId="0C644081" w:rsidR="000F4CE9" w:rsidRPr="000F4CE9" w:rsidRDefault="000F4CE9" w:rsidP="000F4CE9">
      <w:pPr>
        <w:spacing w:line="360" w:lineRule="exact"/>
        <w:jc w:val="right"/>
        <w:rPr>
          <w:rFonts w:ascii="ＭＳ 明朝" w:eastAsia="ＭＳ 明朝" w:hAnsi="ＭＳ 明朝" w:cs="Arial" w:hint="eastAsia"/>
          <w:sz w:val="21"/>
          <w:szCs w:val="21"/>
          <w:lang w:bidi="he-IL"/>
        </w:rPr>
      </w:pPr>
      <w:r w:rsidRPr="000F4CE9">
        <w:rPr>
          <w:rFonts w:ascii="ＭＳ 明朝" w:eastAsia="ＭＳ 明朝" w:hAnsi="ＭＳ 明朝" w:cs="Aharoni" w:hint="eastAsia"/>
          <w:sz w:val="21"/>
          <w:szCs w:val="21"/>
          <w:lang w:bidi="he-IL"/>
        </w:rPr>
        <w:t>（翻訳・佐藤久夫、　　　）</w:t>
      </w:r>
    </w:p>
    <w:sectPr w:rsidR="000F4CE9" w:rsidRPr="000F4CE9" w:rsidSect="006409B1">
      <w:footerReference w:type="default" r:id="rId8"/>
      <w:pgSz w:w="11906" w:h="16838"/>
      <w:pgMar w:top="1985" w:right="1701" w:bottom="1701" w:left="1701" w:header="851" w:footer="992" w:gutter="0"/>
      <w:cols w:space="425"/>
      <w:docGrid w:type="linesAndChar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A4AC0" w14:textId="77777777" w:rsidR="00826295" w:rsidRDefault="00826295" w:rsidP="00480FC0">
      <w:pPr>
        <w:spacing w:after="0" w:line="240" w:lineRule="auto"/>
      </w:pPr>
      <w:r>
        <w:separator/>
      </w:r>
    </w:p>
  </w:endnote>
  <w:endnote w:type="continuationSeparator" w:id="0">
    <w:p w14:paraId="1BF41BB0" w14:textId="77777777" w:rsidR="00826295" w:rsidRDefault="00826295" w:rsidP="00480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Brush Script MT">
    <w:charset w:val="00"/>
    <w:family w:val="script"/>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645100"/>
      <w:docPartObj>
        <w:docPartGallery w:val="Page Numbers (Bottom of Page)"/>
        <w:docPartUnique/>
      </w:docPartObj>
    </w:sdtPr>
    <w:sdtContent>
      <w:p w14:paraId="2C5EAF87" w14:textId="5BF405C2" w:rsidR="00C60B01" w:rsidRDefault="00C60B01">
        <w:pPr>
          <w:pStyle w:val="ac"/>
        </w:pPr>
        <w:r>
          <w:fldChar w:fldCharType="begin"/>
        </w:r>
        <w:r>
          <w:instrText>PAGE   \* MERGEFORMAT</w:instrText>
        </w:r>
        <w:r>
          <w:fldChar w:fldCharType="separate"/>
        </w:r>
        <w:r>
          <w:rPr>
            <w:lang w:val="ja-JP"/>
          </w:rPr>
          <w:t>2</w:t>
        </w:r>
        <w:r>
          <w:fldChar w:fldCharType="end"/>
        </w:r>
      </w:p>
    </w:sdtContent>
  </w:sdt>
  <w:p w14:paraId="24E01440" w14:textId="77777777" w:rsidR="00C60B01" w:rsidRDefault="00C60B0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726B" w14:textId="77777777" w:rsidR="00826295" w:rsidRDefault="00826295" w:rsidP="00480FC0">
      <w:pPr>
        <w:spacing w:after="0" w:line="240" w:lineRule="auto"/>
      </w:pPr>
      <w:r>
        <w:separator/>
      </w:r>
    </w:p>
  </w:footnote>
  <w:footnote w:type="continuationSeparator" w:id="0">
    <w:p w14:paraId="2B59F40D" w14:textId="77777777" w:rsidR="00826295" w:rsidRDefault="00826295" w:rsidP="00480F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7C77"/>
    <w:multiLevelType w:val="multilevel"/>
    <w:tmpl w:val="6988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21E8D"/>
    <w:multiLevelType w:val="hybridMultilevel"/>
    <w:tmpl w:val="6E563B4C"/>
    <w:lvl w:ilvl="0" w:tplc="6BB200E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DD78EB"/>
    <w:multiLevelType w:val="hybridMultilevel"/>
    <w:tmpl w:val="458EA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A1E7B"/>
    <w:multiLevelType w:val="hybridMultilevel"/>
    <w:tmpl w:val="F2AEB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71E65"/>
    <w:multiLevelType w:val="hybridMultilevel"/>
    <w:tmpl w:val="6DC81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10723"/>
    <w:multiLevelType w:val="multilevel"/>
    <w:tmpl w:val="FBA2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37C54"/>
    <w:multiLevelType w:val="hybridMultilevel"/>
    <w:tmpl w:val="E190E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D823F0"/>
    <w:multiLevelType w:val="hybridMultilevel"/>
    <w:tmpl w:val="F06ABD38"/>
    <w:lvl w:ilvl="0" w:tplc="6BB200E2">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F90CCF"/>
    <w:multiLevelType w:val="hybridMultilevel"/>
    <w:tmpl w:val="20E40C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9010C"/>
    <w:multiLevelType w:val="hybridMultilevel"/>
    <w:tmpl w:val="446419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7705BC"/>
    <w:multiLevelType w:val="hybridMultilevel"/>
    <w:tmpl w:val="5C046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4B38CE"/>
    <w:multiLevelType w:val="hybridMultilevel"/>
    <w:tmpl w:val="460A51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FA43DD"/>
    <w:multiLevelType w:val="multilevel"/>
    <w:tmpl w:val="6D4A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5F4118"/>
    <w:multiLevelType w:val="multilevel"/>
    <w:tmpl w:val="009A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016997"/>
    <w:multiLevelType w:val="multilevel"/>
    <w:tmpl w:val="3C90C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79065A"/>
    <w:multiLevelType w:val="hybridMultilevel"/>
    <w:tmpl w:val="B5D655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F321CF"/>
    <w:multiLevelType w:val="hybridMultilevel"/>
    <w:tmpl w:val="8124C9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E5056D"/>
    <w:multiLevelType w:val="multilevel"/>
    <w:tmpl w:val="97785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EC06788"/>
    <w:multiLevelType w:val="multilevel"/>
    <w:tmpl w:val="1918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A847FF"/>
    <w:multiLevelType w:val="hybridMultilevel"/>
    <w:tmpl w:val="2006D1D0"/>
    <w:lvl w:ilvl="0" w:tplc="6BB200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A03546"/>
    <w:multiLevelType w:val="multilevel"/>
    <w:tmpl w:val="13E22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846A38"/>
    <w:multiLevelType w:val="hybridMultilevel"/>
    <w:tmpl w:val="149CED6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8A036D"/>
    <w:multiLevelType w:val="multilevel"/>
    <w:tmpl w:val="3410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3A06C6"/>
    <w:multiLevelType w:val="multilevel"/>
    <w:tmpl w:val="12A22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346CDF"/>
    <w:multiLevelType w:val="multilevel"/>
    <w:tmpl w:val="CF6C0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042EBD"/>
    <w:multiLevelType w:val="multilevel"/>
    <w:tmpl w:val="A37C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FD0F43"/>
    <w:multiLevelType w:val="hybridMultilevel"/>
    <w:tmpl w:val="4F6EB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CB028C"/>
    <w:multiLevelType w:val="multilevel"/>
    <w:tmpl w:val="ED20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5464793">
    <w:abstractNumId w:val="15"/>
  </w:num>
  <w:num w:numId="2" w16cid:durableId="1643266859">
    <w:abstractNumId w:val="6"/>
  </w:num>
  <w:num w:numId="3" w16cid:durableId="1523279655">
    <w:abstractNumId w:val="21"/>
  </w:num>
  <w:num w:numId="4" w16cid:durableId="1764260976">
    <w:abstractNumId w:val="19"/>
  </w:num>
  <w:num w:numId="5" w16cid:durableId="1527788284">
    <w:abstractNumId w:val="9"/>
  </w:num>
  <w:num w:numId="6" w16cid:durableId="621499447">
    <w:abstractNumId w:val="1"/>
  </w:num>
  <w:num w:numId="7" w16cid:durableId="98767402">
    <w:abstractNumId w:val="3"/>
  </w:num>
  <w:num w:numId="8" w16cid:durableId="1709254488">
    <w:abstractNumId w:val="4"/>
  </w:num>
  <w:num w:numId="9" w16cid:durableId="2135515560">
    <w:abstractNumId w:val="10"/>
  </w:num>
  <w:num w:numId="10" w16cid:durableId="528681668">
    <w:abstractNumId w:val="7"/>
  </w:num>
  <w:num w:numId="11" w16cid:durableId="20135524">
    <w:abstractNumId w:val="11"/>
  </w:num>
  <w:num w:numId="12" w16cid:durableId="606888547">
    <w:abstractNumId w:val="16"/>
  </w:num>
  <w:num w:numId="13" w16cid:durableId="593246854">
    <w:abstractNumId w:val="26"/>
  </w:num>
  <w:num w:numId="14" w16cid:durableId="1804229538">
    <w:abstractNumId w:val="8"/>
  </w:num>
  <w:num w:numId="15" w16cid:durableId="84083051">
    <w:abstractNumId w:val="2"/>
  </w:num>
  <w:num w:numId="16" w16cid:durableId="1693410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7869197">
    <w:abstractNumId w:val="14"/>
  </w:num>
  <w:num w:numId="18" w16cid:durableId="733235100">
    <w:abstractNumId w:val="5"/>
  </w:num>
  <w:num w:numId="19" w16cid:durableId="2076706011">
    <w:abstractNumId w:val="27"/>
  </w:num>
  <w:num w:numId="20" w16cid:durableId="446312967">
    <w:abstractNumId w:val="0"/>
  </w:num>
  <w:num w:numId="21" w16cid:durableId="662009958">
    <w:abstractNumId w:val="25"/>
  </w:num>
  <w:num w:numId="22" w16cid:durableId="1343050442">
    <w:abstractNumId w:val="13"/>
  </w:num>
  <w:num w:numId="23" w16cid:durableId="112066705">
    <w:abstractNumId w:val="18"/>
  </w:num>
  <w:num w:numId="24" w16cid:durableId="982659122">
    <w:abstractNumId w:val="24"/>
  </w:num>
  <w:num w:numId="25" w16cid:durableId="16809541">
    <w:abstractNumId w:val="12"/>
  </w:num>
  <w:num w:numId="26" w16cid:durableId="842012011">
    <w:abstractNumId w:val="23"/>
  </w:num>
  <w:num w:numId="27" w16cid:durableId="1137798252">
    <w:abstractNumId w:val="20"/>
  </w:num>
  <w:num w:numId="28" w16cid:durableId="14277694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doNotDisplayPageBoundaries/>
  <w:bordersDoNotSurroundHeader/>
  <w:bordersDoNotSurroundFooter/>
  <w:defaultTabStop w:val="840"/>
  <w:drawingGridHorizontalSpacing w:val="110"/>
  <w:drawingGridVerticalSpacing w:val="299"/>
  <w:displayHorizontalDrawingGridEvery w:val="0"/>
  <w:characterSpacingControl w:val="compressPunctuation"/>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C0"/>
    <w:rsid w:val="000631CE"/>
    <w:rsid w:val="00082CB3"/>
    <w:rsid w:val="000F4CE9"/>
    <w:rsid w:val="000F7A1F"/>
    <w:rsid w:val="001837B1"/>
    <w:rsid w:val="001B0E41"/>
    <w:rsid w:val="00247F69"/>
    <w:rsid w:val="00293DA7"/>
    <w:rsid w:val="002C7C74"/>
    <w:rsid w:val="0032425E"/>
    <w:rsid w:val="00480FC0"/>
    <w:rsid w:val="00523A0E"/>
    <w:rsid w:val="0053040E"/>
    <w:rsid w:val="005366A1"/>
    <w:rsid w:val="005B2718"/>
    <w:rsid w:val="005F01C8"/>
    <w:rsid w:val="00602CC5"/>
    <w:rsid w:val="006409B1"/>
    <w:rsid w:val="00667746"/>
    <w:rsid w:val="00680C4D"/>
    <w:rsid w:val="00687061"/>
    <w:rsid w:val="006F2B60"/>
    <w:rsid w:val="00795EB3"/>
    <w:rsid w:val="00796646"/>
    <w:rsid w:val="007C1B78"/>
    <w:rsid w:val="00816D11"/>
    <w:rsid w:val="00826295"/>
    <w:rsid w:val="00830132"/>
    <w:rsid w:val="00835941"/>
    <w:rsid w:val="00861B31"/>
    <w:rsid w:val="009360F1"/>
    <w:rsid w:val="00A61EF3"/>
    <w:rsid w:val="00A731C1"/>
    <w:rsid w:val="00AA5A29"/>
    <w:rsid w:val="00B32CED"/>
    <w:rsid w:val="00B37840"/>
    <w:rsid w:val="00B8645C"/>
    <w:rsid w:val="00C60B01"/>
    <w:rsid w:val="00C63E78"/>
    <w:rsid w:val="00C92EE9"/>
    <w:rsid w:val="00D53427"/>
    <w:rsid w:val="00D9256D"/>
    <w:rsid w:val="00DA2DEA"/>
    <w:rsid w:val="00DA78E4"/>
    <w:rsid w:val="00DD52AB"/>
    <w:rsid w:val="00DE4E10"/>
    <w:rsid w:val="00DF130D"/>
    <w:rsid w:val="00E07EBA"/>
    <w:rsid w:val="00EB28D1"/>
    <w:rsid w:val="00F70664"/>
    <w:rsid w:val="00FB1E09"/>
    <w:rsid w:val="00FC4B1A"/>
    <w:rsid w:val="02341B6A"/>
    <w:rsid w:val="0732D8AD"/>
    <w:rsid w:val="142F6107"/>
    <w:rsid w:val="2302AC0F"/>
    <w:rsid w:val="2F05A6DB"/>
    <w:rsid w:val="37E10FDD"/>
    <w:rsid w:val="425B839D"/>
    <w:rsid w:val="4575F858"/>
    <w:rsid w:val="484F11C3"/>
    <w:rsid w:val="4D7B858A"/>
    <w:rsid w:val="4DB7536F"/>
    <w:rsid w:val="5295F757"/>
    <w:rsid w:val="56805186"/>
    <w:rsid w:val="5AC12A7A"/>
    <w:rsid w:val="5B6171FD"/>
    <w:rsid w:val="5C6A9F4D"/>
    <w:rsid w:val="5E59BB36"/>
    <w:rsid w:val="641858AD"/>
    <w:rsid w:val="66E9C7E2"/>
    <w:rsid w:val="697E2CC7"/>
    <w:rsid w:val="6BBC3DA9"/>
    <w:rsid w:val="6D89729B"/>
    <w:rsid w:val="74BC1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6">
      <v:textbox inset="5.85pt,.7pt,5.85pt,.7pt"/>
    </o:shapedefaults>
    <o:shapelayout v:ext="edit">
      <o:idmap v:ext="edit" data="2"/>
    </o:shapelayout>
  </w:shapeDefaults>
  <w:decimalSymbol w:val="."/>
  <w:listSeparator w:val=","/>
  <w14:docId w14:val="21C9198D"/>
  <w15:chartTrackingRefBased/>
  <w15:docId w15:val="{0261025B-6400-4769-8DA9-857905107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80FC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480FC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80FC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80FC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80FC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80FC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80FC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80FC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80FC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0FC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480FC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80FC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80FC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80FC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80FC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80FC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80FC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80FC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80FC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80F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0FC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80F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80FC0"/>
    <w:pPr>
      <w:spacing w:before="160"/>
      <w:jc w:val="center"/>
    </w:pPr>
    <w:rPr>
      <w:i/>
      <w:iCs/>
      <w:color w:val="404040" w:themeColor="text1" w:themeTint="BF"/>
    </w:rPr>
  </w:style>
  <w:style w:type="character" w:customStyle="1" w:styleId="a8">
    <w:name w:val="引用文 (文字)"/>
    <w:basedOn w:val="a0"/>
    <w:link w:val="a7"/>
    <w:uiPriority w:val="29"/>
    <w:rsid w:val="00480FC0"/>
    <w:rPr>
      <w:i/>
      <w:iCs/>
      <w:color w:val="404040" w:themeColor="text1" w:themeTint="BF"/>
    </w:rPr>
  </w:style>
  <w:style w:type="paragraph" w:styleId="a9">
    <w:name w:val="List Paragraph"/>
    <w:basedOn w:val="a"/>
    <w:uiPriority w:val="34"/>
    <w:qFormat/>
    <w:rsid w:val="00480FC0"/>
    <w:pPr>
      <w:ind w:left="720"/>
      <w:contextualSpacing/>
    </w:pPr>
  </w:style>
  <w:style w:type="character" w:styleId="21">
    <w:name w:val="Intense Emphasis"/>
    <w:basedOn w:val="a0"/>
    <w:uiPriority w:val="21"/>
    <w:qFormat/>
    <w:rsid w:val="00480FC0"/>
    <w:rPr>
      <w:i/>
      <w:iCs/>
      <w:color w:val="0F4761" w:themeColor="accent1" w:themeShade="BF"/>
    </w:rPr>
  </w:style>
  <w:style w:type="paragraph" w:styleId="22">
    <w:name w:val="Intense Quote"/>
    <w:basedOn w:val="a"/>
    <w:next w:val="a"/>
    <w:link w:val="23"/>
    <w:uiPriority w:val="30"/>
    <w:qFormat/>
    <w:rsid w:val="00480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80FC0"/>
    <w:rPr>
      <w:i/>
      <w:iCs/>
      <w:color w:val="0F4761" w:themeColor="accent1" w:themeShade="BF"/>
    </w:rPr>
  </w:style>
  <w:style w:type="character" w:styleId="24">
    <w:name w:val="Intense Reference"/>
    <w:basedOn w:val="a0"/>
    <w:uiPriority w:val="32"/>
    <w:qFormat/>
    <w:rsid w:val="00480FC0"/>
    <w:rPr>
      <w:b/>
      <w:bCs/>
      <w:smallCaps/>
      <w:color w:val="0F4761" w:themeColor="accent1" w:themeShade="BF"/>
      <w:spacing w:val="5"/>
    </w:rPr>
  </w:style>
  <w:style w:type="paragraph" w:styleId="aa">
    <w:name w:val="header"/>
    <w:basedOn w:val="a"/>
    <w:link w:val="ab"/>
    <w:uiPriority w:val="99"/>
    <w:unhideWhenUsed/>
    <w:rsid w:val="00480FC0"/>
    <w:pPr>
      <w:tabs>
        <w:tab w:val="center" w:pos="4252"/>
        <w:tab w:val="right" w:pos="8504"/>
      </w:tabs>
      <w:snapToGrid w:val="0"/>
    </w:pPr>
  </w:style>
  <w:style w:type="character" w:customStyle="1" w:styleId="ab">
    <w:name w:val="ヘッダー (文字)"/>
    <w:basedOn w:val="a0"/>
    <w:link w:val="aa"/>
    <w:uiPriority w:val="99"/>
    <w:rsid w:val="00480FC0"/>
  </w:style>
  <w:style w:type="paragraph" w:styleId="ac">
    <w:name w:val="footer"/>
    <w:basedOn w:val="a"/>
    <w:link w:val="ad"/>
    <w:uiPriority w:val="99"/>
    <w:unhideWhenUsed/>
    <w:rsid w:val="00480FC0"/>
    <w:pPr>
      <w:tabs>
        <w:tab w:val="center" w:pos="4252"/>
        <w:tab w:val="right" w:pos="8504"/>
      </w:tabs>
      <w:snapToGrid w:val="0"/>
    </w:pPr>
  </w:style>
  <w:style w:type="character" w:customStyle="1" w:styleId="ad">
    <w:name w:val="フッター (文字)"/>
    <w:basedOn w:val="a0"/>
    <w:link w:val="ac"/>
    <w:uiPriority w:val="99"/>
    <w:rsid w:val="00480FC0"/>
  </w:style>
  <w:style w:type="paragraph" w:styleId="ae">
    <w:name w:val="footnote text"/>
    <w:basedOn w:val="a"/>
    <w:link w:val="af"/>
    <w:uiPriority w:val="99"/>
    <w:semiHidden/>
    <w:unhideWhenUsed/>
    <w:rsid w:val="00480FC0"/>
    <w:pPr>
      <w:snapToGrid w:val="0"/>
    </w:pPr>
  </w:style>
  <w:style w:type="character" w:customStyle="1" w:styleId="af">
    <w:name w:val="脚注文字列 (文字)"/>
    <w:basedOn w:val="a0"/>
    <w:link w:val="ae"/>
    <w:uiPriority w:val="99"/>
    <w:semiHidden/>
    <w:rsid w:val="00480FC0"/>
  </w:style>
  <w:style w:type="character" w:customStyle="1" w:styleId="11">
    <w:name w:val="ハイパーリンク1"/>
    <w:basedOn w:val="a0"/>
    <w:uiPriority w:val="99"/>
    <w:unhideWhenUsed/>
    <w:rsid w:val="00480FC0"/>
    <w:rPr>
      <w:color w:val="0563C1"/>
      <w:u w:val="single"/>
    </w:rPr>
  </w:style>
  <w:style w:type="character" w:styleId="af0">
    <w:name w:val="footnote reference"/>
    <w:basedOn w:val="a0"/>
    <w:uiPriority w:val="99"/>
    <w:semiHidden/>
    <w:unhideWhenUsed/>
    <w:rsid w:val="00480FC0"/>
    <w:rPr>
      <w:vertAlign w:val="superscript"/>
    </w:rPr>
  </w:style>
  <w:style w:type="paragraph" w:customStyle="1" w:styleId="p1">
    <w:name w:val="p1"/>
    <w:basedOn w:val="a"/>
    <w:rsid w:val="00480FC0"/>
    <w:pPr>
      <w:spacing w:after="0" w:line="240" w:lineRule="auto"/>
    </w:pPr>
    <w:rPr>
      <w:rFonts w:ascii="Helvetica" w:eastAsia="Times New Roman" w:hAnsi="Helvetica" w:cs="Times New Roman"/>
      <w:color w:val="141413"/>
      <w:kern w:val="0"/>
      <w:sz w:val="15"/>
      <w:szCs w:val="15"/>
      <w:lang w:eastAsia="zh-CN"/>
      <w14:ligatures w14:val="none"/>
    </w:rPr>
  </w:style>
  <w:style w:type="paragraph" w:customStyle="1" w:styleId="FN">
    <w:name w:val="FN"/>
    <w:rsid w:val="00480FC0"/>
    <w:pPr>
      <w:spacing w:after="0" w:line="480" w:lineRule="auto"/>
    </w:pPr>
    <w:rPr>
      <w:rFonts w:ascii="Times New Roman" w:eastAsia="Times New Roman" w:hAnsi="Times New Roman" w:cs="Times New Roman"/>
      <w:kern w:val="0"/>
      <w:sz w:val="24"/>
      <w:lang w:eastAsia="en-US"/>
      <w14:ligatures w14:val="none"/>
    </w:rPr>
  </w:style>
  <w:style w:type="character" w:customStyle="1" w:styleId="refpubdateYear">
    <w:name w:val="ref_pubdateYear"/>
    <w:rsid w:val="00480FC0"/>
    <w:rPr>
      <w:rFonts w:ascii="Times New Roman" w:hAnsi="Times New Roman"/>
      <w:color w:val="99CC00"/>
    </w:rPr>
  </w:style>
  <w:style w:type="character" w:customStyle="1" w:styleId="refpage">
    <w:name w:val="ref_page"/>
    <w:rsid w:val="00480FC0"/>
    <w:rPr>
      <w:rFonts w:ascii="Times New Roman" w:hAnsi="Times New Roman"/>
      <w:color w:val="B22222"/>
    </w:rPr>
  </w:style>
  <w:style w:type="character" w:customStyle="1" w:styleId="reforg">
    <w:name w:val="ref_org"/>
    <w:rsid w:val="00480FC0"/>
    <w:rPr>
      <w:rFonts w:ascii="Times New Roman" w:hAnsi="Times New Roman"/>
      <w:color w:val="008080"/>
    </w:rPr>
  </w:style>
  <w:style w:type="character" w:customStyle="1" w:styleId="refjournalTitle">
    <w:name w:val="ref_journalTitle"/>
    <w:rsid w:val="00480FC0"/>
    <w:rPr>
      <w:rFonts w:ascii="Times New Roman" w:hAnsi="Times New Roman"/>
      <w:i/>
      <w:color w:val="FF0000"/>
    </w:rPr>
  </w:style>
  <w:style w:type="character" w:customStyle="1" w:styleId="refauSurName">
    <w:name w:val="ref_auSurName"/>
    <w:rsid w:val="00480FC0"/>
    <w:rPr>
      <w:rFonts w:ascii="Times New Roman" w:hAnsi="Times New Roman"/>
      <w:color w:val="808000"/>
      <w:bdr w:val="none" w:sz="0" w:space="0" w:color="auto"/>
      <w:shd w:val="clear" w:color="auto" w:fill="auto"/>
    </w:rPr>
  </w:style>
  <w:style w:type="character" w:customStyle="1" w:styleId="refauGivenName">
    <w:name w:val="ref_auGivenName"/>
    <w:rsid w:val="00480FC0"/>
    <w:rPr>
      <w:rFonts w:ascii="Times New Roman" w:hAnsi="Times New Roman"/>
      <w:color w:val="993300"/>
      <w:bdr w:val="none" w:sz="0" w:space="0" w:color="auto"/>
      <w:shd w:val="clear" w:color="auto" w:fill="auto"/>
    </w:rPr>
  </w:style>
  <w:style w:type="character" w:customStyle="1" w:styleId="refarticleTitle">
    <w:name w:val="ref_articleTitle"/>
    <w:rsid w:val="00480FC0"/>
    <w:rPr>
      <w:rFonts w:ascii="Times New Roman" w:hAnsi="Times New Roman"/>
      <w:color w:val="0000FF"/>
    </w:rPr>
  </w:style>
  <w:style w:type="character" w:customStyle="1" w:styleId="refvolume">
    <w:name w:val="ref_volume"/>
    <w:rsid w:val="00480FC0"/>
    <w:rPr>
      <w:rFonts w:ascii="Times New Roman" w:hAnsi="Times New Roman"/>
      <w:i/>
      <w:color w:val="EF720B"/>
    </w:rPr>
  </w:style>
  <w:style w:type="character" w:customStyle="1" w:styleId="refpublisher">
    <w:name w:val="ref_publisher"/>
    <w:rsid w:val="00480FC0"/>
    <w:rPr>
      <w:rFonts w:ascii="Times New Roman" w:hAnsi="Times New Roman"/>
      <w:color w:val="333399"/>
    </w:rPr>
  </w:style>
  <w:style w:type="character" w:customStyle="1" w:styleId="refissueNumber">
    <w:name w:val="ref_issueNumber"/>
    <w:rsid w:val="00480FC0"/>
    <w:rPr>
      <w:rFonts w:ascii="Times New Roman" w:hAnsi="Times New Roman"/>
      <w:color w:val="CC99FF"/>
    </w:rPr>
  </w:style>
  <w:style w:type="character" w:customStyle="1" w:styleId="refbookTitle">
    <w:name w:val="ref_bookTitle"/>
    <w:rsid w:val="00480FC0"/>
    <w:rPr>
      <w:rFonts w:ascii="Times New Roman" w:hAnsi="Times New Roman"/>
      <w:i/>
      <w:color w:val="006600"/>
    </w:rPr>
  </w:style>
  <w:style w:type="character" w:styleId="af1">
    <w:name w:val="Hyperlink"/>
    <w:basedOn w:val="a0"/>
    <w:uiPriority w:val="99"/>
    <w:unhideWhenUsed/>
    <w:rsid w:val="00480FC0"/>
    <w:rPr>
      <w:color w:val="467886" w:themeColor="hyperlink"/>
      <w:u w:val="single"/>
    </w:rPr>
  </w:style>
  <w:style w:type="character" w:styleId="af2">
    <w:name w:val="Unresolved Mention"/>
    <w:basedOn w:val="a0"/>
    <w:uiPriority w:val="99"/>
    <w:semiHidden/>
    <w:unhideWhenUsed/>
    <w:rsid w:val="00247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887</Words>
  <Characters>5059</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Fusako Seki</dc:creator>
  <cp:keywords>, docId:9BEBBEBE1941269ED34648DF8C086413</cp:keywords>
  <dc:description/>
  <cp:lastModifiedBy>久夫 佐藤</cp:lastModifiedBy>
  <cp:revision>2</cp:revision>
  <dcterms:created xsi:type="dcterms:W3CDTF">2026-06-09T12:01:00Z</dcterms:created>
  <dcterms:modified xsi:type="dcterms:W3CDTF">2026-06-09T12:01:00Z</dcterms:modified>
</cp:coreProperties>
</file>