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87D8" w14:textId="77777777" w:rsidR="002C0143" w:rsidRPr="003017A5" w:rsidRDefault="002C0143" w:rsidP="002C0143">
      <w:pPr>
        <w:rPr>
          <w:rFonts w:ascii="BIZ UDPゴシック" w:eastAsia="BIZ UDPゴシック" w:hAnsi="BIZ UDPゴシック"/>
          <w:color w:val="000000" w:themeColor="text1"/>
          <w:lang w:eastAsia="ja-JP"/>
        </w:rPr>
      </w:pPr>
      <w:r w:rsidRPr="00857805">
        <w:rPr>
          <w:rFonts w:ascii="BIZ UDPゴシック" w:eastAsia="BIZ UDPゴシック" w:hAnsi="BIZ UDPゴシック"/>
        </w:rPr>
        <w:t>高齢者</w:t>
      </w:r>
      <w:r w:rsidRPr="00857805">
        <w:rPr>
          <w:rFonts w:ascii="BIZ UDPゴシック" w:eastAsia="BIZ UDPゴシック" w:hAnsi="BIZ UDPゴシック" w:hint="eastAsia"/>
          <w:lang w:eastAsia="ja-JP"/>
        </w:rPr>
        <w:t>の人権</w:t>
      </w:r>
      <w:r w:rsidRPr="00857805">
        <w:rPr>
          <w:rFonts w:ascii="BIZ UDPゴシック" w:eastAsia="BIZ UDPゴシック" w:hAnsi="BIZ UDPゴシック"/>
        </w:rPr>
        <w:t>に関する政府間作業部会</w:t>
      </w:r>
      <w:r>
        <w:rPr>
          <w:rFonts w:ascii="BIZ UDPゴシック" w:eastAsia="BIZ UDPゴシック" w:hAnsi="BIZ UDPゴシック" w:hint="eastAsia"/>
          <w:lang w:eastAsia="ja-JP"/>
        </w:rPr>
        <w:t xml:space="preserve">　</w:t>
      </w: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Pr>
          <w:rFonts w:ascii="BIZ UDPゴシック" w:eastAsia="BIZ UDPゴシック" w:hAnsi="BIZ UDPゴシック" w:hint="eastAsia"/>
          <w:color w:val="000000" w:themeColor="text1"/>
          <w:lang w:eastAsia="ja-JP"/>
        </w:rPr>
        <w:t xml:space="preserve">　</w:t>
      </w:r>
      <w:r w:rsidRPr="003017A5">
        <w:rPr>
          <w:rFonts w:ascii="BIZ UDPゴシック" w:eastAsia="BIZ UDPゴシック" w:hAnsi="BIZ UDPゴシック" w:hint="eastAsia"/>
          <w:color w:val="000000" w:themeColor="text1"/>
          <w:lang w:eastAsia="ja-JP"/>
        </w:rPr>
        <w:t>パネル</w:t>
      </w:r>
      <w:r>
        <w:rPr>
          <w:rFonts w:ascii="BIZ UDPゴシック" w:eastAsia="BIZ UDPゴシック" w:hAnsi="BIZ UDPゴシック" w:hint="eastAsia"/>
          <w:color w:val="000000" w:themeColor="text1"/>
          <w:lang w:eastAsia="ja-JP"/>
        </w:rPr>
        <w:t>１</w:t>
      </w:r>
      <w:r w:rsidRPr="003017A5">
        <w:rPr>
          <w:rFonts w:ascii="BIZ UDPゴシック" w:eastAsia="BIZ UDPゴシック" w:hAnsi="BIZ UDPゴシック" w:hint="eastAsia"/>
          <w:color w:val="000000" w:themeColor="text1"/>
          <w:lang w:eastAsia="ja-JP"/>
        </w:rPr>
        <w:t xml:space="preserve">　（</w:t>
      </w:r>
      <w:r w:rsidRPr="00561C04">
        <w:rPr>
          <w:rFonts w:ascii="BIZ UDPゴシック" w:eastAsia="BIZ UDPゴシック" w:hAnsi="BIZ UDPゴシック" w:hint="eastAsia"/>
          <w:lang w:eastAsia="ja-JP"/>
        </w:rPr>
        <w:t>背景の確認</w:t>
      </w:r>
      <w:r w:rsidRPr="003017A5">
        <w:rPr>
          <w:rFonts w:ascii="BIZ UDPゴシック" w:eastAsia="BIZ UDPゴシック" w:hAnsi="BIZ UDPゴシック" w:hint="eastAsia"/>
          <w:color w:val="000000" w:themeColor="text1"/>
          <w:lang w:eastAsia="ja-JP"/>
        </w:rPr>
        <w:t>）</w:t>
      </w:r>
    </w:p>
    <w:p w14:paraId="21136448" w14:textId="77777777" w:rsidR="002C0143" w:rsidRPr="003017A5" w:rsidRDefault="002C0143" w:rsidP="002C0143">
      <w:pPr>
        <w:rPr>
          <w:color w:val="000000" w:themeColor="text1"/>
          <w:lang w:eastAsia="ja-JP"/>
        </w:rPr>
      </w:pPr>
      <w:r w:rsidRPr="003017A5">
        <w:rPr>
          <w:color w:val="000000" w:themeColor="text1"/>
          <w:lang w:eastAsia="ja-JP"/>
        </w:rPr>
        <w:t>2026年2月1</w:t>
      </w:r>
      <w:r>
        <w:rPr>
          <w:rFonts w:hint="eastAsia"/>
          <w:color w:val="000000" w:themeColor="text1"/>
          <w:lang w:eastAsia="ja-JP"/>
        </w:rPr>
        <w:t>8</w:t>
      </w:r>
      <w:r w:rsidRPr="003017A5">
        <w:rPr>
          <w:color w:val="000000" w:themeColor="text1"/>
          <w:lang w:eastAsia="ja-JP"/>
        </w:rPr>
        <w:t>日</w:t>
      </w:r>
    </w:p>
    <w:p w14:paraId="7FFADD78" w14:textId="77777777" w:rsidR="002C0143" w:rsidRDefault="002C0143" w:rsidP="002C0143">
      <w:pPr>
        <w:ind w:leftChars="1" w:left="424" w:hangingChars="201" w:hanging="422"/>
        <w:rPr>
          <w:rFonts w:ascii="BIZ UDPゴシック" w:eastAsia="BIZ UDPゴシック" w:hAnsi="BIZ UDPゴシック"/>
          <w:lang w:eastAsia="ja-JP"/>
        </w:rPr>
      </w:pPr>
    </w:p>
    <w:p w14:paraId="560F3117" w14:textId="77777777" w:rsidR="002C0143" w:rsidRPr="00472F60" w:rsidRDefault="002C0143" w:rsidP="002C0143">
      <w:pPr>
        <w:ind w:leftChars="1" w:left="424" w:hangingChars="201" w:hanging="422"/>
        <w:rPr>
          <w:rFonts w:ascii="BIZ UDPゴシック" w:eastAsia="BIZ UDPゴシック" w:hAnsi="BIZ UDPゴシック"/>
          <w:lang w:eastAsia="ja-JP"/>
        </w:rPr>
      </w:pPr>
      <w:r w:rsidRPr="00472F60">
        <w:rPr>
          <w:rFonts w:ascii="BIZ UDPゴシック" w:eastAsia="BIZ UDPゴシック" w:hAnsi="BIZ UDPゴシック" w:hint="eastAsia"/>
          <w:lang w:eastAsia="ja-JP"/>
        </w:rPr>
        <w:t xml:space="preserve">⑦　</w:t>
      </w:r>
      <w:r w:rsidRPr="00472F60">
        <w:rPr>
          <w:rFonts w:ascii="BIZ UDPゴシック" w:eastAsia="BIZ UDPゴシック" w:hAnsi="BIZ UDPゴシック"/>
          <w:lang w:eastAsia="ja-JP"/>
        </w:rPr>
        <w:t>マリア・ソレダッド・システルナス・レイエス氏、元国連事務総長障害者・アクセシビリティ問題特別代表</w:t>
      </w:r>
    </w:p>
    <w:p w14:paraId="1FDB19CC" w14:textId="77777777" w:rsidR="002C0143" w:rsidRDefault="002C0143" w:rsidP="002C0143">
      <w:pPr>
        <w:rPr>
          <w:lang w:eastAsia="ja-JP"/>
        </w:rPr>
      </w:pPr>
    </w:p>
    <w:p w14:paraId="337963CD" w14:textId="77777777" w:rsidR="002C0143" w:rsidRDefault="002C0143" w:rsidP="002C0143">
      <w:pPr>
        <w:rPr>
          <w:lang w:eastAsia="ja-JP"/>
        </w:rPr>
      </w:pPr>
      <w:r>
        <w:rPr>
          <w:lang w:eastAsia="ja-JP"/>
        </w:rPr>
        <w:t>1.</w:t>
      </w:r>
      <w:r>
        <w:rPr>
          <w:lang w:eastAsia="ja-JP"/>
        </w:rPr>
        <w:tab/>
        <w:t>私たち抜き</w:t>
      </w:r>
      <w:r>
        <w:rPr>
          <w:rFonts w:hint="eastAsia"/>
          <w:lang w:eastAsia="ja-JP"/>
        </w:rPr>
        <w:t>に</w:t>
      </w:r>
      <w:r>
        <w:rPr>
          <w:lang w:eastAsia="ja-JP"/>
        </w:rPr>
        <w:t>、私たち</w:t>
      </w:r>
      <w:r>
        <w:rPr>
          <w:rFonts w:hint="eastAsia"/>
          <w:lang w:eastAsia="ja-JP"/>
        </w:rPr>
        <w:t>のことを決めないで</w:t>
      </w:r>
    </w:p>
    <w:p w14:paraId="52F68E42" w14:textId="77777777" w:rsidR="002C0143" w:rsidRDefault="002C0143" w:rsidP="002C0143">
      <w:pPr>
        <w:ind w:firstLineChars="100" w:firstLine="210"/>
        <w:rPr>
          <w:lang w:eastAsia="ja-JP"/>
        </w:rPr>
      </w:pPr>
      <w:r w:rsidRPr="00002A71">
        <w:rPr>
          <w:lang w:eastAsia="ja-JP"/>
        </w:rPr>
        <w:t>これは、あらゆる人権法規の策定と</w:t>
      </w:r>
      <w:r w:rsidRPr="002465D2">
        <w:rPr>
          <w:rFonts w:hint="eastAsia"/>
          <w:lang w:eastAsia="ja-JP"/>
        </w:rPr>
        <w:t>運用</w:t>
      </w:r>
      <w:r w:rsidRPr="00002A71">
        <w:rPr>
          <w:lang w:eastAsia="ja-JP"/>
        </w:rPr>
        <w:t>において不可欠な条件です。これは、</w:t>
      </w:r>
      <w:r>
        <w:rPr>
          <w:rFonts w:hint="eastAsia"/>
          <w:lang w:eastAsia="ja-JP"/>
        </w:rPr>
        <w:t>この</w:t>
      </w:r>
      <w:r w:rsidRPr="00002A71">
        <w:rPr>
          <w:lang w:eastAsia="ja-JP"/>
        </w:rPr>
        <w:t>条約の参</w:t>
      </w:r>
      <w:r>
        <w:rPr>
          <w:lang w:eastAsia="ja-JP"/>
        </w:rPr>
        <w:t>加型の本質を体現すべき政治的、倫理的、法的原則です。これは、国際条約の起草プロセスにおける高齢者およびその代表組織の完全かつ効果的な参加</w:t>
      </w:r>
      <w:r>
        <w:rPr>
          <w:rFonts w:hint="eastAsia"/>
          <w:lang w:eastAsia="ja-JP"/>
        </w:rPr>
        <w:t>として現わされ、それはこのプロセスの</w:t>
      </w:r>
      <w:r>
        <w:rPr>
          <w:lang w:eastAsia="ja-JP"/>
        </w:rPr>
        <w:t>透明性と正当性にとって不可欠です。この参加は、有意義かつ構造的、制度化され、十分な資金が確保されたものでなければな</w:t>
      </w:r>
      <w:r>
        <w:rPr>
          <w:rFonts w:hint="eastAsia"/>
          <w:lang w:eastAsia="ja-JP"/>
        </w:rPr>
        <w:t>らず</w:t>
      </w:r>
      <w:r>
        <w:rPr>
          <w:lang w:eastAsia="ja-JP"/>
        </w:rPr>
        <w:t>（</w:t>
      </w:r>
      <w:r>
        <w:rPr>
          <w:rFonts w:hint="eastAsia"/>
          <w:lang w:eastAsia="ja-JP"/>
        </w:rPr>
        <w:t>障害者権利</w:t>
      </w:r>
      <w:r>
        <w:rPr>
          <w:lang w:eastAsia="ja-JP"/>
        </w:rPr>
        <w:t>委員会</w:t>
      </w:r>
      <w:r>
        <w:rPr>
          <w:rFonts w:hint="eastAsia"/>
          <w:lang w:eastAsia="ja-JP"/>
        </w:rPr>
        <w:t>一般的意見</w:t>
      </w:r>
      <w:r>
        <w:rPr>
          <w:lang w:eastAsia="ja-JP"/>
        </w:rPr>
        <w:t>第7</w:t>
      </w:r>
      <w:r>
        <w:rPr>
          <w:rFonts w:hint="eastAsia"/>
          <w:lang w:eastAsia="ja-JP"/>
        </w:rPr>
        <w:t>号</w:t>
      </w:r>
      <w:r>
        <w:rPr>
          <w:lang w:eastAsia="ja-JP"/>
        </w:rPr>
        <w:t>）</w:t>
      </w:r>
      <w:r>
        <w:rPr>
          <w:rFonts w:hint="eastAsia"/>
          <w:lang w:eastAsia="ja-JP"/>
        </w:rPr>
        <w:t>、</w:t>
      </w:r>
      <w:r>
        <w:rPr>
          <w:lang w:eastAsia="ja-JP"/>
        </w:rPr>
        <w:t>また、公共政策や規制に影響を与えるものでなければなりません。</w:t>
      </w:r>
    </w:p>
    <w:p w14:paraId="57BC4B33" w14:textId="77777777" w:rsidR="002C0143" w:rsidRDefault="002C0143" w:rsidP="002C0143">
      <w:pPr>
        <w:ind w:firstLineChars="100" w:firstLine="210"/>
        <w:rPr>
          <w:lang w:eastAsia="ja-JP"/>
        </w:rPr>
      </w:pPr>
      <w:r>
        <w:rPr>
          <w:lang w:eastAsia="ja-JP"/>
        </w:rPr>
        <w:t>「私たち抜き</w:t>
      </w:r>
      <w:r>
        <w:rPr>
          <w:rFonts w:hint="eastAsia"/>
          <w:lang w:eastAsia="ja-JP"/>
        </w:rPr>
        <w:t>に</w:t>
      </w:r>
      <w:r>
        <w:rPr>
          <w:lang w:eastAsia="ja-JP"/>
        </w:rPr>
        <w:t>私たち</w:t>
      </w:r>
      <w:r>
        <w:rPr>
          <w:rFonts w:hint="eastAsia"/>
          <w:lang w:eastAsia="ja-JP"/>
        </w:rPr>
        <w:t>のことを決めないで</w:t>
      </w:r>
      <w:r>
        <w:rPr>
          <w:lang w:eastAsia="ja-JP"/>
        </w:rPr>
        <w:t>」という原則は、</w:t>
      </w:r>
      <w:r>
        <w:rPr>
          <w:rFonts w:hint="eastAsia"/>
          <w:lang w:eastAsia="ja-JP"/>
        </w:rPr>
        <w:t>障害者権利条約</w:t>
      </w:r>
      <w:r>
        <w:rPr>
          <w:lang w:eastAsia="ja-JP"/>
        </w:rPr>
        <w:t>の成功の鍵であり、参加</w:t>
      </w:r>
      <w:r>
        <w:rPr>
          <w:rFonts w:hint="eastAsia"/>
          <w:lang w:eastAsia="ja-JP"/>
        </w:rPr>
        <w:t>をめぐる</w:t>
      </w:r>
      <w:r>
        <w:rPr>
          <w:lang w:eastAsia="ja-JP"/>
        </w:rPr>
        <w:t>歴史的</w:t>
      </w:r>
      <w:r>
        <w:rPr>
          <w:rFonts w:hint="eastAsia"/>
          <w:lang w:eastAsia="ja-JP"/>
        </w:rPr>
        <w:t>で</w:t>
      </w:r>
      <w:r>
        <w:rPr>
          <w:lang w:eastAsia="ja-JP"/>
        </w:rPr>
        <w:t>画期的な出来事とな</w:t>
      </w:r>
      <w:r>
        <w:rPr>
          <w:rFonts w:hint="eastAsia"/>
          <w:lang w:eastAsia="ja-JP"/>
        </w:rPr>
        <w:t>りました</w:t>
      </w:r>
      <w:r>
        <w:rPr>
          <w:lang w:eastAsia="ja-JP"/>
        </w:rPr>
        <w:t>。すなわち、</w:t>
      </w:r>
      <w:r>
        <w:rPr>
          <w:rFonts w:hint="eastAsia"/>
          <w:lang w:eastAsia="ja-JP"/>
        </w:rPr>
        <w:t>（起草プロセスでの）</w:t>
      </w:r>
      <w:r>
        <w:rPr>
          <w:lang w:eastAsia="ja-JP"/>
        </w:rPr>
        <w:t>多くの国家代表団への専門家の参加、交渉</w:t>
      </w:r>
      <w:r>
        <w:rPr>
          <w:rFonts w:hint="eastAsia"/>
          <w:lang w:eastAsia="ja-JP"/>
        </w:rPr>
        <w:t>で</w:t>
      </w:r>
      <w:r>
        <w:rPr>
          <w:lang w:eastAsia="ja-JP"/>
        </w:rPr>
        <w:t>の市民社会</w:t>
      </w:r>
      <w:r>
        <w:rPr>
          <w:rFonts w:hint="eastAsia"/>
          <w:lang w:eastAsia="ja-JP"/>
        </w:rPr>
        <w:t>からの発言</w:t>
      </w:r>
      <w:r>
        <w:rPr>
          <w:lang w:eastAsia="ja-JP"/>
        </w:rPr>
        <w:t>、そして国連によるすべての利害関係者の声への傾聴です。今日、この原則は「私たち</w:t>
      </w:r>
      <w:r>
        <w:rPr>
          <w:rFonts w:hint="eastAsia"/>
          <w:lang w:eastAsia="ja-JP"/>
        </w:rPr>
        <w:t>を</w:t>
      </w:r>
      <w:r>
        <w:rPr>
          <w:lang w:eastAsia="ja-JP"/>
        </w:rPr>
        <w:t>抜き</w:t>
      </w:r>
      <w:r>
        <w:rPr>
          <w:rFonts w:hint="eastAsia"/>
          <w:lang w:eastAsia="ja-JP"/>
        </w:rPr>
        <w:t>にするな</w:t>
      </w:r>
      <w:r>
        <w:rPr>
          <w:lang w:eastAsia="ja-JP"/>
        </w:rPr>
        <w:t xml:space="preserve">」と再定義することができます。 </w:t>
      </w:r>
    </w:p>
    <w:p w14:paraId="6D9DB978" w14:textId="77777777" w:rsidR="002C0143" w:rsidRDefault="002C0143" w:rsidP="002C0143">
      <w:pPr>
        <w:ind w:firstLineChars="100" w:firstLine="210"/>
        <w:rPr>
          <w:lang w:eastAsia="ja-JP"/>
        </w:rPr>
      </w:pPr>
      <w:r>
        <w:rPr>
          <w:lang w:eastAsia="ja-JP"/>
        </w:rPr>
        <w:t>高齢者の実体験を認識することは、法律の制定、適用、解釈において正当かつ不可欠な要素です。</w:t>
      </w:r>
    </w:p>
    <w:p w14:paraId="56E1178B" w14:textId="77777777" w:rsidR="002C0143" w:rsidRDefault="002C0143" w:rsidP="002C0143">
      <w:pPr>
        <w:rPr>
          <w:lang w:eastAsia="ja-JP"/>
        </w:rPr>
      </w:pPr>
      <w:r>
        <w:rPr>
          <w:lang w:eastAsia="ja-JP"/>
        </w:rPr>
        <w:t>2.</w:t>
      </w:r>
      <w:r>
        <w:rPr>
          <w:lang w:eastAsia="ja-JP"/>
        </w:rPr>
        <w:tab/>
        <w:t xml:space="preserve">パラダイムシフト。 </w:t>
      </w:r>
    </w:p>
    <w:p w14:paraId="14511F84" w14:textId="77777777" w:rsidR="002C0143" w:rsidRDefault="002C0143" w:rsidP="002C0143">
      <w:pPr>
        <w:ind w:firstLineChars="100" w:firstLine="210"/>
        <w:rPr>
          <w:lang w:eastAsia="ja-JP"/>
        </w:rPr>
      </w:pPr>
      <w:r>
        <w:rPr>
          <w:lang w:eastAsia="ja-JP"/>
        </w:rPr>
        <w:t>これは、福祉</w:t>
      </w:r>
      <w:r>
        <w:rPr>
          <w:rFonts w:hint="eastAsia"/>
          <w:lang w:eastAsia="ja-JP"/>
        </w:rPr>
        <w:t>・</w:t>
      </w:r>
      <w:r>
        <w:rPr>
          <w:lang w:eastAsia="ja-JP"/>
        </w:rPr>
        <w:t>慈善モデル</w:t>
      </w:r>
      <w:r>
        <w:rPr>
          <w:rFonts w:hint="eastAsia"/>
          <w:lang w:eastAsia="ja-JP"/>
        </w:rPr>
        <w:t>の</w:t>
      </w:r>
      <w:r>
        <w:rPr>
          <w:lang w:eastAsia="ja-JP"/>
        </w:rPr>
        <w:t>克服を意味します。</w:t>
      </w:r>
      <w:r>
        <w:rPr>
          <w:rFonts w:hint="eastAsia"/>
          <w:lang w:eastAsia="ja-JP"/>
        </w:rPr>
        <w:t>これらは</w:t>
      </w:r>
      <w:r>
        <w:rPr>
          <w:lang w:eastAsia="ja-JP"/>
        </w:rPr>
        <w:t>高齢者の人権モデル</w:t>
      </w:r>
      <w:r>
        <w:rPr>
          <w:rFonts w:hint="eastAsia"/>
          <w:lang w:eastAsia="ja-JP"/>
        </w:rPr>
        <w:t>の基礎にはなりません。</w:t>
      </w:r>
    </w:p>
    <w:p w14:paraId="0732D3A3" w14:textId="77777777" w:rsidR="002C0143" w:rsidRDefault="002C0143" w:rsidP="002C0143">
      <w:pPr>
        <w:ind w:firstLineChars="100" w:firstLine="210"/>
        <w:rPr>
          <w:lang w:eastAsia="ja-JP"/>
        </w:rPr>
      </w:pPr>
      <w:r>
        <w:rPr>
          <w:lang w:eastAsia="ja-JP"/>
        </w:rPr>
        <w:t>高齢者を完全な権利主体ではなく保護の対象として位置づけること</w:t>
      </w:r>
      <w:r>
        <w:rPr>
          <w:rFonts w:hint="eastAsia"/>
          <w:lang w:eastAsia="ja-JP"/>
        </w:rPr>
        <w:t>によって、</w:t>
      </w:r>
      <w:r>
        <w:rPr>
          <w:lang w:eastAsia="ja-JP"/>
        </w:rPr>
        <w:t>非自発的な施設入所や意思決定の代行といった制限的な慣行が正当化されてしま</w:t>
      </w:r>
      <w:r>
        <w:rPr>
          <w:rFonts w:hint="eastAsia"/>
          <w:lang w:eastAsia="ja-JP"/>
        </w:rPr>
        <w:t>います</w:t>
      </w:r>
      <w:r>
        <w:rPr>
          <w:lang w:eastAsia="ja-JP"/>
        </w:rPr>
        <w:t>。</w:t>
      </w:r>
      <w:r>
        <w:rPr>
          <w:rFonts w:hint="eastAsia"/>
          <w:lang w:eastAsia="ja-JP"/>
        </w:rPr>
        <w:t>そ</w:t>
      </w:r>
      <w:r>
        <w:rPr>
          <w:lang w:eastAsia="ja-JP"/>
        </w:rPr>
        <w:t>れは特に高齢者に障害がある場合に</w:t>
      </w:r>
      <w:r>
        <w:rPr>
          <w:rFonts w:hint="eastAsia"/>
          <w:lang w:eastAsia="ja-JP"/>
        </w:rPr>
        <w:t>おこります</w:t>
      </w:r>
      <w:r>
        <w:rPr>
          <w:lang w:eastAsia="ja-JP"/>
        </w:rPr>
        <w:t>。</w:t>
      </w:r>
    </w:p>
    <w:p w14:paraId="43EDCF09" w14:textId="77777777" w:rsidR="002C0143" w:rsidRDefault="002C0143" w:rsidP="002C0143">
      <w:pPr>
        <w:ind w:firstLineChars="100" w:firstLine="210"/>
        <w:rPr>
          <w:lang w:eastAsia="ja-JP"/>
        </w:rPr>
      </w:pPr>
      <w:r>
        <w:rPr>
          <w:lang w:eastAsia="ja-JP"/>
        </w:rPr>
        <w:t>新しいパラダイムでは、高齢者が権利を行使する際に直面する</w:t>
      </w:r>
      <w:r>
        <w:rPr>
          <w:rFonts w:hint="eastAsia"/>
          <w:lang w:eastAsia="ja-JP"/>
        </w:rPr>
        <w:t>バリア</w:t>
      </w:r>
      <w:r>
        <w:rPr>
          <w:lang w:eastAsia="ja-JP"/>
        </w:rPr>
        <w:t>を特定し、それを排除する国家の義務を明確にします。これは、既存の人権文書では扱われていない権利の領域や側面を、新しい条約に盛り込むことを意味します。</w:t>
      </w:r>
    </w:p>
    <w:p w14:paraId="152C564D" w14:textId="77777777" w:rsidR="002C0143" w:rsidRDefault="002C0143" w:rsidP="002C0143">
      <w:pPr>
        <w:rPr>
          <w:lang w:eastAsia="ja-JP"/>
        </w:rPr>
      </w:pPr>
      <w:r>
        <w:rPr>
          <w:lang w:eastAsia="ja-JP"/>
        </w:rPr>
        <w:t>3.</w:t>
      </w:r>
      <w:r>
        <w:rPr>
          <w:lang w:eastAsia="ja-JP"/>
        </w:rPr>
        <w:tab/>
        <w:t>人権モデルと法の</w:t>
      </w:r>
      <w:r>
        <w:rPr>
          <w:rFonts w:hint="eastAsia"/>
          <w:lang w:eastAsia="ja-JP"/>
        </w:rPr>
        <w:t>主題</w:t>
      </w:r>
    </w:p>
    <w:p w14:paraId="60F78D21" w14:textId="77777777" w:rsidR="002C0143" w:rsidRDefault="002C0143" w:rsidP="002C0143">
      <w:pPr>
        <w:ind w:leftChars="202" w:left="850" w:hangingChars="203" w:hanging="426"/>
        <w:rPr>
          <w:lang w:eastAsia="ja-JP"/>
        </w:rPr>
      </w:pPr>
      <w:r>
        <w:rPr>
          <w:lang w:eastAsia="ja-JP"/>
        </w:rPr>
        <w:t>a.</w:t>
      </w:r>
      <w:r>
        <w:rPr>
          <w:rFonts w:hint="eastAsia"/>
          <w:lang w:eastAsia="ja-JP"/>
        </w:rPr>
        <w:t xml:space="preserve">　</w:t>
      </w:r>
      <w:r>
        <w:rPr>
          <w:lang w:eastAsia="ja-JP"/>
        </w:rPr>
        <w:t>享受する権利：高齢者の人権の促進と保護に関する多国間システムによって法的に認められたすべての権利。</w:t>
      </w:r>
    </w:p>
    <w:p w14:paraId="13EE1DEE" w14:textId="77777777" w:rsidR="002C0143" w:rsidRDefault="002C0143" w:rsidP="002C0143">
      <w:pPr>
        <w:ind w:leftChars="202" w:left="850" w:hangingChars="203" w:hanging="426"/>
        <w:rPr>
          <w:lang w:eastAsia="ja-JP"/>
        </w:rPr>
      </w:pPr>
      <w:r>
        <w:rPr>
          <w:lang w:eastAsia="ja-JP"/>
        </w:rPr>
        <w:t>b.</w:t>
      </w:r>
      <w:r>
        <w:rPr>
          <w:rFonts w:hint="eastAsia"/>
          <w:lang w:eastAsia="ja-JP"/>
        </w:rPr>
        <w:t xml:space="preserve">　</w:t>
      </w:r>
      <w:r>
        <w:rPr>
          <w:lang w:eastAsia="ja-JP"/>
        </w:rPr>
        <w:t>高齢者という集団に基づく権利の多様な行使の承認。</w:t>
      </w:r>
    </w:p>
    <w:p w14:paraId="30FEFF5D" w14:textId="77777777" w:rsidR="002C0143" w:rsidRDefault="002C0143" w:rsidP="002C0143">
      <w:pPr>
        <w:ind w:leftChars="202" w:left="850" w:hangingChars="203" w:hanging="426"/>
        <w:rPr>
          <w:lang w:eastAsia="ja-JP"/>
        </w:rPr>
      </w:pPr>
      <w:r>
        <w:rPr>
          <w:lang w:eastAsia="ja-JP"/>
        </w:rPr>
        <w:t>c.</w:t>
      </w:r>
      <w:r>
        <w:rPr>
          <w:rFonts w:hint="eastAsia"/>
          <w:lang w:eastAsia="ja-JP"/>
        </w:rPr>
        <w:t xml:space="preserve">　</w:t>
      </w:r>
      <w:r>
        <w:rPr>
          <w:lang w:eastAsia="ja-JP"/>
        </w:rPr>
        <w:t>これは、人種差別撤廃条約以降（人種差別、女性、</w:t>
      </w:r>
      <w:r>
        <w:rPr>
          <w:rFonts w:hint="eastAsia"/>
          <w:lang w:eastAsia="ja-JP"/>
        </w:rPr>
        <w:t>子ども</w:t>
      </w:r>
      <w:r>
        <w:rPr>
          <w:lang w:eastAsia="ja-JP"/>
        </w:rPr>
        <w:t>、移民、障害に関する5つの条約）の法理論の発展です。それぞれの集団の特定の状況が考慮され</w:t>
      </w:r>
      <w:r>
        <w:rPr>
          <w:rFonts w:hint="eastAsia"/>
          <w:lang w:eastAsia="ja-JP"/>
        </w:rPr>
        <w:t>ます</w:t>
      </w:r>
      <w:r>
        <w:rPr>
          <w:lang w:eastAsia="ja-JP"/>
        </w:rPr>
        <w:t>。</w:t>
      </w:r>
    </w:p>
    <w:p w14:paraId="41976CB3" w14:textId="77777777" w:rsidR="002C0143" w:rsidRDefault="002C0143" w:rsidP="002C0143">
      <w:pPr>
        <w:rPr>
          <w:lang w:eastAsia="ja-JP"/>
        </w:rPr>
      </w:pPr>
      <w:r>
        <w:rPr>
          <w:lang w:eastAsia="ja-JP"/>
        </w:rPr>
        <w:t xml:space="preserve">4. </w:t>
      </w:r>
      <w:r>
        <w:rPr>
          <w:rFonts w:hint="eastAsia"/>
          <w:lang w:eastAsia="ja-JP"/>
        </w:rPr>
        <w:t xml:space="preserve">　　　生涯</w:t>
      </w:r>
      <w:r>
        <w:rPr>
          <w:lang w:eastAsia="ja-JP"/>
        </w:rPr>
        <w:t xml:space="preserve">アプローチ。 </w:t>
      </w:r>
    </w:p>
    <w:p w14:paraId="6931E7AA" w14:textId="77777777" w:rsidR="002C0143" w:rsidRDefault="002C0143" w:rsidP="002C0143">
      <w:pPr>
        <w:ind w:firstLineChars="100" w:firstLine="210"/>
        <w:rPr>
          <w:lang w:eastAsia="ja-JP"/>
        </w:rPr>
      </w:pPr>
      <w:r>
        <w:rPr>
          <w:lang w:eastAsia="ja-JP"/>
        </w:rPr>
        <w:t>加齢の経験は、誰にとってもライフサイクルの自然な一部です。すべての高齢者</w:t>
      </w:r>
      <w:r>
        <w:rPr>
          <w:rFonts w:hint="eastAsia"/>
          <w:lang w:eastAsia="ja-JP"/>
        </w:rPr>
        <w:t>に</w:t>
      </w:r>
      <w:r>
        <w:rPr>
          <w:lang w:eastAsia="ja-JP"/>
        </w:rPr>
        <w:t>障害</w:t>
      </w:r>
      <w:r>
        <w:rPr>
          <w:rFonts w:hint="eastAsia"/>
          <w:lang w:eastAsia="ja-JP"/>
        </w:rPr>
        <w:t>がある</w:t>
      </w:r>
      <w:r>
        <w:rPr>
          <w:lang w:eastAsia="ja-JP"/>
        </w:rPr>
        <w:t>わけでは</w:t>
      </w:r>
      <w:r>
        <w:rPr>
          <w:rFonts w:hint="eastAsia"/>
          <w:lang w:eastAsia="ja-JP"/>
        </w:rPr>
        <w:t>ありません</w:t>
      </w:r>
      <w:r>
        <w:rPr>
          <w:lang w:eastAsia="ja-JP"/>
        </w:rPr>
        <w:t>が、障害</w:t>
      </w:r>
      <w:r>
        <w:rPr>
          <w:rFonts w:hint="eastAsia"/>
          <w:lang w:eastAsia="ja-JP"/>
        </w:rPr>
        <w:t>のある</w:t>
      </w:r>
      <w:r>
        <w:rPr>
          <w:lang w:eastAsia="ja-JP"/>
        </w:rPr>
        <w:t>高齢者も存在します。高齢者の生活ペースの変</w:t>
      </w:r>
      <w:r>
        <w:rPr>
          <w:lang w:eastAsia="ja-JP"/>
        </w:rPr>
        <w:lastRenderedPageBreak/>
        <w:t>化は、必ずしも機能障害と同義ではないことを強調することが重要です。</w:t>
      </w:r>
      <w:r>
        <w:rPr>
          <w:rFonts w:hint="eastAsia"/>
          <w:lang w:eastAsia="ja-JP"/>
        </w:rPr>
        <w:t>生活ペースの変化</w:t>
      </w:r>
      <w:r>
        <w:rPr>
          <w:lang w:eastAsia="ja-JP"/>
        </w:rPr>
        <w:t>は様々な加齢プロセスに</w:t>
      </w:r>
      <w:r>
        <w:rPr>
          <w:rFonts w:hint="eastAsia"/>
          <w:lang w:eastAsia="ja-JP"/>
        </w:rPr>
        <w:t>見られ、また</w:t>
      </w:r>
      <w:r>
        <w:rPr>
          <w:lang w:eastAsia="ja-JP"/>
        </w:rPr>
        <w:t>人によって異な</w:t>
      </w:r>
      <w:r>
        <w:rPr>
          <w:rFonts w:hint="eastAsia"/>
          <w:lang w:eastAsia="ja-JP"/>
        </w:rPr>
        <w:t>りま</w:t>
      </w:r>
      <w:r>
        <w:rPr>
          <w:lang w:eastAsia="ja-JP"/>
        </w:rPr>
        <w:t>す。</w:t>
      </w:r>
    </w:p>
    <w:p w14:paraId="3A916064" w14:textId="77777777" w:rsidR="002C0143" w:rsidRDefault="002C0143" w:rsidP="002C0143">
      <w:pPr>
        <w:ind w:firstLineChars="100" w:firstLine="210"/>
        <w:rPr>
          <w:lang w:eastAsia="ja-JP"/>
        </w:rPr>
      </w:pPr>
      <w:r>
        <w:rPr>
          <w:lang w:eastAsia="ja-JP"/>
        </w:rPr>
        <w:t>現在、高齢者の人口は約10億人で、世界人口の約12％を占めており、2050年までに21億人に達し、世界人口の22％に</w:t>
      </w:r>
      <w:r>
        <w:rPr>
          <w:rFonts w:hint="eastAsia"/>
          <w:lang w:eastAsia="ja-JP"/>
        </w:rPr>
        <w:t>な</w:t>
      </w:r>
      <w:r>
        <w:rPr>
          <w:lang w:eastAsia="ja-JP"/>
        </w:rPr>
        <w:t>ると推定されます。 一方、障害</w:t>
      </w:r>
      <w:r>
        <w:rPr>
          <w:rFonts w:hint="eastAsia"/>
          <w:lang w:eastAsia="ja-JP"/>
        </w:rPr>
        <w:t>のある</w:t>
      </w:r>
      <w:r>
        <w:rPr>
          <w:lang w:eastAsia="ja-JP"/>
        </w:rPr>
        <w:t>人は世界人口の約16％</w:t>
      </w:r>
      <w:r>
        <w:rPr>
          <w:rFonts w:hint="eastAsia"/>
          <w:lang w:eastAsia="ja-JP"/>
        </w:rPr>
        <w:t>で</w:t>
      </w:r>
      <w:r>
        <w:rPr>
          <w:lang w:eastAsia="ja-JP"/>
        </w:rPr>
        <w:t>、13億人以上に相当します。これらの人口動態の傾向は、</w:t>
      </w:r>
      <w:r>
        <w:rPr>
          <w:rFonts w:hint="eastAsia"/>
          <w:lang w:eastAsia="ja-JP"/>
        </w:rPr>
        <w:t>継続</w:t>
      </w:r>
      <w:r>
        <w:rPr>
          <w:lang w:eastAsia="ja-JP"/>
        </w:rPr>
        <w:t>的な高齢化のプロセを示しており、これが障害と相互作用することで、実質的な平等と社会的包摂のための構造的条件として</w:t>
      </w:r>
      <w:r>
        <w:rPr>
          <w:rFonts w:hint="eastAsia"/>
          <w:lang w:eastAsia="ja-JP"/>
        </w:rPr>
        <w:t>の</w:t>
      </w:r>
      <w:r>
        <w:rPr>
          <w:lang w:eastAsia="ja-JP"/>
        </w:rPr>
        <w:t>、ユニバーサル・アクセシビリティ、インクルーシブ・デザイン、法的能力の行使、および人権に基づくアプローチの重要性</w:t>
      </w:r>
      <w:r>
        <w:rPr>
          <w:rFonts w:hint="eastAsia"/>
          <w:lang w:eastAsia="ja-JP"/>
        </w:rPr>
        <w:t>を一層</w:t>
      </w:r>
      <w:r>
        <w:rPr>
          <w:lang w:eastAsia="ja-JP"/>
        </w:rPr>
        <w:t>強め</w:t>
      </w:r>
      <w:r>
        <w:rPr>
          <w:rFonts w:hint="eastAsia"/>
          <w:lang w:eastAsia="ja-JP"/>
        </w:rPr>
        <w:t>て</w:t>
      </w:r>
      <w:r>
        <w:rPr>
          <w:lang w:eastAsia="ja-JP"/>
        </w:rPr>
        <w:t>います。</w:t>
      </w:r>
    </w:p>
    <w:p w14:paraId="762BAAED" w14:textId="77777777" w:rsidR="002C0143" w:rsidRDefault="002C0143" w:rsidP="002C0143">
      <w:pPr>
        <w:rPr>
          <w:lang w:eastAsia="ja-JP"/>
        </w:rPr>
      </w:pPr>
      <w:r>
        <w:rPr>
          <w:lang w:eastAsia="ja-JP"/>
        </w:rPr>
        <w:t xml:space="preserve">5. 主要概念の特質。 </w:t>
      </w:r>
    </w:p>
    <w:p w14:paraId="044934B2" w14:textId="77777777" w:rsidR="002C0143" w:rsidRDefault="002C0143" w:rsidP="002C0143">
      <w:pPr>
        <w:ind w:leftChars="204" w:left="850" w:hangingChars="201" w:hanging="422"/>
        <w:rPr>
          <w:lang w:eastAsia="ja-JP"/>
        </w:rPr>
      </w:pPr>
      <w:r>
        <w:rPr>
          <w:lang w:eastAsia="ja-JP"/>
        </w:rPr>
        <w:t>a.</w:t>
      </w:r>
      <w:r>
        <w:rPr>
          <w:rFonts w:hint="eastAsia"/>
          <w:lang w:eastAsia="ja-JP"/>
        </w:rPr>
        <w:t xml:space="preserve">　</w:t>
      </w:r>
      <w:r>
        <w:rPr>
          <w:lang w:eastAsia="ja-JP"/>
        </w:rPr>
        <w:t>法の対象。一般に60歳以上と定義され</w:t>
      </w:r>
      <w:r>
        <w:rPr>
          <w:rFonts w:hint="eastAsia"/>
          <w:lang w:eastAsia="ja-JP"/>
        </w:rPr>
        <w:t>ます</w:t>
      </w:r>
      <w:r>
        <w:rPr>
          <w:lang w:eastAsia="ja-JP"/>
        </w:rPr>
        <w:t>。当然ながら、高齢であることは、能力の欠如や障害と同義ではありません。</w:t>
      </w:r>
    </w:p>
    <w:p w14:paraId="0777480A" w14:textId="77777777" w:rsidR="002C0143" w:rsidRDefault="002C0143" w:rsidP="002C0143">
      <w:pPr>
        <w:ind w:leftChars="204" w:left="850" w:hangingChars="201" w:hanging="422"/>
        <w:rPr>
          <w:lang w:eastAsia="ja-JP"/>
        </w:rPr>
      </w:pPr>
      <w:r>
        <w:rPr>
          <w:lang w:eastAsia="ja-JP"/>
        </w:rPr>
        <w:t>b.</w:t>
      </w:r>
      <w:r>
        <w:rPr>
          <w:rFonts w:hint="eastAsia"/>
          <w:lang w:eastAsia="ja-JP"/>
        </w:rPr>
        <w:t xml:space="preserve">　</w:t>
      </w:r>
      <w:r>
        <w:rPr>
          <w:lang w:eastAsia="ja-JP"/>
        </w:rPr>
        <w:t>平等と</w:t>
      </w:r>
      <w:r>
        <w:rPr>
          <w:rFonts w:hint="eastAsia"/>
          <w:lang w:eastAsia="ja-JP"/>
        </w:rPr>
        <w:t>無</w:t>
      </w:r>
      <w:r>
        <w:rPr>
          <w:lang w:eastAsia="ja-JP"/>
        </w:rPr>
        <w:t>差別の軸。新</w:t>
      </w:r>
      <w:r>
        <w:rPr>
          <w:rFonts w:hint="eastAsia"/>
          <w:lang w:eastAsia="ja-JP"/>
        </w:rPr>
        <w:t>条約</w:t>
      </w:r>
      <w:r>
        <w:rPr>
          <w:lang w:eastAsia="ja-JP"/>
        </w:rPr>
        <w:t>における年齢に基づく平等と</w:t>
      </w:r>
      <w:r>
        <w:rPr>
          <w:rFonts w:hint="eastAsia"/>
          <w:lang w:eastAsia="ja-JP"/>
        </w:rPr>
        <w:t>無</w:t>
      </w:r>
      <w:r>
        <w:rPr>
          <w:lang w:eastAsia="ja-JP"/>
        </w:rPr>
        <w:t>差別の保障には、実質的、実体的、あるいは事実上の平等の概念が組み込まれなければなりません。</w:t>
      </w:r>
    </w:p>
    <w:p w14:paraId="06136407" w14:textId="77777777" w:rsidR="002C0143" w:rsidRDefault="002C0143" w:rsidP="002C0143">
      <w:pPr>
        <w:ind w:leftChars="204" w:left="850" w:hangingChars="201" w:hanging="422"/>
        <w:rPr>
          <w:lang w:eastAsia="ja-JP"/>
        </w:rPr>
      </w:pPr>
      <w:r>
        <w:rPr>
          <w:lang w:eastAsia="ja-JP"/>
        </w:rPr>
        <w:t>c.</w:t>
      </w:r>
      <w:r>
        <w:rPr>
          <w:rFonts w:hint="eastAsia"/>
          <w:lang w:eastAsia="ja-JP"/>
        </w:rPr>
        <w:t xml:space="preserve">　</w:t>
      </w:r>
      <w:r>
        <w:rPr>
          <w:lang w:eastAsia="ja-JP"/>
        </w:rPr>
        <w:t>エイジズム</w:t>
      </w:r>
      <w:r>
        <w:rPr>
          <w:rFonts w:hint="eastAsia"/>
          <w:lang w:eastAsia="ja-JP"/>
        </w:rPr>
        <w:t>（年齢差別）</w:t>
      </w:r>
      <w:r>
        <w:rPr>
          <w:lang w:eastAsia="ja-JP"/>
        </w:rPr>
        <w:t>。新条約は、エイジズムが高齢者に対する差別の一形態であり、偏見、固定観念、有害な慣行を伴い、その他の人権侵害を引き起こすものであることを認識しなければなりません。これは、欠陥のある社会的構築物の産物で</w:t>
      </w:r>
      <w:r>
        <w:rPr>
          <w:rFonts w:hint="eastAsia"/>
          <w:lang w:eastAsia="ja-JP"/>
        </w:rPr>
        <w:t>あり</w:t>
      </w:r>
      <w:r>
        <w:rPr>
          <w:lang w:eastAsia="ja-JP"/>
        </w:rPr>
        <w:t>根絶されなければな</w:t>
      </w:r>
      <w:r>
        <w:rPr>
          <w:rFonts w:hint="eastAsia"/>
          <w:lang w:eastAsia="ja-JP"/>
        </w:rPr>
        <w:t>りません</w:t>
      </w:r>
      <w:r>
        <w:rPr>
          <w:lang w:eastAsia="ja-JP"/>
        </w:rPr>
        <w:t>。</w:t>
      </w:r>
    </w:p>
    <w:p w14:paraId="30F12375" w14:textId="77777777" w:rsidR="002C0143" w:rsidRDefault="002C0143" w:rsidP="002C0143">
      <w:pPr>
        <w:ind w:leftChars="204" w:left="850" w:hangingChars="201" w:hanging="422"/>
        <w:rPr>
          <w:lang w:eastAsia="ja-JP"/>
        </w:rPr>
      </w:pPr>
      <w:r>
        <w:rPr>
          <w:lang w:eastAsia="ja-JP"/>
        </w:rPr>
        <w:t>d.</w:t>
      </w:r>
      <w:r>
        <w:rPr>
          <w:rFonts w:hint="eastAsia"/>
          <w:lang w:eastAsia="ja-JP"/>
        </w:rPr>
        <w:t xml:space="preserve">　</w:t>
      </w:r>
      <w:r>
        <w:rPr>
          <w:lang w:eastAsia="ja-JP"/>
        </w:rPr>
        <w:t xml:space="preserve">権利行使の鍵となる合理的配慮。 </w:t>
      </w:r>
    </w:p>
    <w:p w14:paraId="2DE9FAD9" w14:textId="77777777" w:rsidR="002C0143" w:rsidRDefault="002C0143" w:rsidP="002C0143">
      <w:pPr>
        <w:ind w:leftChars="404" w:left="848" w:firstLineChars="100" w:firstLine="210"/>
        <w:rPr>
          <w:lang w:eastAsia="ja-JP"/>
        </w:rPr>
      </w:pPr>
      <w:r>
        <w:rPr>
          <w:rFonts w:hint="eastAsia"/>
          <w:lang w:eastAsia="ja-JP"/>
        </w:rPr>
        <w:t>「合理的配慮」とは、高齢者が他者と平等な立場ですべての人権及び基本的自由を協</w:t>
      </w:r>
      <w:r>
        <w:rPr>
          <w:lang w:eastAsia="ja-JP"/>
        </w:rPr>
        <w:t>受し、行使できるよう確保するために、特定の事例において必要とされる、不均衡または過度の負担を課さない、必要かつ適切な変更および調整を意味します。</w:t>
      </w:r>
      <w:r>
        <w:rPr>
          <w:rFonts w:hint="eastAsia"/>
          <w:lang w:eastAsia="ja-JP"/>
        </w:rPr>
        <w:t>差別</w:t>
      </w:r>
      <w:r>
        <w:rPr>
          <w:lang w:eastAsia="ja-JP"/>
        </w:rPr>
        <w:t xml:space="preserve">には、合理的配慮の拒否を含むあらゆる形態の差別が含まれます。 </w:t>
      </w:r>
    </w:p>
    <w:p w14:paraId="04492B48" w14:textId="77777777" w:rsidR="002C0143" w:rsidRDefault="002C0143" w:rsidP="002C0143">
      <w:pPr>
        <w:rPr>
          <w:lang w:eastAsia="ja-JP"/>
        </w:rPr>
      </w:pPr>
      <w:r>
        <w:rPr>
          <w:lang w:eastAsia="ja-JP"/>
        </w:rPr>
        <w:t xml:space="preserve">6. 交差性／権利保有者の多様性。  </w:t>
      </w:r>
    </w:p>
    <w:p w14:paraId="060E1179" w14:textId="77777777" w:rsidR="002C0143" w:rsidRDefault="002C0143" w:rsidP="002C0143">
      <w:pPr>
        <w:ind w:firstLineChars="100" w:firstLine="210"/>
        <w:rPr>
          <w:lang w:eastAsia="ja-JP"/>
        </w:rPr>
      </w:pPr>
      <w:r>
        <w:rPr>
          <w:lang w:eastAsia="ja-JP"/>
        </w:rPr>
        <w:t>本条約は、高齢者が多様</w:t>
      </w:r>
      <w:r>
        <w:rPr>
          <w:rFonts w:hint="eastAsia"/>
          <w:lang w:eastAsia="ja-JP"/>
        </w:rPr>
        <w:t>で均質ではない</w:t>
      </w:r>
      <w:r>
        <w:rPr>
          <w:lang w:eastAsia="ja-JP"/>
        </w:rPr>
        <w:t>集団であることを考慮しなければなりません。</w:t>
      </w:r>
      <w:r>
        <w:rPr>
          <w:rFonts w:hint="eastAsia"/>
          <w:lang w:eastAsia="ja-JP"/>
        </w:rPr>
        <w:t>そのため</w:t>
      </w:r>
      <w:r>
        <w:rPr>
          <w:lang w:eastAsia="ja-JP"/>
        </w:rPr>
        <w:t>、例えば高齢女性、高齢先住民、高齢障害者などに対する差別を含む、交差的、多重的かつ累積的な差別が生じ</w:t>
      </w:r>
      <w:r>
        <w:rPr>
          <w:rFonts w:hint="eastAsia"/>
          <w:lang w:eastAsia="ja-JP"/>
        </w:rPr>
        <w:t>ます</w:t>
      </w:r>
      <w:r>
        <w:rPr>
          <w:lang w:eastAsia="ja-JP"/>
        </w:rPr>
        <w:t>。</w:t>
      </w:r>
    </w:p>
    <w:p w14:paraId="64C0F7CB" w14:textId="77777777" w:rsidR="002C0143" w:rsidRDefault="002C0143" w:rsidP="002C0143">
      <w:pPr>
        <w:ind w:firstLineChars="100" w:firstLine="210"/>
        <w:rPr>
          <w:lang w:eastAsia="ja-JP"/>
        </w:rPr>
      </w:pPr>
      <w:r>
        <w:rPr>
          <w:rFonts w:hint="eastAsia"/>
          <w:lang w:eastAsia="ja-JP"/>
        </w:rPr>
        <w:t>法律</w:t>
      </w:r>
      <w:r>
        <w:rPr>
          <w:lang w:eastAsia="ja-JP"/>
        </w:rPr>
        <w:t>上の特定の対象</w:t>
      </w:r>
      <w:r>
        <w:rPr>
          <w:rFonts w:hint="eastAsia"/>
          <w:lang w:eastAsia="ja-JP"/>
        </w:rPr>
        <w:t>となる</w:t>
      </w:r>
      <w:r>
        <w:rPr>
          <w:lang w:eastAsia="ja-JP"/>
        </w:rPr>
        <w:t>「年齢」と「障害」の交差性は、</w:t>
      </w:r>
      <w:r>
        <w:rPr>
          <w:rFonts w:hint="eastAsia"/>
          <w:lang w:eastAsia="ja-JP"/>
        </w:rPr>
        <w:t>明確</w:t>
      </w:r>
      <w:r>
        <w:rPr>
          <w:lang w:eastAsia="ja-JP"/>
        </w:rPr>
        <w:t>に条約に盛り込むことで、混乱を回避できます。</w:t>
      </w:r>
    </w:p>
    <w:p w14:paraId="59EF005C" w14:textId="77777777" w:rsidR="002C0143" w:rsidRDefault="002C0143" w:rsidP="002C0143">
      <w:pPr>
        <w:ind w:firstLineChars="100" w:firstLine="210"/>
        <w:rPr>
          <w:lang w:eastAsia="ja-JP"/>
        </w:rPr>
      </w:pPr>
      <w:r>
        <w:rPr>
          <w:lang w:eastAsia="ja-JP"/>
        </w:rPr>
        <w:t>法的な観点から、得られた教訓は明らかです。すなわち、実質的な平等を見失うことなく、交差性を</w:t>
      </w:r>
      <w:r>
        <w:rPr>
          <w:rFonts w:hint="eastAsia"/>
          <w:lang w:eastAsia="ja-JP"/>
        </w:rPr>
        <w:t>明確</w:t>
      </w:r>
      <w:r>
        <w:rPr>
          <w:lang w:eastAsia="ja-JP"/>
        </w:rPr>
        <w:t>に認識し、多様で効果的かつ柔軟な対応を可能にする規則こそが、最も効果的なものです。</w:t>
      </w:r>
    </w:p>
    <w:p w14:paraId="40EDAC8D" w14:textId="77777777" w:rsidR="002C0143" w:rsidRDefault="002C0143" w:rsidP="002C0143">
      <w:pPr>
        <w:ind w:firstLineChars="100" w:firstLine="210"/>
        <w:rPr>
          <w:lang w:eastAsia="ja-JP"/>
        </w:rPr>
      </w:pPr>
      <w:r>
        <w:rPr>
          <w:lang w:eastAsia="ja-JP"/>
        </w:rPr>
        <w:t>交差性へのアプローチには、学際的な視点が不可欠です。</w:t>
      </w:r>
    </w:p>
    <w:p w14:paraId="790182F9" w14:textId="77777777" w:rsidR="002C0143" w:rsidRDefault="002C0143" w:rsidP="002C0143">
      <w:pPr>
        <w:rPr>
          <w:lang w:eastAsia="ja-JP"/>
        </w:rPr>
      </w:pPr>
      <w:r>
        <w:rPr>
          <w:lang w:eastAsia="ja-JP"/>
        </w:rPr>
        <w:t>7. 補完性。</w:t>
      </w:r>
    </w:p>
    <w:p w14:paraId="4A0A7DEC" w14:textId="77777777" w:rsidR="002C0143" w:rsidRDefault="002C0143" w:rsidP="002C0143">
      <w:pPr>
        <w:ind w:firstLineChars="100" w:firstLine="210"/>
        <w:rPr>
          <w:lang w:eastAsia="ja-JP"/>
        </w:rPr>
      </w:pPr>
      <w:r>
        <w:rPr>
          <w:lang w:eastAsia="ja-JP"/>
        </w:rPr>
        <w:t>高齢者に関する条約は、その構想と規定において構造的に</w:t>
      </w:r>
      <w:r>
        <w:rPr>
          <w:rFonts w:hint="eastAsia"/>
          <w:lang w:eastAsia="ja-JP"/>
        </w:rPr>
        <w:t>頑丈なもの</w:t>
      </w:r>
      <w:r>
        <w:rPr>
          <w:lang w:eastAsia="ja-JP"/>
        </w:rPr>
        <w:t>あると同時に、人権の促進と保護に関する国際システム全体を補完し、それを完成させるものでなければなりません。また国内および国際レベルでの新たな</w:t>
      </w:r>
      <w:r>
        <w:rPr>
          <w:rFonts w:hint="eastAsia"/>
          <w:lang w:eastAsia="ja-JP"/>
        </w:rPr>
        <w:t>法令の土台</w:t>
      </w:r>
      <w:r>
        <w:rPr>
          <w:lang w:eastAsia="ja-JP"/>
        </w:rPr>
        <w:t>となるものでなければなりません。</w:t>
      </w:r>
    </w:p>
    <w:p w14:paraId="0F8D9D21" w14:textId="77777777" w:rsidR="002C0143" w:rsidRDefault="002C0143" w:rsidP="002C0143">
      <w:pPr>
        <w:rPr>
          <w:lang w:eastAsia="ja-JP"/>
        </w:rPr>
      </w:pPr>
      <w:r>
        <w:rPr>
          <w:lang w:eastAsia="ja-JP"/>
        </w:rPr>
        <w:lastRenderedPageBreak/>
        <w:t xml:space="preserve">8. 法的解釈。 </w:t>
      </w:r>
    </w:p>
    <w:p w14:paraId="46D1BF06" w14:textId="77777777" w:rsidR="002C0143" w:rsidRDefault="002C0143" w:rsidP="002C0143">
      <w:pPr>
        <w:ind w:firstLineChars="100" w:firstLine="210"/>
        <w:rPr>
          <w:lang w:eastAsia="ja-JP"/>
        </w:rPr>
      </w:pPr>
      <w:r>
        <w:rPr>
          <w:lang w:eastAsia="ja-JP"/>
        </w:rPr>
        <w:t>権利の主体としての高齢者に対しては、常に最善の基準が適用されなければなりません。これは、</w:t>
      </w:r>
      <w:r>
        <w:rPr>
          <w:rFonts w:hint="eastAsia"/>
          <w:lang w:eastAsia="ja-JP"/>
        </w:rPr>
        <w:t>障害者権利条約</w:t>
      </w:r>
      <w:r>
        <w:rPr>
          <w:lang w:eastAsia="ja-JP"/>
        </w:rPr>
        <w:t>を含む法的規範の交差を意味し、そこから高齢者および障害のある高齢者にとって最も有利な基準が導き出され</w:t>
      </w:r>
      <w:r>
        <w:rPr>
          <w:rFonts w:hint="eastAsia"/>
          <w:lang w:eastAsia="ja-JP"/>
        </w:rPr>
        <w:t>ます</w:t>
      </w:r>
      <w:r>
        <w:rPr>
          <w:lang w:eastAsia="ja-JP"/>
        </w:rPr>
        <w:t>。</w:t>
      </w:r>
    </w:p>
    <w:p w14:paraId="779A2051" w14:textId="77777777" w:rsidR="002C0143" w:rsidRDefault="002C0143" w:rsidP="002C0143">
      <w:pPr>
        <w:rPr>
          <w:lang w:eastAsia="ja-JP"/>
        </w:rPr>
      </w:pPr>
      <w:r>
        <w:rPr>
          <w:lang w:eastAsia="ja-JP"/>
        </w:rPr>
        <w:t>9. 普遍的かつ横断的な遵守。</w:t>
      </w:r>
    </w:p>
    <w:p w14:paraId="6ED6CD24" w14:textId="77777777" w:rsidR="002C0143" w:rsidRDefault="002C0143" w:rsidP="002C0143">
      <w:pPr>
        <w:ind w:firstLineChars="100" w:firstLine="210"/>
        <w:rPr>
          <w:lang w:eastAsia="ja-JP"/>
        </w:rPr>
      </w:pPr>
      <w:r>
        <w:rPr>
          <w:lang w:eastAsia="ja-JP"/>
        </w:rPr>
        <w:t>他</w:t>
      </w:r>
      <w:r>
        <w:rPr>
          <w:rFonts w:hint="eastAsia"/>
          <w:lang w:eastAsia="ja-JP"/>
        </w:rPr>
        <w:t>の</w:t>
      </w:r>
      <w:r>
        <w:rPr>
          <w:lang w:eastAsia="ja-JP"/>
        </w:rPr>
        <w:t>者と</w:t>
      </w:r>
      <w:r>
        <w:rPr>
          <w:rFonts w:hint="eastAsia"/>
          <w:lang w:eastAsia="ja-JP"/>
        </w:rPr>
        <w:t>平等に</w:t>
      </w:r>
      <w:r>
        <w:rPr>
          <w:lang w:eastAsia="ja-JP"/>
        </w:rPr>
        <w:t>高齢者の権利を促進し、保護し、その完全な享受を確保することが本条約の目的であり、これは例外なく、国家、企業／民間部門、そして社会全体によって履行されなければなりません。</w:t>
      </w:r>
    </w:p>
    <w:p w14:paraId="4188D8E3" w14:textId="77777777" w:rsidR="002C0143" w:rsidRDefault="002C0143" w:rsidP="002C0143">
      <w:pPr>
        <w:rPr>
          <w:lang w:eastAsia="ja-JP"/>
        </w:rPr>
      </w:pPr>
      <w:r>
        <w:rPr>
          <w:lang w:eastAsia="ja-JP"/>
        </w:rPr>
        <w:t>10. 説明責任。</w:t>
      </w:r>
    </w:p>
    <w:p w14:paraId="39F54B37" w14:textId="77777777" w:rsidR="002C0143" w:rsidRDefault="002C0143" w:rsidP="002C0143">
      <w:pPr>
        <w:ind w:firstLineChars="100" w:firstLine="210"/>
        <w:rPr>
          <w:lang w:eastAsia="ja-JP"/>
        </w:rPr>
      </w:pPr>
      <w:r>
        <w:rPr>
          <w:lang w:eastAsia="ja-JP"/>
        </w:rPr>
        <w:t>私が以前実施した研究では、高齢者に関する条約が存在しないことから、条約</w:t>
      </w:r>
      <w:r>
        <w:rPr>
          <w:rFonts w:hint="eastAsia"/>
          <w:lang w:eastAsia="ja-JP"/>
        </w:rPr>
        <w:t>体</w:t>
      </w:r>
      <w:r>
        <w:rPr>
          <w:lang w:eastAsia="ja-JP"/>
        </w:rPr>
        <w:t>の勧告のうち高齢者に言及しているものはわずか0.74%に過ぎ</w:t>
      </w:r>
      <w:r>
        <w:rPr>
          <w:rFonts w:hint="eastAsia"/>
          <w:lang w:eastAsia="ja-JP"/>
        </w:rPr>
        <w:t>ませんでした</w:t>
      </w:r>
      <w:r>
        <w:rPr>
          <w:lang w:eastAsia="ja-JP"/>
        </w:rPr>
        <w:t>。</w:t>
      </w:r>
      <w:r>
        <w:rPr>
          <w:rFonts w:hint="eastAsia"/>
          <w:lang w:eastAsia="ja-JP"/>
        </w:rPr>
        <w:t>障害者権利</w:t>
      </w:r>
      <w:r>
        <w:rPr>
          <w:lang w:eastAsia="ja-JP"/>
        </w:rPr>
        <w:t>委員会による</w:t>
      </w:r>
      <w:r>
        <w:rPr>
          <w:rFonts w:hint="eastAsia"/>
          <w:lang w:eastAsia="ja-JP"/>
        </w:rPr>
        <w:t>勧告ではその</w:t>
      </w:r>
      <w:r>
        <w:rPr>
          <w:lang w:eastAsia="ja-JP"/>
        </w:rPr>
        <w:t>言及は6.5%</w:t>
      </w:r>
      <w:r>
        <w:rPr>
          <w:rFonts w:hint="eastAsia"/>
          <w:lang w:eastAsia="ja-JP"/>
        </w:rPr>
        <w:t>でし</w:t>
      </w:r>
      <w:r>
        <w:rPr>
          <w:lang w:eastAsia="ja-JP"/>
        </w:rPr>
        <w:t>た。</w:t>
      </w:r>
      <w:r>
        <w:rPr>
          <w:rFonts w:hint="eastAsia"/>
          <w:lang w:eastAsia="ja-JP"/>
        </w:rPr>
        <w:t>こうして</w:t>
      </w:r>
      <w:r>
        <w:rPr>
          <w:lang w:eastAsia="ja-JP"/>
        </w:rPr>
        <w:t>、高齢者に関する条約とその交差的アプローチの必要性が明らかにな</w:t>
      </w:r>
      <w:r>
        <w:rPr>
          <w:rFonts w:hint="eastAsia"/>
          <w:lang w:eastAsia="ja-JP"/>
        </w:rPr>
        <w:t>りました</w:t>
      </w:r>
      <w:r>
        <w:rPr>
          <w:lang w:eastAsia="ja-JP"/>
        </w:rPr>
        <w:t xml:space="preserve">。 </w:t>
      </w:r>
    </w:p>
    <w:p w14:paraId="12535327" w14:textId="77777777" w:rsidR="002C0143" w:rsidRDefault="002C0143" w:rsidP="002C0143">
      <w:pPr>
        <w:rPr>
          <w:lang w:eastAsia="ja-JP"/>
        </w:rPr>
      </w:pPr>
      <w:r>
        <w:rPr>
          <w:lang w:eastAsia="ja-JP"/>
        </w:rPr>
        <w:t>11. 社会の再構築。</w:t>
      </w:r>
    </w:p>
    <w:p w14:paraId="21A9AE4D" w14:textId="77777777" w:rsidR="002C0143" w:rsidRDefault="002C0143" w:rsidP="002C0143">
      <w:pPr>
        <w:ind w:firstLineChars="100" w:firstLine="210"/>
        <w:rPr>
          <w:lang w:eastAsia="ja-JP"/>
        </w:rPr>
      </w:pPr>
      <w:r>
        <w:rPr>
          <w:lang w:eastAsia="ja-JP"/>
        </w:rPr>
        <w:t>我々はインクルージョンの時代にあり、これは社会の</w:t>
      </w:r>
      <w:r>
        <w:rPr>
          <w:rFonts w:hint="eastAsia"/>
          <w:lang w:eastAsia="ja-JP"/>
        </w:rPr>
        <w:t>出発点</w:t>
      </w:r>
      <w:r>
        <w:rPr>
          <w:lang w:eastAsia="ja-JP"/>
        </w:rPr>
        <w:t>から、国家、その機関、そして教育が、権利保有者の多様な視点に基づき、交差的アプローチをもって構想されなければならないことを意味します。</w:t>
      </w:r>
      <w:r w:rsidRPr="00F26C0D">
        <w:rPr>
          <w:rFonts w:hint="eastAsia"/>
          <w:lang w:eastAsia="ja-JP"/>
        </w:rPr>
        <w:t>したがって、高齢者を対象とした人権条約は、単なる形式的な役割を果たすものではなく、また、現行の条約を修正したり、部分的な改善をもたらしたりするものでも</w:t>
      </w:r>
      <w:r>
        <w:rPr>
          <w:rFonts w:hint="eastAsia"/>
          <w:lang w:eastAsia="ja-JP"/>
        </w:rPr>
        <w:t>ありません</w:t>
      </w:r>
      <w:r w:rsidRPr="00F26C0D">
        <w:rPr>
          <w:rFonts w:hint="eastAsia"/>
          <w:lang w:eastAsia="ja-JP"/>
        </w:rPr>
        <w:t>。</w:t>
      </w:r>
      <w:r>
        <w:rPr>
          <w:lang w:eastAsia="ja-JP"/>
        </w:rPr>
        <w:t>この条約は、民主的な法の支配とその多様性に関する堅固かつ首尾一貫した概念を確立するための法的効力を</w:t>
      </w:r>
      <w:r>
        <w:rPr>
          <w:rFonts w:hint="eastAsia"/>
          <w:lang w:eastAsia="ja-JP"/>
        </w:rPr>
        <w:t>もつ</w:t>
      </w:r>
      <w:r>
        <w:rPr>
          <w:lang w:eastAsia="ja-JP"/>
        </w:rPr>
        <w:t xml:space="preserve">ものです。 </w:t>
      </w:r>
    </w:p>
    <w:p w14:paraId="05907D1E" w14:textId="77777777" w:rsidR="002C0143" w:rsidRDefault="002C0143" w:rsidP="002C0143">
      <w:pPr>
        <w:ind w:firstLineChars="100" w:firstLine="210"/>
        <w:rPr>
          <w:lang w:eastAsia="ja-JP"/>
        </w:rPr>
      </w:pPr>
      <w:r>
        <w:rPr>
          <w:lang w:eastAsia="ja-JP"/>
        </w:rPr>
        <w:t>「国際的および国内レベルでの</w:t>
      </w:r>
      <w:r>
        <w:rPr>
          <w:rFonts w:hint="eastAsia"/>
          <w:lang w:eastAsia="ja-JP"/>
        </w:rPr>
        <w:t>これまでの</w:t>
      </w:r>
      <w:r>
        <w:rPr>
          <w:lang w:eastAsia="ja-JP"/>
        </w:rPr>
        <w:t>経験に基づき、高齢者の人権保護——特に高齢と障害が交差する領域において——を最も効果的に推進してきた重要な視点、実体験、あるいは教訓は何で</w:t>
      </w:r>
      <w:r>
        <w:rPr>
          <w:rFonts w:hint="eastAsia"/>
          <w:lang w:eastAsia="ja-JP"/>
        </w:rPr>
        <w:t>す</w:t>
      </w:r>
      <w:r>
        <w:rPr>
          <w:lang w:eastAsia="ja-JP"/>
        </w:rPr>
        <w:t>か。また、これらの知見は、より強力で首尾一貫した法的保護に向けた次の</w:t>
      </w:r>
      <w:r>
        <w:rPr>
          <w:rFonts w:hint="eastAsia"/>
          <w:lang w:eastAsia="ja-JP"/>
        </w:rPr>
        <w:t>段階</w:t>
      </w:r>
      <w:r>
        <w:rPr>
          <w:lang w:eastAsia="ja-JP"/>
        </w:rPr>
        <w:t>にどのように活かされ</w:t>
      </w:r>
      <w:r>
        <w:rPr>
          <w:rFonts w:hint="eastAsia"/>
          <w:lang w:eastAsia="ja-JP"/>
        </w:rPr>
        <w:t>ます</w:t>
      </w:r>
      <w:r>
        <w:rPr>
          <w:lang w:eastAsia="ja-JP"/>
        </w:rPr>
        <w:t>か？」</w:t>
      </w:r>
    </w:p>
    <w:p w14:paraId="131CA3C5" w14:textId="77777777" w:rsidR="002C0143" w:rsidRDefault="002C0143" w:rsidP="002C0143">
      <w:pPr>
        <w:ind w:firstLineChars="100" w:firstLine="210"/>
        <w:rPr>
          <w:lang w:eastAsia="ja-JP"/>
        </w:rPr>
      </w:pPr>
    </w:p>
    <w:p w14:paraId="4CC37510" w14:textId="77777777" w:rsidR="002C0143" w:rsidRDefault="002C0143" w:rsidP="002C0143">
      <w:pPr>
        <w:ind w:firstLineChars="100" w:firstLine="210"/>
        <w:jc w:val="right"/>
        <w:rPr>
          <w:lang w:eastAsia="ja-JP"/>
        </w:rPr>
      </w:pPr>
      <w:r>
        <w:rPr>
          <w:rFonts w:hint="eastAsia"/>
          <w:lang w:eastAsia="ja-JP"/>
        </w:rPr>
        <w:t>（翻訳・佐藤久夫、鈴木靜）</w:t>
      </w:r>
    </w:p>
    <w:p w14:paraId="1C1288C8" w14:textId="77777777" w:rsidR="000B2AFD" w:rsidRDefault="000B2AFD"/>
    <w:sectPr w:rsidR="000B2AFD" w:rsidSect="006A05DC">
      <w:footerReference w:type="even" r:id="rId6"/>
      <w:footerReference w:type="default" r:id="rId7"/>
      <w:footerReference w:type="first" r:id="rId8"/>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7787" w14:textId="77777777" w:rsidR="002C0143" w:rsidRDefault="002C0143" w:rsidP="002C0143">
      <w:r>
        <w:separator/>
      </w:r>
    </w:p>
  </w:endnote>
  <w:endnote w:type="continuationSeparator" w:id="0">
    <w:p w14:paraId="2669DBE2" w14:textId="77777777" w:rsidR="002C0143" w:rsidRDefault="002C0143" w:rsidP="002C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645866"/>
      <w:docPartObj>
        <w:docPartGallery w:val="Page Numbers (Bottom of Page)"/>
        <w:docPartUnique/>
      </w:docPartObj>
    </w:sdtPr>
    <w:sdtContent>
      <w:p w14:paraId="4B1C8D67" w14:textId="69211F5A" w:rsidR="002C0143" w:rsidRDefault="002C0143">
        <w:pPr>
          <w:pStyle w:val="ac"/>
        </w:pPr>
        <w:r>
          <w:fldChar w:fldCharType="begin"/>
        </w:r>
        <w:r>
          <w:instrText>PAGE   \* MERGEFORMAT</w:instrText>
        </w:r>
        <w:r>
          <w:fldChar w:fldCharType="separate"/>
        </w:r>
        <w:r>
          <w:rPr>
            <w:lang w:val="ja-JP" w:eastAsia="ja-JP"/>
          </w:rPr>
          <w:t>2</w:t>
        </w:r>
        <w:r>
          <w:fldChar w:fldCharType="end"/>
        </w:r>
      </w:p>
    </w:sdtContent>
  </w:sdt>
  <w:p w14:paraId="506BA34C" w14:textId="77777777" w:rsidR="002C0143" w:rsidRDefault="002C014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36310"/>
      <w:docPartObj>
        <w:docPartGallery w:val="Page Numbers (Bottom of Page)"/>
        <w:docPartUnique/>
      </w:docPartObj>
    </w:sdtPr>
    <w:sdtContent>
      <w:p w14:paraId="3D07877A" w14:textId="47332D5E" w:rsidR="002C0143" w:rsidRDefault="002C0143">
        <w:pPr>
          <w:pStyle w:val="ac"/>
        </w:pPr>
        <w:r>
          <w:fldChar w:fldCharType="begin"/>
        </w:r>
        <w:r>
          <w:instrText>PAGE   \* MERGEFORMAT</w:instrText>
        </w:r>
        <w:r>
          <w:fldChar w:fldCharType="separate"/>
        </w:r>
        <w:r>
          <w:rPr>
            <w:lang w:val="ja-JP" w:eastAsia="ja-JP"/>
          </w:rPr>
          <w:t>2</w:t>
        </w:r>
        <w:r>
          <w:fldChar w:fldCharType="end"/>
        </w:r>
      </w:p>
    </w:sdtContent>
  </w:sdt>
  <w:p w14:paraId="185122AF" w14:textId="77777777" w:rsidR="002C0143" w:rsidRDefault="002C014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110640"/>
      <w:docPartObj>
        <w:docPartGallery w:val="Page Numbers (Bottom of Page)"/>
        <w:docPartUnique/>
      </w:docPartObj>
    </w:sdtPr>
    <w:sdtContent>
      <w:p w14:paraId="50096956" w14:textId="65DEB71E" w:rsidR="002C0143" w:rsidRDefault="002C0143">
        <w:pPr>
          <w:pStyle w:val="ac"/>
        </w:pPr>
        <w:r>
          <w:fldChar w:fldCharType="begin"/>
        </w:r>
        <w:r>
          <w:instrText>PAGE   \* MERGEFORMAT</w:instrText>
        </w:r>
        <w:r>
          <w:fldChar w:fldCharType="separate"/>
        </w:r>
        <w:r>
          <w:rPr>
            <w:lang w:val="ja-JP" w:eastAsia="ja-JP"/>
          </w:rPr>
          <w:t>2</w:t>
        </w:r>
        <w:r>
          <w:fldChar w:fldCharType="end"/>
        </w:r>
      </w:p>
    </w:sdtContent>
  </w:sdt>
  <w:p w14:paraId="53B13349" w14:textId="77777777" w:rsidR="002C0143" w:rsidRDefault="002C01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D5A6" w14:textId="77777777" w:rsidR="002C0143" w:rsidRDefault="002C0143" w:rsidP="002C0143">
      <w:r>
        <w:separator/>
      </w:r>
    </w:p>
  </w:footnote>
  <w:footnote w:type="continuationSeparator" w:id="0">
    <w:p w14:paraId="1FB9A722" w14:textId="77777777" w:rsidR="002C0143" w:rsidRDefault="002C0143" w:rsidP="002C0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43"/>
    <w:rsid w:val="000B2AFD"/>
    <w:rsid w:val="00152B39"/>
    <w:rsid w:val="002C0143"/>
    <w:rsid w:val="003126F0"/>
    <w:rsid w:val="003A6E34"/>
    <w:rsid w:val="00692D7C"/>
    <w:rsid w:val="006A05DC"/>
    <w:rsid w:val="00AF582A"/>
    <w:rsid w:val="00B37471"/>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472906"/>
  <w15:chartTrackingRefBased/>
  <w15:docId w15:val="{8294E127-AFB6-4C30-9F54-5FA49D1E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143"/>
    <w:pPr>
      <w:widowControl w:val="0"/>
      <w:jc w:val="both"/>
    </w:pPr>
  </w:style>
  <w:style w:type="paragraph" w:styleId="1">
    <w:name w:val="heading 1"/>
    <w:basedOn w:val="a"/>
    <w:next w:val="a"/>
    <w:link w:val="10"/>
    <w:uiPriority w:val="9"/>
    <w:qFormat/>
    <w:rsid w:val="002C01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01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01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01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01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01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01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01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01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01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01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01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01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01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01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01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01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01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01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0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1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0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143"/>
    <w:pPr>
      <w:spacing w:before="160" w:after="160"/>
      <w:jc w:val="center"/>
    </w:pPr>
    <w:rPr>
      <w:i/>
      <w:iCs/>
      <w:color w:val="404040" w:themeColor="text1" w:themeTint="BF"/>
    </w:rPr>
  </w:style>
  <w:style w:type="character" w:customStyle="1" w:styleId="a8">
    <w:name w:val="引用文 (文字)"/>
    <w:basedOn w:val="a0"/>
    <w:link w:val="a7"/>
    <w:uiPriority w:val="29"/>
    <w:rsid w:val="002C0143"/>
    <w:rPr>
      <w:i/>
      <w:iCs/>
      <w:color w:val="404040" w:themeColor="text1" w:themeTint="BF"/>
    </w:rPr>
  </w:style>
  <w:style w:type="paragraph" w:styleId="a9">
    <w:name w:val="List Paragraph"/>
    <w:basedOn w:val="a"/>
    <w:uiPriority w:val="34"/>
    <w:qFormat/>
    <w:rsid w:val="002C0143"/>
    <w:pPr>
      <w:ind w:left="720"/>
      <w:contextualSpacing/>
    </w:pPr>
  </w:style>
  <w:style w:type="character" w:styleId="21">
    <w:name w:val="Intense Emphasis"/>
    <w:basedOn w:val="a0"/>
    <w:uiPriority w:val="21"/>
    <w:qFormat/>
    <w:rsid w:val="002C0143"/>
    <w:rPr>
      <w:i/>
      <w:iCs/>
      <w:color w:val="2F5496" w:themeColor="accent1" w:themeShade="BF"/>
    </w:rPr>
  </w:style>
  <w:style w:type="paragraph" w:styleId="22">
    <w:name w:val="Intense Quote"/>
    <w:basedOn w:val="a"/>
    <w:next w:val="a"/>
    <w:link w:val="23"/>
    <w:uiPriority w:val="30"/>
    <w:qFormat/>
    <w:rsid w:val="002C0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C0143"/>
    <w:rPr>
      <w:i/>
      <w:iCs/>
      <w:color w:val="2F5496" w:themeColor="accent1" w:themeShade="BF"/>
    </w:rPr>
  </w:style>
  <w:style w:type="character" w:styleId="24">
    <w:name w:val="Intense Reference"/>
    <w:basedOn w:val="a0"/>
    <w:uiPriority w:val="32"/>
    <w:qFormat/>
    <w:rsid w:val="002C0143"/>
    <w:rPr>
      <w:b/>
      <w:bCs/>
      <w:smallCaps/>
      <w:color w:val="2F5496" w:themeColor="accent1" w:themeShade="BF"/>
      <w:spacing w:val="5"/>
    </w:rPr>
  </w:style>
  <w:style w:type="paragraph" w:styleId="aa">
    <w:name w:val="header"/>
    <w:basedOn w:val="a"/>
    <w:link w:val="ab"/>
    <w:uiPriority w:val="99"/>
    <w:unhideWhenUsed/>
    <w:rsid w:val="002C0143"/>
    <w:pPr>
      <w:tabs>
        <w:tab w:val="center" w:pos="4252"/>
        <w:tab w:val="right" w:pos="8504"/>
      </w:tabs>
      <w:snapToGrid w:val="0"/>
    </w:pPr>
  </w:style>
  <w:style w:type="character" w:customStyle="1" w:styleId="ab">
    <w:name w:val="ヘッダー (文字)"/>
    <w:basedOn w:val="a0"/>
    <w:link w:val="aa"/>
    <w:uiPriority w:val="99"/>
    <w:rsid w:val="002C0143"/>
  </w:style>
  <w:style w:type="paragraph" w:styleId="ac">
    <w:name w:val="footer"/>
    <w:basedOn w:val="a"/>
    <w:link w:val="ad"/>
    <w:uiPriority w:val="99"/>
    <w:unhideWhenUsed/>
    <w:rsid w:val="002C0143"/>
    <w:pPr>
      <w:tabs>
        <w:tab w:val="center" w:pos="4252"/>
        <w:tab w:val="right" w:pos="8504"/>
      </w:tabs>
      <w:snapToGrid w:val="0"/>
    </w:pPr>
  </w:style>
  <w:style w:type="character" w:customStyle="1" w:styleId="ad">
    <w:name w:val="フッター (文字)"/>
    <w:basedOn w:val="a0"/>
    <w:link w:val="ac"/>
    <w:uiPriority w:val="99"/>
    <w:rsid w:val="002C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2026-05-28T03:31:00Z</dcterms:created>
  <dcterms:modified xsi:type="dcterms:W3CDTF">2026-05-28T03:37:00Z</dcterms:modified>
</cp:coreProperties>
</file>