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5676" w14:textId="77777777" w:rsidR="00651AE1" w:rsidRPr="00857805" w:rsidRDefault="00651AE1" w:rsidP="00651AE1">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4393D1F2" w14:textId="77777777" w:rsidR="00651AE1" w:rsidRDefault="00651AE1" w:rsidP="00651AE1">
      <w:pPr>
        <w:rPr>
          <w:lang w:eastAsia="ja-JP"/>
        </w:rPr>
      </w:pPr>
      <w:r w:rsidRPr="00AA5365">
        <w:rPr>
          <w:lang w:eastAsia="ja-JP"/>
        </w:rPr>
        <w:t>2026年2月1</w:t>
      </w:r>
      <w:r>
        <w:rPr>
          <w:rFonts w:hint="eastAsia"/>
          <w:lang w:eastAsia="ja-JP"/>
        </w:rPr>
        <w:t>9</w:t>
      </w:r>
      <w:r w:rsidRPr="00AA5365">
        <w:rPr>
          <w:lang w:eastAsia="ja-JP"/>
        </w:rPr>
        <w:t>日</w:t>
      </w:r>
    </w:p>
    <w:p w14:paraId="637E725D" w14:textId="77777777" w:rsidR="000B2AFD" w:rsidRDefault="000B2AFD">
      <w:pPr>
        <w:rPr>
          <w:lang w:eastAsia="ja-JP"/>
        </w:rPr>
      </w:pPr>
    </w:p>
    <w:p w14:paraId="2AB1FA17" w14:textId="77777777" w:rsidR="00651AE1" w:rsidRPr="00651AE1" w:rsidRDefault="00651AE1" w:rsidP="00651AE1">
      <w:pPr>
        <w:rPr>
          <w:rFonts w:ascii="BIZ UDPゴシック" w:eastAsia="BIZ UDPゴシック" w:hAnsi="BIZ UDPゴシック"/>
          <w:color w:val="000000" w:themeColor="text1"/>
          <w:sz w:val="24"/>
          <w:szCs w:val="24"/>
          <w:lang w:eastAsia="ja-JP"/>
        </w:rPr>
      </w:pPr>
      <w:r w:rsidRPr="00651AE1">
        <w:rPr>
          <w:rFonts w:ascii="BIZ UDPゴシック" w:eastAsia="BIZ UDPゴシック" w:hAnsi="BIZ UDPゴシック" w:hint="eastAsia"/>
          <w:color w:val="000000" w:themeColor="text1"/>
          <w:sz w:val="24"/>
          <w:szCs w:val="24"/>
          <w:lang w:eastAsia="ja-JP"/>
        </w:rPr>
        <w:t xml:space="preserve">②　</w:t>
      </w:r>
      <w:r w:rsidRPr="00651AE1">
        <w:rPr>
          <w:rFonts w:ascii="BIZ UDPゴシック" w:eastAsia="BIZ UDPゴシック" w:hAnsi="BIZ UDPゴシック"/>
          <w:color w:val="000000" w:themeColor="text1"/>
          <w:sz w:val="24"/>
          <w:szCs w:val="24"/>
          <w:lang w:eastAsia="ja-JP"/>
        </w:rPr>
        <w:t>リサ・ワース氏、国連欧州経済委員会（UNECE）</w:t>
      </w:r>
    </w:p>
    <w:p w14:paraId="08D40BB1" w14:textId="77777777" w:rsidR="00651AE1" w:rsidRPr="006D37D5" w:rsidRDefault="00651AE1" w:rsidP="00651AE1">
      <w:pPr>
        <w:ind w:firstLineChars="100" w:firstLine="210"/>
        <w:rPr>
          <w:color w:val="000000" w:themeColor="text1"/>
          <w:lang w:eastAsia="ja-JP"/>
        </w:rPr>
      </w:pPr>
    </w:p>
    <w:p w14:paraId="49D135C7"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議長、ご列席の</w:t>
      </w:r>
      <w:r w:rsidRPr="006D37D5">
        <w:rPr>
          <w:rFonts w:hint="eastAsia"/>
          <w:color w:val="000000" w:themeColor="text1"/>
          <w:lang w:eastAsia="ja-JP"/>
        </w:rPr>
        <w:t>皆様</w:t>
      </w:r>
      <w:r w:rsidRPr="006D37D5">
        <w:rPr>
          <w:color w:val="000000" w:themeColor="text1"/>
          <w:lang w:eastAsia="ja-JP"/>
        </w:rPr>
        <w:t>、</w:t>
      </w:r>
      <w:r w:rsidRPr="006D37D5">
        <w:rPr>
          <w:rFonts w:hint="eastAsia"/>
          <w:color w:val="000000" w:themeColor="text1"/>
          <w:lang w:eastAsia="ja-JP"/>
        </w:rPr>
        <w:t>各代表の皆様</w:t>
      </w:r>
      <w:r w:rsidRPr="006D37D5">
        <w:rPr>
          <w:color w:val="000000" w:themeColor="text1"/>
          <w:lang w:eastAsia="ja-JP"/>
        </w:rPr>
        <w:t>、そして同僚の皆様</w:t>
      </w:r>
      <w:r w:rsidRPr="006D37D5">
        <w:rPr>
          <w:rFonts w:hint="eastAsia"/>
          <w:color w:val="000000" w:themeColor="text1"/>
          <w:lang w:eastAsia="ja-JP"/>
        </w:rPr>
        <w:t>、</w:t>
      </w:r>
    </w:p>
    <w:p w14:paraId="7A090122"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国連地域委員会を代表して、皆様にお話しする機会をいただき、感謝</w:t>
      </w:r>
      <w:r w:rsidRPr="006D37D5">
        <w:rPr>
          <w:rFonts w:hint="eastAsia"/>
          <w:color w:val="000000" w:themeColor="text1"/>
          <w:lang w:eastAsia="ja-JP"/>
        </w:rPr>
        <w:t>いたし</w:t>
      </w:r>
      <w:r w:rsidRPr="006D37D5">
        <w:rPr>
          <w:color w:val="000000" w:themeColor="text1"/>
          <w:lang w:eastAsia="ja-JP"/>
        </w:rPr>
        <w:t>ます。過去20年間にわたり「高齢化に関する</w:t>
      </w:r>
      <w:r w:rsidRPr="006D37D5">
        <w:rPr>
          <w:rFonts w:hint="eastAsia"/>
          <w:color w:val="000000" w:themeColor="text1"/>
          <w:lang w:eastAsia="ja-JP"/>
        </w:rPr>
        <w:t>マドリッド</w:t>
      </w:r>
      <w:r w:rsidRPr="006D37D5">
        <w:rPr>
          <w:color w:val="000000" w:themeColor="text1"/>
          <w:lang w:eastAsia="ja-JP"/>
        </w:rPr>
        <w:t>国際行動計画」の実施を</w:t>
      </w:r>
      <w:r w:rsidRPr="006D37D5">
        <w:rPr>
          <w:rFonts w:hint="eastAsia"/>
          <w:color w:val="000000" w:themeColor="text1"/>
          <w:lang w:eastAsia="ja-JP"/>
        </w:rPr>
        <w:t>監視</w:t>
      </w:r>
      <w:r w:rsidRPr="006D37D5">
        <w:rPr>
          <w:color w:val="000000" w:themeColor="text1"/>
          <w:lang w:eastAsia="ja-JP"/>
        </w:rPr>
        <w:t>して得られた知見に基づ</w:t>
      </w:r>
      <w:r w:rsidRPr="006D37D5">
        <w:rPr>
          <w:rFonts w:hint="eastAsia"/>
          <w:color w:val="000000" w:themeColor="text1"/>
          <w:lang w:eastAsia="ja-JP"/>
        </w:rPr>
        <w:t>き</w:t>
      </w:r>
      <w:r w:rsidRPr="006D37D5">
        <w:rPr>
          <w:color w:val="000000" w:themeColor="text1"/>
          <w:lang w:eastAsia="ja-JP"/>
        </w:rPr>
        <w:t>、WHOの同僚が</w:t>
      </w:r>
      <w:r w:rsidRPr="006D37D5">
        <w:rPr>
          <w:rFonts w:hint="eastAsia"/>
          <w:color w:val="000000" w:themeColor="text1"/>
          <w:lang w:eastAsia="ja-JP"/>
        </w:rPr>
        <w:t>述べた</w:t>
      </w:r>
      <w:r w:rsidRPr="006D37D5">
        <w:rPr>
          <w:color w:val="000000" w:themeColor="text1"/>
          <w:lang w:eastAsia="ja-JP"/>
        </w:rPr>
        <w:t>考察に</w:t>
      </w:r>
      <w:r w:rsidRPr="006D37D5">
        <w:rPr>
          <w:rFonts w:hint="eastAsia"/>
          <w:color w:val="000000" w:themeColor="text1"/>
          <w:lang w:eastAsia="ja-JP"/>
        </w:rPr>
        <w:t>補足して、証拠</w:t>
      </w:r>
      <w:r w:rsidRPr="006D37D5">
        <w:rPr>
          <w:color w:val="000000" w:themeColor="text1"/>
          <w:lang w:eastAsia="ja-JP"/>
        </w:rPr>
        <w:t>に基づく政策立案においてデータがいかに重要であるかについて、皆様の注意を喚起したいと思います。</w:t>
      </w:r>
      <w:r w:rsidRPr="006D37D5">
        <w:rPr>
          <w:rFonts w:hint="eastAsia"/>
          <w:color w:val="000000" w:themeColor="text1"/>
          <w:lang w:eastAsia="ja-JP"/>
        </w:rPr>
        <w:t>データ</w:t>
      </w:r>
      <w:r w:rsidRPr="006D37D5">
        <w:rPr>
          <w:color w:val="000000" w:themeColor="text1"/>
          <w:lang w:eastAsia="ja-JP"/>
        </w:rPr>
        <w:t>の重要性は、一方で</w:t>
      </w:r>
      <w:r w:rsidRPr="006D37D5">
        <w:rPr>
          <w:rFonts w:hint="eastAsia"/>
          <w:color w:val="000000" w:themeColor="text1"/>
          <w:lang w:eastAsia="ja-JP"/>
        </w:rPr>
        <w:t>は</w:t>
      </w:r>
      <w:r w:rsidRPr="006D37D5">
        <w:rPr>
          <w:color w:val="000000" w:themeColor="text1"/>
          <w:lang w:eastAsia="ja-JP"/>
        </w:rPr>
        <w:t>、人口動態の変化や高齢化、そして高齢者の状況やニーズ</w:t>
      </w:r>
      <w:r w:rsidRPr="006D37D5">
        <w:rPr>
          <w:rFonts w:hint="eastAsia"/>
          <w:color w:val="000000" w:themeColor="text1"/>
          <w:lang w:eastAsia="ja-JP"/>
        </w:rPr>
        <w:t>の</w:t>
      </w:r>
      <w:r w:rsidRPr="006D37D5">
        <w:rPr>
          <w:color w:val="000000" w:themeColor="text1"/>
          <w:lang w:eastAsia="ja-JP"/>
        </w:rPr>
        <w:t>多様性</w:t>
      </w:r>
      <w:r w:rsidRPr="006D37D5">
        <w:rPr>
          <w:rFonts w:hint="eastAsia"/>
          <w:color w:val="000000" w:themeColor="text1"/>
          <w:lang w:eastAsia="ja-JP"/>
        </w:rPr>
        <w:t>への</w:t>
      </w:r>
      <w:r w:rsidRPr="006D37D5">
        <w:rPr>
          <w:color w:val="000000" w:themeColor="text1"/>
          <w:lang w:eastAsia="ja-JP"/>
        </w:rPr>
        <w:t>理解を深めること</w:t>
      </w:r>
      <w:r w:rsidRPr="006D37D5">
        <w:rPr>
          <w:rFonts w:hint="eastAsia"/>
          <w:color w:val="000000" w:themeColor="text1"/>
          <w:lang w:eastAsia="ja-JP"/>
        </w:rPr>
        <w:t>です。</w:t>
      </w:r>
      <w:r w:rsidRPr="006D37D5">
        <w:rPr>
          <w:color w:val="000000" w:themeColor="text1"/>
          <w:lang w:eastAsia="ja-JP"/>
        </w:rPr>
        <w:t>他方で</w:t>
      </w:r>
      <w:r w:rsidRPr="006D37D5">
        <w:rPr>
          <w:rFonts w:hint="eastAsia"/>
          <w:color w:val="000000" w:themeColor="text1"/>
          <w:lang w:eastAsia="ja-JP"/>
        </w:rPr>
        <w:t>は</w:t>
      </w:r>
      <w:r w:rsidRPr="006D37D5">
        <w:rPr>
          <w:color w:val="000000" w:themeColor="text1"/>
          <w:lang w:eastAsia="ja-JP"/>
        </w:rPr>
        <w:t>、政策上の公約、取り組み、成果を</w:t>
      </w:r>
      <w:r w:rsidRPr="006D37D5">
        <w:rPr>
          <w:rFonts w:hint="eastAsia"/>
          <w:color w:val="000000" w:themeColor="text1"/>
          <w:lang w:eastAsia="ja-JP"/>
        </w:rPr>
        <w:t>監視</w:t>
      </w:r>
      <w:r w:rsidRPr="006D37D5">
        <w:rPr>
          <w:color w:val="000000" w:themeColor="text1"/>
          <w:lang w:eastAsia="ja-JP"/>
        </w:rPr>
        <w:t>するために、入手</w:t>
      </w:r>
      <w:r w:rsidRPr="006D37D5">
        <w:rPr>
          <w:rFonts w:hint="eastAsia"/>
          <w:color w:val="000000" w:themeColor="text1"/>
          <w:lang w:eastAsia="ja-JP"/>
        </w:rPr>
        <w:t>でき、</w:t>
      </w:r>
      <w:r w:rsidRPr="006D37D5">
        <w:rPr>
          <w:color w:val="000000" w:themeColor="text1"/>
          <w:lang w:eastAsia="ja-JP"/>
        </w:rPr>
        <w:t>信頼性が高</w:t>
      </w:r>
      <w:r w:rsidRPr="006D37D5">
        <w:rPr>
          <w:rFonts w:hint="eastAsia"/>
          <w:color w:val="000000" w:themeColor="text1"/>
          <w:lang w:eastAsia="ja-JP"/>
        </w:rPr>
        <w:t>い</w:t>
      </w:r>
      <w:r w:rsidRPr="006D37D5">
        <w:rPr>
          <w:color w:val="000000" w:themeColor="text1"/>
          <w:lang w:eastAsia="ja-JP"/>
        </w:rPr>
        <w:t>、</w:t>
      </w:r>
      <w:r w:rsidRPr="006D37D5">
        <w:rPr>
          <w:rFonts w:hint="eastAsia"/>
          <w:color w:val="000000" w:themeColor="text1"/>
          <w:lang w:eastAsia="ja-JP"/>
        </w:rPr>
        <w:t>確か</w:t>
      </w:r>
      <w:r w:rsidRPr="006D37D5">
        <w:rPr>
          <w:color w:val="000000" w:themeColor="text1"/>
          <w:lang w:eastAsia="ja-JP"/>
        </w:rPr>
        <w:t>なデータが重要な役割を果たす</w:t>
      </w:r>
      <w:r w:rsidRPr="006D37D5">
        <w:rPr>
          <w:rFonts w:hint="eastAsia"/>
          <w:color w:val="000000" w:themeColor="text1"/>
          <w:lang w:eastAsia="ja-JP"/>
        </w:rPr>
        <w:t>ことです</w:t>
      </w:r>
      <w:r w:rsidRPr="006D37D5">
        <w:rPr>
          <w:color w:val="000000" w:themeColor="text1"/>
          <w:lang w:eastAsia="ja-JP"/>
        </w:rPr>
        <w:t>。</w:t>
      </w:r>
    </w:p>
    <w:p w14:paraId="467D807E"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質の高い、年齢別データは、</w:t>
      </w:r>
      <w:r w:rsidRPr="006D37D5">
        <w:rPr>
          <w:rFonts w:hint="eastAsia"/>
          <w:color w:val="000000" w:themeColor="text1"/>
          <w:lang w:eastAsia="ja-JP"/>
        </w:rPr>
        <w:t>証拠</w:t>
      </w:r>
      <w:r w:rsidRPr="006D37D5">
        <w:rPr>
          <w:color w:val="000000" w:themeColor="text1"/>
          <w:lang w:eastAsia="ja-JP"/>
        </w:rPr>
        <w:t>に基づく政策立案に不可欠ですが、依然すべての地域</w:t>
      </w:r>
      <w:r w:rsidRPr="006D37D5">
        <w:rPr>
          <w:rFonts w:hint="eastAsia"/>
          <w:color w:val="000000" w:themeColor="text1"/>
          <w:lang w:eastAsia="ja-JP"/>
        </w:rPr>
        <w:t>で</w:t>
      </w:r>
      <w:r w:rsidRPr="006D37D5">
        <w:rPr>
          <w:color w:val="000000" w:themeColor="text1"/>
          <w:lang w:eastAsia="ja-JP"/>
        </w:rPr>
        <w:t>不十分です。</w:t>
      </w:r>
    </w:p>
    <w:p w14:paraId="57B74773"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この点を指摘した研究</w:t>
      </w:r>
      <w:r w:rsidRPr="006D37D5">
        <w:rPr>
          <w:rFonts w:hint="eastAsia"/>
          <w:color w:val="000000" w:themeColor="text1"/>
          <w:lang w:eastAsia="ja-JP"/>
        </w:rPr>
        <w:t>が</w:t>
      </w:r>
      <w:r w:rsidRPr="006D37D5">
        <w:rPr>
          <w:color w:val="000000" w:themeColor="text1"/>
          <w:lang w:eastAsia="ja-JP"/>
        </w:rPr>
        <w:t>数多く</w:t>
      </w:r>
      <w:r w:rsidRPr="006D37D5">
        <w:rPr>
          <w:rFonts w:hint="eastAsia"/>
          <w:color w:val="000000" w:themeColor="text1"/>
          <w:lang w:eastAsia="ja-JP"/>
        </w:rPr>
        <w:t>あり</w:t>
      </w:r>
      <w:r w:rsidRPr="006D37D5">
        <w:rPr>
          <w:color w:val="000000" w:themeColor="text1"/>
          <w:lang w:eastAsia="ja-JP"/>
        </w:rPr>
        <w:t>ます。高齢者のあらゆる人権の享受に関する元独立専門家</w:t>
      </w:r>
      <w:r w:rsidRPr="006D37D5">
        <w:rPr>
          <w:rFonts w:hint="eastAsia"/>
          <w:color w:val="000000" w:themeColor="text1"/>
          <w:lang w:eastAsia="ja-JP"/>
        </w:rPr>
        <w:t>の</w:t>
      </w:r>
      <w:r w:rsidRPr="006D37D5">
        <w:rPr>
          <w:color w:val="000000" w:themeColor="text1"/>
          <w:lang w:eastAsia="ja-JP"/>
        </w:rPr>
        <w:t>ローザ・コルンフェルト</w:t>
      </w:r>
      <w:r w:rsidRPr="006D37D5">
        <w:rPr>
          <w:rFonts w:hint="eastAsia"/>
          <w:color w:val="000000" w:themeColor="text1"/>
          <w:lang w:eastAsia="ja-JP"/>
        </w:rPr>
        <w:t>-</w:t>
      </w:r>
      <w:r w:rsidRPr="006D37D5">
        <w:rPr>
          <w:color w:val="000000" w:themeColor="text1"/>
          <w:lang w:eastAsia="ja-JP"/>
        </w:rPr>
        <w:t>マッテ氏が2020年に人権理事会に提出した</w:t>
      </w:r>
      <w:r w:rsidRPr="006D37D5">
        <w:rPr>
          <w:rFonts w:hint="eastAsia"/>
          <w:color w:val="000000" w:themeColor="text1"/>
          <w:lang w:eastAsia="ja-JP"/>
        </w:rPr>
        <w:t>データの欠陥に関する</w:t>
      </w:r>
      <w:r w:rsidRPr="006D37D5">
        <w:rPr>
          <w:color w:val="000000" w:themeColor="text1"/>
          <w:lang w:eastAsia="ja-JP"/>
        </w:rPr>
        <w:t>テーマ別報告</w:t>
      </w:r>
      <w:r w:rsidRPr="006D37D5">
        <w:rPr>
          <w:rFonts w:hint="eastAsia"/>
          <w:color w:val="000000" w:themeColor="text1"/>
          <w:lang w:eastAsia="ja-JP"/>
        </w:rPr>
        <w:t>、</w:t>
      </w:r>
      <w:r w:rsidRPr="006D37D5">
        <w:rPr>
          <w:color w:val="000000" w:themeColor="text1"/>
          <w:lang w:eastAsia="ja-JP"/>
        </w:rPr>
        <w:t>ティッチフィールド・シティ・グループによる高齢化に関する取り組み、欧州統計</w:t>
      </w:r>
      <w:r w:rsidRPr="006D37D5">
        <w:rPr>
          <w:rFonts w:hint="eastAsia"/>
          <w:color w:val="000000" w:themeColor="text1"/>
          <w:lang w:eastAsia="ja-JP"/>
        </w:rPr>
        <w:t>専門家</w:t>
      </w:r>
      <w:r w:rsidRPr="006D37D5">
        <w:rPr>
          <w:color w:val="000000" w:themeColor="text1"/>
          <w:lang w:eastAsia="ja-JP"/>
        </w:rPr>
        <w:t>会議による高齢化関連統計に関する詳細な検討と</w:t>
      </w:r>
      <w:r w:rsidRPr="006D37D5">
        <w:rPr>
          <w:rFonts w:hint="eastAsia"/>
          <w:color w:val="000000" w:themeColor="text1"/>
          <w:lang w:eastAsia="ja-JP"/>
        </w:rPr>
        <w:t>勧告</w:t>
      </w:r>
      <w:r w:rsidRPr="006D37D5">
        <w:rPr>
          <w:color w:val="000000" w:themeColor="text1"/>
          <w:lang w:eastAsia="ja-JP"/>
        </w:rPr>
        <w:t>など</w:t>
      </w:r>
      <w:r w:rsidRPr="006D37D5">
        <w:rPr>
          <w:rFonts w:hint="eastAsia"/>
          <w:color w:val="000000" w:themeColor="text1"/>
          <w:lang w:eastAsia="ja-JP"/>
        </w:rPr>
        <w:t>が</w:t>
      </w:r>
      <w:r w:rsidRPr="006D37D5">
        <w:rPr>
          <w:color w:val="000000" w:themeColor="text1"/>
          <w:lang w:eastAsia="ja-JP"/>
        </w:rPr>
        <w:t>挙げられます。</w:t>
      </w:r>
    </w:p>
    <w:p w14:paraId="2D3CF346"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ここで、データに関連する</w:t>
      </w:r>
      <w:r w:rsidRPr="006D37D5">
        <w:rPr>
          <w:rFonts w:hint="eastAsia"/>
          <w:color w:val="000000" w:themeColor="text1"/>
          <w:lang w:eastAsia="ja-JP"/>
        </w:rPr>
        <w:t>切実な</w:t>
      </w:r>
      <w:r w:rsidRPr="006D37D5">
        <w:rPr>
          <w:color w:val="000000" w:themeColor="text1"/>
          <w:lang w:eastAsia="ja-JP"/>
        </w:rPr>
        <w:t>課題を指摘させてください。</w:t>
      </w:r>
    </w:p>
    <w:p w14:paraId="164D9EDF"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第一に、年齢別</w:t>
      </w:r>
      <w:r w:rsidRPr="006D37D5">
        <w:rPr>
          <w:rFonts w:hint="eastAsia"/>
          <w:color w:val="000000" w:themeColor="text1"/>
          <w:lang w:eastAsia="ja-JP"/>
        </w:rPr>
        <w:t>分類</w:t>
      </w:r>
      <w:r w:rsidRPr="006D37D5">
        <w:rPr>
          <w:color w:val="000000" w:themeColor="text1"/>
          <w:lang w:eastAsia="ja-JP"/>
        </w:rPr>
        <w:t>は依然として不十分です。多くの国では、60歳または65歳以上のすべての人が依然</w:t>
      </w:r>
      <w:r w:rsidRPr="006D37D5">
        <w:rPr>
          <w:rFonts w:hint="eastAsia"/>
          <w:color w:val="000000" w:themeColor="text1"/>
          <w:lang w:eastAsia="ja-JP"/>
        </w:rPr>
        <w:t>一つの</w:t>
      </w:r>
      <w:r w:rsidRPr="006D37D5">
        <w:rPr>
          <w:color w:val="000000" w:themeColor="text1"/>
          <w:lang w:eastAsia="ja-JP"/>
        </w:rPr>
        <w:t>グループとして報告されています。これはもはや労働力参加のパターンや年金政策を反映しておらず、高齢者の多様</w:t>
      </w:r>
      <w:r w:rsidRPr="006D37D5">
        <w:rPr>
          <w:rFonts w:hint="eastAsia"/>
          <w:color w:val="000000" w:themeColor="text1"/>
          <w:lang w:eastAsia="ja-JP"/>
        </w:rPr>
        <w:t>さ</w:t>
      </w:r>
      <w:r w:rsidRPr="006D37D5">
        <w:rPr>
          <w:color w:val="000000" w:themeColor="text1"/>
          <w:lang w:eastAsia="ja-JP"/>
        </w:rPr>
        <w:t>を</w:t>
      </w:r>
      <w:r w:rsidRPr="006D37D5">
        <w:rPr>
          <w:rFonts w:hint="eastAsia"/>
          <w:color w:val="000000" w:themeColor="text1"/>
          <w:lang w:eastAsia="ja-JP"/>
        </w:rPr>
        <w:t>おおい隠して</w:t>
      </w:r>
      <w:r w:rsidRPr="006D37D5">
        <w:rPr>
          <w:color w:val="000000" w:themeColor="text1"/>
          <w:lang w:eastAsia="ja-JP"/>
        </w:rPr>
        <w:t>います。多くのSDGs指標では年齢別</w:t>
      </w:r>
      <w:r w:rsidRPr="006D37D5">
        <w:rPr>
          <w:rFonts w:hint="eastAsia"/>
          <w:color w:val="000000" w:themeColor="text1"/>
          <w:lang w:eastAsia="ja-JP"/>
        </w:rPr>
        <w:t>分類</w:t>
      </w:r>
      <w:r w:rsidRPr="006D37D5">
        <w:rPr>
          <w:color w:val="000000" w:themeColor="text1"/>
          <w:lang w:eastAsia="ja-JP"/>
        </w:rPr>
        <w:t>が求められているにもかかわらず、実際には高齢者に関するデータが</w:t>
      </w:r>
      <w:r w:rsidRPr="006D37D5">
        <w:rPr>
          <w:rFonts w:hint="eastAsia"/>
          <w:color w:val="000000" w:themeColor="text1"/>
          <w:lang w:eastAsia="ja-JP"/>
        </w:rPr>
        <w:t>ないか、</w:t>
      </w:r>
      <w:r w:rsidRPr="006D37D5">
        <w:rPr>
          <w:color w:val="000000" w:themeColor="text1"/>
          <w:lang w:eastAsia="ja-JP"/>
        </w:rPr>
        <w:t>不完全</w:t>
      </w:r>
      <w:r w:rsidRPr="006D37D5">
        <w:rPr>
          <w:rFonts w:hint="eastAsia"/>
          <w:color w:val="000000" w:themeColor="text1"/>
          <w:lang w:eastAsia="ja-JP"/>
        </w:rPr>
        <w:t>な</w:t>
      </w:r>
      <w:r w:rsidRPr="006D37D5">
        <w:rPr>
          <w:color w:val="000000" w:themeColor="text1"/>
          <w:lang w:eastAsia="ja-JP"/>
        </w:rPr>
        <w:t>ことが多い</w:t>
      </w:r>
      <w:r w:rsidRPr="006D37D5">
        <w:rPr>
          <w:rFonts w:hint="eastAsia"/>
          <w:color w:val="000000" w:themeColor="text1"/>
          <w:lang w:eastAsia="ja-JP"/>
        </w:rPr>
        <w:t>です</w:t>
      </w:r>
      <w:r w:rsidRPr="006D37D5">
        <w:rPr>
          <w:color w:val="000000" w:themeColor="text1"/>
          <w:lang w:eastAsia="ja-JP"/>
        </w:rPr>
        <w:t>。例えば、失業統計には若年層や労働年齢層の成人が含まれ</w:t>
      </w:r>
      <w:r w:rsidRPr="006D37D5">
        <w:rPr>
          <w:rFonts w:hint="eastAsia"/>
          <w:color w:val="000000" w:themeColor="text1"/>
          <w:lang w:eastAsia="ja-JP"/>
        </w:rPr>
        <w:t>ても</w:t>
      </w:r>
      <w:r w:rsidRPr="006D37D5">
        <w:rPr>
          <w:color w:val="000000" w:themeColor="text1"/>
          <w:lang w:eastAsia="ja-JP"/>
        </w:rPr>
        <w:t>、高齢求職者は除外される場合があ</w:t>
      </w:r>
      <w:r w:rsidRPr="006D37D5">
        <w:rPr>
          <w:rFonts w:hint="eastAsia"/>
          <w:color w:val="000000" w:themeColor="text1"/>
          <w:lang w:eastAsia="ja-JP"/>
        </w:rPr>
        <w:t>ります</w:t>
      </w:r>
      <w:r w:rsidRPr="006D37D5">
        <w:rPr>
          <w:color w:val="000000" w:themeColor="text1"/>
          <w:lang w:eastAsia="ja-JP"/>
        </w:rPr>
        <w:t>。また死亡統計では、70歳までの死亡のみを「早死」と分類することが多く、それ以上の年齢</w:t>
      </w:r>
      <w:r w:rsidRPr="006D37D5">
        <w:rPr>
          <w:rFonts w:hint="eastAsia"/>
          <w:color w:val="000000" w:themeColor="text1"/>
          <w:lang w:eastAsia="ja-JP"/>
        </w:rPr>
        <w:t>の</w:t>
      </w:r>
      <w:r w:rsidRPr="006D37D5">
        <w:rPr>
          <w:color w:val="000000" w:themeColor="text1"/>
          <w:lang w:eastAsia="ja-JP"/>
        </w:rPr>
        <w:t>死因情報はほとんど</w:t>
      </w:r>
      <w:r w:rsidRPr="006D37D5">
        <w:rPr>
          <w:rFonts w:hint="eastAsia"/>
          <w:color w:val="000000" w:themeColor="text1"/>
          <w:lang w:eastAsia="ja-JP"/>
        </w:rPr>
        <w:t>ありません</w:t>
      </w:r>
      <w:r w:rsidRPr="006D37D5">
        <w:rPr>
          <w:color w:val="000000" w:themeColor="text1"/>
          <w:lang w:eastAsia="ja-JP"/>
        </w:rPr>
        <w:t xml:space="preserve">。 </w:t>
      </w:r>
    </w:p>
    <w:p w14:paraId="3AD48DB4"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さらに、昨日の多くの発言が指摘したように、高齢者は均一ではない集団で</w:t>
      </w:r>
      <w:r w:rsidRPr="006D37D5">
        <w:rPr>
          <w:rFonts w:hint="eastAsia"/>
          <w:color w:val="000000" w:themeColor="text1"/>
          <w:lang w:eastAsia="ja-JP"/>
        </w:rPr>
        <w:t>す</w:t>
      </w:r>
      <w:r w:rsidRPr="006D37D5">
        <w:rPr>
          <w:color w:val="000000" w:themeColor="text1"/>
          <w:lang w:eastAsia="ja-JP"/>
        </w:rPr>
        <w:t>。</w:t>
      </w:r>
      <w:r w:rsidRPr="006D37D5">
        <w:rPr>
          <w:rFonts w:hint="eastAsia"/>
          <w:color w:val="000000" w:themeColor="text1"/>
          <w:lang w:eastAsia="ja-JP"/>
        </w:rPr>
        <w:t>そ</w:t>
      </w:r>
      <w:r w:rsidRPr="006D37D5">
        <w:rPr>
          <w:color w:val="000000" w:themeColor="text1"/>
          <w:lang w:eastAsia="ja-JP"/>
        </w:rPr>
        <w:t>の状況やニーズを理解するためには、年齢だけでなく、性別、障害、民族、居住形態、その他</w:t>
      </w:r>
      <w:r w:rsidRPr="006D37D5">
        <w:rPr>
          <w:rFonts w:hint="eastAsia"/>
          <w:color w:val="000000" w:themeColor="text1"/>
          <w:lang w:eastAsia="ja-JP"/>
        </w:rPr>
        <w:t>の</w:t>
      </w:r>
      <w:r w:rsidRPr="006D37D5">
        <w:rPr>
          <w:color w:val="000000" w:themeColor="text1"/>
          <w:lang w:eastAsia="ja-JP"/>
        </w:rPr>
        <w:t>不平等を形作る特性によってもデータを</w:t>
      </w:r>
      <w:r w:rsidRPr="006D37D5">
        <w:rPr>
          <w:rFonts w:hint="eastAsia"/>
          <w:color w:val="000000" w:themeColor="text1"/>
          <w:lang w:eastAsia="ja-JP"/>
        </w:rPr>
        <w:t>分類</w:t>
      </w:r>
      <w:r w:rsidRPr="006D37D5">
        <w:rPr>
          <w:color w:val="000000" w:themeColor="text1"/>
          <w:lang w:eastAsia="ja-JP"/>
        </w:rPr>
        <w:t>しなければな</w:t>
      </w:r>
      <w:r w:rsidRPr="006D37D5">
        <w:rPr>
          <w:rFonts w:hint="eastAsia"/>
          <w:color w:val="000000" w:themeColor="text1"/>
          <w:lang w:eastAsia="ja-JP"/>
        </w:rPr>
        <w:t>りません</w:t>
      </w:r>
      <w:r w:rsidRPr="006D37D5">
        <w:rPr>
          <w:color w:val="000000" w:themeColor="text1"/>
          <w:lang w:eastAsia="ja-JP"/>
        </w:rPr>
        <w:t>。</w:t>
      </w:r>
    </w:p>
    <w:p w14:paraId="074D112E"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第二に、調査の限界が、高齢化の重要な側面</w:t>
      </w:r>
      <w:r w:rsidRPr="006D37D5">
        <w:rPr>
          <w:rFonts w:hint="eastAsia"/>
          <w:color w:val="000000" w:themeColor="text1"/>
          <w:lang w:eastAsia="ja-JP"/>
        </w:rPr>
        <w:t>の</w:t>
      </w:r>
      <w:r w:rsidRPr="006D37D5">
        <w:rPr>
          <w:color w:val="000000" w:themeColor="text1"/>
          <w:lang w:eastAsia="ja-JP"/>
        </w:rPr>
        <w:t>測定</w:t>
      </w:r>
      <w:r w:rsidRPr="006D37D5">
        <w:rPr>
          <w:rFonts w:hint="eastAsia"/>
          <w:color w:val="000000" w:themeColor="text1"/>
          <w:lang w:eastAsia="ja-JP"/>
        </w:rPr>
        <w:t>を妨げています</w:t>
      </w:r>
      <w:r w:rsidRPr="006D37D5">
        <w:rPr>
          <w:color w:val="000000" w:themeColor="text1"/>
          <w:lang w:eastAsia="ja-JP"/>
        </w:rPr>
        <w:t>。多くの高齢化関連指標は</w:t>
      </w:r>
      <w:r w:rsidRPr="006D37D5">
        <w:rPr>
          <w:rFonts w:hint="eastAsia"/>
          <w:color w:val="000000" w:themeColor="text1"/>
          <w:lang w:eastAsia="ja-JP"/>
        </w:rPr>
        <w:t>全国</w:t>
      </w:r>
      <w:r w:rsidRPr="006D37D5">
        <w:rPr>
          <w:color w:val="000000" w:themeColor="text1"/>
          <w:lang w:eastAsia="ja-JP"/>
        </w:rPr>
        <w:t>調査に依存してい</w:t>
      </w:r>
      <w:r w:rsidRPr="006D37D5">
        <w:rPr>
          <w:rFonts w:hint="eastAsia"/>
          <w:color w:val="000000" w:themeColor="text1"/>
          <w:lang w:eastAsia="ja-JP"/>
        </w:rPr>
        <w:t>ます</w:t>
      </w:r>
      <w:r w:rsidRPr="006D37D5">
        <w:rPr>
          <w:color w:val="000000" w:themeColor="text1"/>
          <w:lang w:eastAsia="ja-JP"/>
        </w:rPr>
        <w:t>が、高齢者（特に最高齢層）の標本サイズは、有意義な分析や多角的な</w:t>
      </w:r>
      <w:r w:rsidRPr="006D37D5">
        <w:rPr>
          <w:rFonts w:hint="eastAsia"/>
          <w:color w:val="000000" w:themeColor="text1"/>
          <w:lang w:eastAsia="ja-JP"/>
        </w:rPr>
        <w:t>分類</w:t>
      </w:r>
      <w:r w:rsidRPr="006D37D5">
        <w:rPr>
          <w:color w:val="000000" w:themeColor="text1"/>
          <w:lang w:eastAsia="ja-JP"/>
        </w:rPr>
        <w:t>を行うには小さすぎる場合が多い</w:t>
      </w:r>
      <w:r w:rsidRPr="006D37D5">
        <w:rPr>
          <w:rFonts w:hint="eastAsia"/>
          <w:color w:val="000000" w:themeColor="text1"/>
          <w:lang w:eastAsia="ja-JP"/>
        </w:rPr>
        <w:t>です</w:t>
      </w:r>
      <w:r w:rsidRPr="006D37D5">
        <w:rPr>
          <w:color w:val="000000" w:themeColor="text1"/>
          <w:lang w:eastAsia="ja-JP"/>
        </w:rPr>
        <w:t>。世帯主からのみ情報を収集する調査は、多世代世帯で暮らす高齢者の実態を覆い隠してしまう可能性があ</w:t>
      </w:r>
      <w:r w:rsidRPr="006D37D5">
        <w:rPr>
          <w:rFonts w:hint="eastAsia"/>
          <w:color w:val="000000" w:themeColor="text1"/>
          <w:lang w:eastAsia="ja-JP"/>
        </w:rPr>
        <w:t>ります</w:t>
      </w:r>
      <w:r w:rsidRPr="006D37D5">
        <w:rPr>
          <w:color w:val="000000" w:themeColor="text1"/>
          <w:lang w:eastAsia="ja-JP"/>
        </w:rPr>
        <w:t>。また、ほとんどの調査が一般家庭のみを対象としているため、</w:t>
      </w:r>
      <w:r w:rsidRPr="006D37D5">
        <w:rPr>
          <w:rFonts w:hint="eastAsia"/>
          <w:color w:val="000000" w:themeColor="text1"/>
          <w:lang w:eastAsia="ja-JP"/>
        </w:rPr>
        <w:t>ケア施設（</w:t>
      </w:r>
      <w:r w:rsidRPr="006D37D5">
        <w:rPr>
          <w:color w:val="000000" w:themeColor="text1"/>
          <w:lang w:eastAsia="ja-JP"/>
        </w:rPr>
        <w:t>介護施設</w:t>
      </w:r>
      <w:r w:rsidRPr="006D37D5">
        <w:rPr>
          <w:rFonts w:hint="eastAsia"/>
          <w:color w:val="000000" w:themeColor="text1"/>
          <w:lang w:eastAsia="ja-JP"/>
        </w:rPr>
        <w:t>）</w:t>
      </w:r>
      <w:r w:rsidRPr="006D37D5">
        <w:rPr>
          <w:color w:val="000000" w:themeColor="text1"/>
          <w:lang w:eastAsia="ja-JP"/>
        </w:rPr>
        <w:t>で暮らす高</w:t>
      </w:r>
      <w:r w:rsidRPr="006D37D5">
        <w:rPr>
          <w:color w:val="000000" w:themeColor="text1"/>
          <w:lang w:eastAsia="ja-JP"/>
        </w:rPr>
        <w:lastRenderedPageBreak/>
        <w:t>齢者は統計上、</w:t>
      </w:r>
      <w:r w:rsidRPr="006D37D5">
        <w:rPr>
          <w:rFonts w:hint="eastAsia"/>
          <w:color w:val="000000" w:themeColor="text1"/>
          <w:lang w:eastAsia="ja-JP"/>
        </w:rPr>
        <w:t>無視されて</w:t>
      </w:r>
      <w:r w:rsidRPr="006D37D5">
        <w:rPr>
          <w:color w:val="000000" w:themeColor="text1"/>
          <w:lang w:eastAsia="ja-JP"/>
        </w:rPr>
        <w:t>しま</w:t>
      </w:r>
      <w:r w:rsidRPr="006D37D5">
        <w:rPr>
          <w:rFonts w:hint="eastAsia"/>
          <w:color w:val="000000" w:themeColor="text1"/>
          <w:lang w:eastAsia="ja-JP"/>
        </w:rPr>
        <w:t>います</w:t>
      </w:r>
      <w:r w:rsidRPr="006D37D5">
        <w:rPr>
          <w:color w:val="000000" w:themeColor="text1"/>
          <w:lang w:eastAsia="ja-JP"/>
        </w:rPr>
        <w:t>。</w:t>
      </w:r>
    </w:p>
    <w:p w14:paraId="3298BC92"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第三に、概念上の課題が依然として残っています。高齢化関連データの収集</w:t>
      </w:r>
      <w:r w:rsidRPr="006D37D5">
        <w:rPr>
          <w:rFonts w:hint="eastAsia"/>
          <w:color w:val="000000" w:themeColor="text1"/>
          <w:lang w:eastAsia="ja-JP"/>
        </w:rPr>
        <w:t>の導きとなる</w:t>
      </w:r>
      <w:r w:rsidRPr="006D37D5">
        <w:rPr>
          <w:color w:val="000000" w:themeColor="text1"/>
          <w:lang w:eastAsia="ja-JP"/>
        </w:rPr>
        <w:t>、合意された概念的枠組みはまだ存在しません。その結果、労働条件、差別、暴力、虐待およびネグレクト、高齢者に優しい環境、情緒的・精神的ウェルビーイング、</w:t>
      </w:r>
      <w:r w:rsidRPr="006D37D5">
        <w:rPr>
          <w:rFonts w:hint="eastAsia"/>
          <w:color w:val="000000" w:themeColor="text1"/>
          <w:lang w:eastAsia="ja-JP"/>
        </w:rPr>
        <w:t>インフォーマル</w:t>
      </w:r>
      <w:r w:rsidRPr="006D37D5">
        <w:rPr>
          <w:color w:val="000000" w:themeColor="text1"/>
          <w:lang w:eastAsia="ja-JP"/>
        </w:rPr>
        <w:t>な介護、医療へのアクセス、終末期ケア、世代間移転といった多くの重要なテーマについて、データは依然として不足しています。一部の地域では、</w:t>
      </w:r>
      <w:r w:rsidRPr="006D37D5">
        <w:rPr>
          <w:rFonts w:hint="eastAsia"/>
          <w:color w:val="000000" w:themeColor="text1"/>
          <w:lang w:eastAsia="ja-JP"/>
        </w:rPr>
        <w:t>長期ケア（介護）</w:t>
      </w:r>
      <w:r w:rsidRPr="006D37D5">
        <w:rPr>
          <w:color w:val="000000" w:themeColor="text1"/>
          <w:lang w:eastAsia="ja-JP"/>
        </w:rPr>
        <w:t>の提供状況や満たされていないケアニーズに関するデータはほとんど入手できません。実際のケア体制が不明確であるにもかかわらず、政府は同居が家族によるケアを意味すると仮定することが多いです。</w:t>
      </w:r>
    </w:p>
    <w:p w14:paraId="288702FC"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第四に、高齢化関連データのニーズは変化しています。政策の文脈が変化するにつれ、新たな</w:t>
      </w:r>
      <w:r w:rsidRPr="006D37D5">
        <w:rPr>
          <w:rFonts w:hint="eastAsia"/>
          <w:color w:val="000000" w:themeColor="text1"/>
          <w:lang w:eastAsia="ja-JP"/>
        </w:rPr>
        <w:t>課題</w:t>
      </w:r>
      <w:r w:rsidRPr="006D37D5">
        <w:rPr>
          <w:color w:val="000000" w:themeColor="text1"/>
          <w:lang w:eastAsia="ja-JP"/>
        </w:rPr>
        <w:t>が生じています。例えば、気候変動やデジタル化は高齢者に特有の影響を及ぼすにもかかわらず、これらの分野における政策立案を支える証拠は極めて限られています。</w:t>
      </w:r>
    </w:p>
    <w:p w14:paraId="5E8A3E22"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第五に、データへのアクセス困難やデータの断片化が、効果的な政策立案と説明責任を妨げています。高齢化は横断的な課題であり、データは複数の省庁や機関によって収集されています。この断片化により、高齢者、特に政策介入を最も必要としている人々の状況について、一貫した全体像を把握することが困難になっています。高齢者に関する詳細かつ</w:t>
      </w:r>
      <w:r w:rsidRPr="006D37D5">
        <w:rPr>
          <w:rFonts w:hint="eastAsia"/>
          <w:color w:val="000000" w:themeColor="text1"/>
          <w:lang w:eastAsia="ja-JP"/>
        </w:rPr>
        <w:t>分類</w:t>
      </w:r>
      <w:r w:rsidRPr="006D37D5">
        <w:rPr>
          <w:color w:val="000000" w:themeColor="text1"/>
          <w:lang w:eastAsia="ja-JP"/>
        </w:rPr>
        <w:t>された情報は、高齢者の権利を</w:t>
      </w:r>
      <w:r w:rsidRPr="006D37D5">
        <w:rPr>
          <w:rFonts w:hint="eastAsia"/>
          <w:color w:val="000000" w:themeColor="text1"/>
          <w:lang w:eastAsia="ja-JP"/>
        </w:rPr>
        <w:t>促進</w:t>
      </w:r>
      <w:r w:rsidRPr="006D37D5">
        <w:rPr>
          <w:color w:val="000000" w:themeColor="text1"/>
          <w:lang w:eastAsia="ja-JP"/>
        </w:rPr>
        <w:t>する上で不可欠であるだけでなく、政策公約の実施や望ましい成果に向けた進捗に対する説明責任を強化するためにも不可欠です。</w:t>
      </w:r>
    </w:p>
    <w:p w14:paraId="787E8E37"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最後に、各国の統計システムが直面している制約を認識しなければなりません。限られた資源、競合する優先事項、そして不十分な能力が、進展を妨げています。これには、</w:t>
      </w:r>
      <w:r w:rsidRPr="006D37D5">
        <w:rPr>
          <w:rFonts w:hint="eastAsia"/>
          <w:color w:val="000000" w:themeColor="text1"/>
          <w:lang w:eastAsia="ja-JP"/>
        </w:rPr>
        <w:t>人権高等弁務官事務所（</w:t>
      </w:r>
      <w:r w:rsidRPr="006D37D5">
        <w:rPr>
          <w:color w:val="000000" w:themeColor="text1"/>
          <w:lang w:eastAsia="ja-JP"/>
        </w:rPr>
        <w:t>OHCHR</w:t>
      </w:r>
      <w:r w:rsidRPr="006D37D5">
        <w:rPr>
          <w:rFonts w:hint="eastAsia"/>
          <w:color w:val="000000" w:themeColor="text1"/>
          <w:lang w:eastAsia="ja-JP"/>
        </w:rPr>
        <w:t>）</w:t>
      </w:r>
      <w:r w:rsidRPr="006D37D5">
        <w:rPr>
          <w:color w:val="000000" w:themeColor="text1"/>
          <w:lang w:eastAsia="ja-JP"/>
        </w:rPr>
        <w:t>が提唱する「人権に基づくアプローチ」をデータに適用することにも影響が及んでいます。このアプローチは、私が既に述べたデータの</w:t>
      </w:r>
      <w:r w:rsidRPr="006D37D5">
        <w:rPr>
          <w:rFonts w:hint="eastAsia"/>
          <w:color w:val="000000" w:themeColor="text1"/>
          <w:lang w:eastAsia="ja-JP"/>
        </w:rPr>
        <w:t>分類</w:t>
      </w:r>
      <w:r w:rsidRPr="006D37D5">
        <w:rPr>
          <w:color w:val="000000" w:themeColor="text1"/>
          <w:lang w:eastAsia="ja-JP"/>
        </w:rPr>
        <w:t>や説明責任の原則に加え、参加、自己</w:t>
      </w:r>
      <w:r w:rsidRPr="006D37D5">
        <w:rPr>
          <w:rFonts w:hint="eastAsia"/>
          <w:color w:val="000000" w:themeColor="text1"/>
          <w:lang w:eastAsia="ja-JP"/>
        </w:rPr>
        <w:t>同定（</w:t>
      </w:r>
      <w:r w:rsidRPr="006D37D5">
        <w:rPr>
          <w:color w:val="000000" w:themeColor="text1"/>
          <w:lang w:eastAsia="ja-JP"/>
        </w:rPr>
        <w:t>self-identification</w:t>
      </w:r>
      <w:r w:rsidRPr="006D37D5">
        <w:rPr>
          <w:rFonts w:hint="eastAsia"/>
          <w:color w:val="000000" w:themeColor="text1"/>
          <w:lang w:eastAsia="ja-JP"/>
        </w:rPr>
        <w:t>）</w:t>
      </w:r>
      <w:r w:rsidRPr="006D37D5">
        <w:rPr>
          <w:color w:val="000000" w:themeColor="text1"/>
          <w:lang w:eastAsia="ja-JP"/>
        </w:rPr>
        <w:t>、透明性、プライバシーの原則を強調するものです。高齢者の中でも「</w:t>
      </w:r>
      <w:r w:rsidRPr="006D37D5">
        <w:rPr>
          <w:rFonts w:hint="eastAsia"/>
          <w:color w:val="000000" w:themeColor="text1"/>
          <w:lang w:eastAsia="ja-JP"/>
        </w:rPr>
        <w:t>支援が届きにくい層</w:t>
      </w:r>
      <w:r w:rsidRPr="006D37D5">
        <w:rPr>
          <w:color w:val="000000" w:themeColor="text1"/>
          <w:lang w:eastAsia="ja-JP"/>
        </w:rPr>
        <w:t>」に働きかけることは、困難であり、より多くの費用を要します。必要な投資には、強い政治的意志、明確な</w:t>
      </w:r>
      <w:r w:rsidRPr="006D37D5">
        <w:rPr>
          <w:rFonts w:hint="eastAsia"/>
          <w:color w:val="000000" w:themeColor="text1"/>
          <w:lang w:eastAsia="ja-JP"/>
        </w:rPr>
        <w:t>任務</w:t>
      </w:r>
      <w:r w:rsidRPr="006D37D5">
        <w:rPr>
          <w:color w:val="000000" w:themeColor="text1"/>
          <w:lang w:eastAsia="ja-JP"/>
        </w:rPr>
        <w:t xml:space="preserve">、そして資金投入が不可欠です。 </w:t>
      </w:r>
    </w:p>
    <w:p w14:paraId="2A22DB74"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 xml:space="preserve">皆様、尊敬する代表の皆様、同僚の皆様、 </w:t>
      </w:r>
    </w:p>
    <w:p w14:paraId="1649B434"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堅固で、</w:t>
      </w:r>
      <w:r w:rsidRPr="006D37D5">
        <w:rPr>
          <w:rFonts w:hint="eastAsia"/>
          <w:color w:val="000000" w:themeColor="text1"/>
          <w:lang w:eastAsia="ja-JP"/>
        </w:rPr>
        <w:t>分類</w:t>
      </w:r>
      <w:r w:rsidRPr="006D37D5">
        <w:rPr>
          <w:color w:val="000000" w:themeColor="text1"/>
          <w:lang w:eastAsia="ja-JP"/>
        </w:rPr>
        <w:t>され</w:t>
      </w:r>
      <w:r w:rsidRPr="006D37D5">
        <w:rPr>
          <w:rFonts w:hint="eastAsia"/>
          <w:color w:val="000000" w:themeColor="text1"/>
          <w:lang w:eastAsia="ja-JP"/>
        </w:rPr>
        <w:t>た</w:t>
      </w:r>
      <w:r w:rsidRPr="006D37D5">
        <w:rPr>
          <w:color w:val="000000" w:themeColor="text1"/>
          <w:lang w:eastAsia="ja-JP"/>
        </w:rPr>
        <w:t>、</w:t>
      </w:r>
      <w:r w:rsidRPr="006D37D5">
        <w:rPr>
          <w:rFonts w:hint="eastAsia"/>
          <w:color w:val="000000" w:themeColor="text1"/>
          <w:lang w:eastAsia="ja-JP"/>
        </w:rPr>
        <w:t>アクセスしやすい</w:t>
      </w:r>
      <w:r w:rsidRPr="006D37D5">
        <w:rPr>
          <w:color w:val="000000" w:themeColor="text1"/>
          <w:lang w:eastAsia="ja-JP"/>
        </w:rPr>
        <w:t>データがなければ、高齢者、その実情やニーズは、政策立案において見えな</w:t>
      </w:r>
      <w:r w:rsidRPr="006D37D5">
        <w:rPr>
          <w:rFonts w:hint="eastAsia"/>
          <w:color w:val="000000" w:themeColor="text1"/>
          <w:lang w:eastAsia="ja-JP"/>
        </w:rPr>
        <w:t>い</w:t>
      </w:r>
      <w:r w:rsidRPr="006D37D5">
        <w:rPr>
          <w:color w:val="000000" w:themeColor="text1"/>
          <w:lang w:eastAsia="ja-JP"/>
        </w:rPr>
        <w:t xml:space="preserve">ままとなります。 </w:t>
      </w:r>
    </w:p>
    <w:p w14:paraId="2492F82C"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高齢化に関するデータシステムを強化することで、すべての高齢者が認識され、その声が聞き入れられ、数えられることを</w:t>
      </w:r>
      <w:r w:rsidRPr="006D37D5">
        <w:rPr>
          <w:rFonts w:hint="eastAsia"/>
          <w:color w:val="000000" w:themeColor="text1"/>
          <w:lang w:eastAsia="ja-JP"/>
        </w:rPr>
        <w:t>確保することが</w:t>
      </w:r>
      <w:r w:rsidRPr="006D37D5">
        <w:rPr>
          <w:color w:val="000000" w:themeColor="text1"/>
          <w:lang w:eastAsia="ja-JP"/>
        </w:rPr>
        <w:t>できます。これは、高齢者が人権を</w:t>
      </w:r>
      <w:r w:rsidRPr="006D37D5">
        <w:rPr>
          <w:rFonts w:hint="eastAsia"/>
          <w:color w:val="000000" w:themeColor="text1"/>
          <w:lang w:eastAsia="ja-JP"/>
        </w:rPr>
        <w:t>完全に</w:t>
      </w:r>
      <w:r w:rsidRPr="006D37D5">
        <w:rPr>
          <w:color w:val="000000" w:themeColor="text1"/>
          <w:lang w:eastAsia="ja-JP"/>
        </w:rPr>
        <w:t>享受するために不可欠なことです。</w:t>
      </w:r>
    </w:p>
    <w:p w14:paraId="35477C30" w14:textId="77777777" w:rsidR="00651AE1" w:rsidRPr="006D37D5" w:rsidRDefault="00651AE1" w:rsidP="00651AE1">
      <w:pPr>
        <w:ind w:firstLineChars="100" w:firstLine="210"/>
        <w:rPr>
          <w:color w:val="000000" w:themeColor="text1"/>
          <w:lang w:eastAsia="ja-JP"/>
        </w:rPr>
      </w:pPr>
      <w:r w:rsidRPr="006D37D5">
        <w:rPr>
          <w:color w:val="000000" w:themeColor="text1"/>
          <w:lang w:eastAsia="ja-JP"/>
        </w:rPr>
        <w:t>ありがとうございました。</w:t>
      </w:r>
    </w:p>
    <w:p w14:paraId="12740CDD" w14:textId="77777777" w:rsidR="00651AE1" w:rsidRPr="006D37D5" w:rsidRDefault="00651AE1" w:rsidP="00651AE1">
      <w:pPr>
        <w:rPr>
          <w:color w:val="000000" w:themeColor="text1"/>
          <w:lang w:eastAsia="ja-JP"/>
        </w:rPr>
      </w:pPr>
    </w:p>
    <w:p w14:paraId="6EC161AF" w14:textId="77777777" w:rsidR="00651AE1" w:rsidRPr="006D37D5" w:rsidRDefault="00651AE1" w:rsidP="00651AE1">
      <w:pPr>
        <w:ind w:firstLineChars="100" w:firstLine="210"/>
        <w:jc w:val="right"/>
        <w:rPr>
          <w:color w:val="000000" w:themeColor="text1"/>
          <w:lang w:eastAsia="ja-JP"/>
        </w:rPr>
      </w:pPr>
      <w:r w:rsidRPr="006D37D5">
        <w:rPr>
          <w:rFonts w:hint="eastAsia"/>
          <w:color w:val="000000" w:themeColor="text1"/>
          <w:lang w:eastAsia="ja-JP"/>
        </w:rPr>
        <w:t>（翻訳：佐藤久夫、高田清恵）</w:t>
      </w:r>
    </w:p>
    <w:p w14:paraId="29833C6D" w14:textId="77777777" w:rsidR="00651AE1" w:rsidRDefault="00651AE1">
      <w:pPr>
        <w:rPr>
          <w:rFonts w:hint="eastAsia"/>
          <w:lang w:eastAsia="ja-JP"/>
        </w:rPr>
      </w:pPr>
    </w:p>
    <w:sectPr w:rsidR="00651AE1"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5D39" w14:textId="77777777" w:rsidR="00651AE1" w:rsidRDefault="00651AE1" w:rsidP="00651AE1">
      <w:r>
        <w:separator/>
      </w:r>
    </w:p>
  </w:endnote>
  <w:endnote w:type="continuationSeparator" w:id="0">
    <w:p w14:paraId="7E46CA47" w14:textId="77777777" w:rsidR="00651AE1" w:rsidRDefault="00651AE1" w:rsidP="006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233967"/>
      <w:docPartObj>
        <w:docPartGallery w:val="Page Numbers (Bottom of Page)"/>
        <w:docPartUnique/>
      </w:docPartObj>
    </w:sdtPr>
    <w:sdtContent>
      <w:p w14:paraId="13ABF8A1" w14:textId="60D6BF52" w:rsidR="00651AE1" w:rsidRDefault="00651AE1">
        <w:pPr>
          <w:pStyle w:val="ac"/>
        </w:pPr>
        <w:r>
          <w:fldChar w:fldCharType="begin"/>
        </w:r>
        <w:r>
          <w:instrText>PAGE   \* MERGEFORMAT</w:instrText>
        </w:r>
        <w:r>
          <w:fldChar w:fldCharType="separate"/>
        </w:r>
        <w:r>
          <w:rPr>
            <w:lang w:val="ja-JP" w:eastAsia="ja-JP"/>
          </w:rPr>
          <w:t>2</w:t>
        </w:r>
        <w:r>
          <w:fldChar w:fldCharType="end"/>
        </w:r>
      </w:p>
    </w:sdtContent>
  </w:sdt>
  <w:p w14:paraId="45E2219E" w14:textId="77777777" w:rsidR="00651AE1" w:rsidRDefault="00651A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947334"/>
      <w:docPartObj>
        <w:docPartGallery w:val="Page Numbers (Bottom of Page)"/>
        <w:docPartUnique/>
      </w:docPartObj>
    </w:sdtPr>
    <w:sdtContent>
      <w:p w14:paraId="155373B8" w14:textId="1A377837" w:rsidR="00651AE1" w:rsidRDefault="00651AE1">
        <w:pPr>
          <w:pStyle w:val="ac"/>
        </w:pPr>
        <w:r>
          <w:fldChar w:fldCharType="begin"/>
        </w:r>
        <w:r>
          <w:instrText>PAGE   \* MERGEFORMAT</w:instrText>
        </w:r>
        <w:r>
          <w:fldChar w:fldCharType="separate"/>
        </w:r>
        <w:r>
          <w:rPr>
            <w:lang w:val="ja-JP" w:eastAsia="ja-JP"/>
          </w:rPr>
          <w:t>2</w:t>
        </w:r>
        <w:r>
          <w:fldChar w:fldCharType="end"/>
        </w:r>
      </w:p>
    </w:sdtContent>
  </w:sdt>
  <w:p w14:paraId="5362EE0E" w14:textId="77777777" w:rsidR="00651AE1" w:rsidRDefault="00651A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FE0" w14:textId="77777777" w:rsidR="00651AE1" w:rsidRDefault="00651AE1" w:rsidP="00651AE1">
      <w:r>
        <w:separator/>
      </w:r>
    </w:p>
  </w:footnote>
  <w:footnote w:type="continuationSeparator" w:id="0">
    <w:p w14:paraId="65682524" w14:textId="77777777" w:rsidR="00651AE1" w:rsidRDefault="00651AE1" w:rsidP="00651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E1"/>
    <w:rsid w:val="000B2AFD"/>
    <w:rsid w:val="00152B39"/>
    <w:rsid w:val="003126F0"/>
    <w:rsid w:val="003A6E34"/>
    <w:rsid w:val="00651AE1"/>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617B2"/>
  <w15:chartTrackingRefBased/>
  <w15:docId w15:val="{1898777C-04C9-443C-8B61-46E858A4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AE1"/>
    <w:pPr>
      <w:widowControl w:val="0"/>
      <w:jc w:val="both"/>
    </w:pPr>
  </w:style>
  <w:style w:type="paragraph" w:styleId="1">
    <w:name w:val="heading 1"/>
    <w:basedOn w:val="a"/>
    <w:next w:val="a"/>
    <w:link w:val="10"/>
    <w:uiPriority w:val="9"/>
    <w:qFormat/>
    <w:rsid w:val="00651A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1A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1A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1A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1A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1A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1A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1A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1A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1A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1A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1A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1A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1A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1A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1A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1A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1A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1A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1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A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1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AE1"/>
    <w:pPr>
      <w:spacing w:before="160" w:after="160"/>
      <w:jc w:val="center"/>
    </w:pPr>
    <w:rPr>
      <w:i/>
      <w:iCs/>
      <w:color w:val="404040" w:themeColor="text1" w:themeTint="BF"/>
    </w:rPr>
  </w:style>
  <w:style w:type="character" w:customStyle="1" w:styleId="a8">
    <w:name w:val="引用文 (文字)"/>
    <w:basedOn w:val="a0"/>
    <w:link w:val="a7"/>
    <w:uiPriority w:val="29"/>
    <w:rsid w:val="00651AE1"/>
    <w:rPr>
      <w:i/>
      <w:iCs/>
      <w:color w:val="404040" w:themeColor="text1" w:themeTint="BF"/>
    </w:rPr>
  </w:style>
  <w:style w:type="paragraph" w:styleId="a9">
    <w:name w:val="List Paragraph"/>
    <w:basedOn w:val="a"/>
    <w:uiPriority w:val="34"/>
    <w:qFormat/>
    <w:rsid w:val="00651AE1"/>
    <w:pPr>
      <w:ind w:left="720"/>
      <w:contextualSpacing/>
    </w:pPr>
  </w:style>
  <w:style w:type="character" w:styleId="21">
    <w:name w:val="Intense Emphasis"/>
    <w:basedOn w:val="a0"/>
    <w:uiPriority w:val="21"/>
    <w:qFormat/>
    <w:rsid w:val="00651AE1"/>
    <w:rPr>
      <w:i/>
      <w:iCs/>
      <w:color w:val="2F5496" w:themeColor="accent1" w:themeShade="BF"/>
    </w:rPr>
  </w:style>
  <w:style w:type="paragraph" w:styleId="22">
    <w:name w:val="Intense Quote"/>
    <w:basedOn w:val="a"/>
    <w:next w:val="a"/>
    <w:link w:val="23"/>
    <w:uiPriority w:val="30"/>
    <w:qFormat/>
    <w:rsid w:val="00651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51AE1"/>
    <w:rPr>
      <w:i/>
      <w:iCs/>
      <w:color w:val="2F5496" w:themeColor="accent1" w:themeShade="BF"/>
    </w:rPr>
  </w:style>
  <w:style w:type="character" w:styleId="24">
    <w:name w:val="Intense Reference"/>
    <w:basedOn w:val="a0"/>
    <w:uiPriority w:val="32"/>
    <w:qFormat/>
    <w:rsid w:val="00651AE1"/>
    <w:rPr>
      <w:b/>
      <w:bCs/>
      <w:smallCaps/>
      <w:color w:val="2F5496" w:themeColor="accent1" w:themeShade="BF"/>
      <w:spacing w:val="5"/>
    </w:rPr>
  </w:style>
  <w:style w:type="paragraph" w:styleId="aa">
    <w:name w:val="header"/>
    <w:basedOn w:val="a"/>
    <w:link w:val="ab"/>
    <w:uiPriority w:val="99"/>
    <w:unhideWhenUsed/>
    <w:rsid w:val="00651AE1"/>
    <w:pPr>
      <w:tabs>
        <w:tab w:val="center" w:pos="4252"/>
        <w:tab w:val="right" w:pos="8504"/>
      </w:tabs>
      <w:snapToGrid w:val="0"/>
    </w:pPr>
  </w:style>
  <w:style w:type="character" w:customStyle="1" w:styleId="ab">
    <w:name w:val="ヘッダー (文字)"/>
    <w:basedOn w:val="a0"/>
    <w:link w:val="aa"/>
    <w:uiPriority w:val="99"/>
    <w:rsid w:val="00651AE1"/>
  </w:style>
  <w:style w:type="paragraph" w:styleId="ac">
    <w:name w:val="footer"/>
    <w:basedOn w:val="a"/>
    <w:link w:val="ad"/>
    <w:uiPriority w:val="99"/>
    <w:unhideWhenUsed/>
    <w:rsid w:val="00651AE1"/>
    <w:pPr>
      <w:tabs>
        <w:tab w:val="center" w:pos="4252"/>
        <w:tab w:val="right" w:pos="8504"/>
      </w:tabs>
      <w:snapToGrid w:val="0"/>
    </w:pPr>
  </w:style>
  <w:style w:type="character" w:customStyle="1" w:styleId="ad">
    <w:name w:val="フッター (文字)"/>
    <w:basedOn w:val="a0"/>
    <w:link w:val="ac"/>
    <w:uiPriority w:val="99"/>
    <w:rsid w:val="0065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2026-05-22T13:48:00Z</dcterms:modified>
</cp:coreProperties>
</file>