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9179" w14:textId="71708208" w:rsidR="00F00825" w:rsidRPr="00F00825" w:rsidRDefault="00F00825" w:rsidP="00F00825">
      <w:pPr>
        <w:spacing w:after="0" w:line="259" w:lineRule="auto"/>
        <w:ind w:left="22" w:firstLine="0"/>
        <w:rPr>
          <w:rFonts w:ascii="BIZ UDPゴシック" w:eastAsia="BIZ UDPゴシック" w:hAnsi="BIZ UDPゴシック"/>
          <w:b/>
          <w:sz w:val="28"/>
          <w:szCs w:val="28"/>
        </w:rPr>
      </w:pPr>
      <w:r w:rsidRPr="00F00825">
        <w:rPr>
          <w:rFonts w:ascii="BIZ UDPゴシック" w:eastAsia="BIZ UDPゴシック" w:hAnsi="BIZ UDPゴシック" w:hint="eastAsia"/>
          <w:b/>
          <w:sz w:val="28"/>
          <w:szCs w:val="28"/>
        </w:rPr>
        <w:t>議長による「思考のヒント」報告：</w:t>
      </w:r>
    </w:p>
    <w:p w14:paraId="6B81CB9F" w14:textId="4792774D" w:rsidR="00D94403" w:rsidRDefault="00BC617C">
      <w:pPr>
        <w:spacing w:after="306" w:line="259" w:lineRule="auto"/>
        <w:ind w:left="22" w:firstLine="0"/>
        <w:rPr>
          <w:rFonts w:ascii="BIZ UDPゴシック" w:eastAsia="BIZ UDPゴシック" w:hAnsi="BIZ UDPゴシック"/>
          <w:b/>
          <w:sz w:val="28"/>
          <w:szCs w:val="28"/>
        </w:rPr>
      </w:pPr>
      <w:r w:rsidRPr="00F00825">
        <w:rPr>
          <w:rFonts w:ascii="BIZ UDPゴシック" w:eastAsia="BIZ UDPゴシック" w:hAnsi="BIZ UDPゴシック"/>
          <w:b/>
          <w:sz w:val="28"/>
          <w:szCs w:val="28"/>
        </w:rPr>
        <w:t>高齢者の人権に関する法的拘束力のある文書に向けて</w:t>
      </w:r>
    </w:p>
    <w:p w14:paraId="568BC25F" w14:textId="5575D137" w:rsidR="00725467" w:rsidRPr="00725467" w:rsidRDefault="00725467">
      <w:pPr>
        <w:spacing w:after="306" w:line="259" w:lineRule="auto"/>
        <w:ind w:left="22" w:firstLine="0"/>
        <w:rPr>
          <w:rFonts w:ascii="BIZ UDPゴシック" w:eastAsia="BIZ UDPゴシック" w:hAnsi="BIZ UDPゴシック" w:hint="eastAsia"/>
          <w:sz w:val="24"/>
        </w:rPr>
      </w:pPr>
      <w:r w:rsidRPr="00725467">
        <w:rPr>
          <w:rFonts w:ascii="BIZ UDPゴシック" w:eastAsia="BIZ UDPゴシック" w:hAnsi="BIZ UDPゴシック"/>
          <w:sz w:val="24"/>
        </w:rPr>
        <w:t>Chair’s Food for Thought Paper: Towards a Legally Binding Instrument on the Human Rights of Older Persons</w:t>
      </w:r>
    </w:p>
    <w:p w14:paraId="6D6D907D" w14:textId="77777777" w:rsidR="00D94403" w:rsidRPr="00F00825" w:rsidRDefault="00BC617C">
      <w:pPr>
        <w:pStyle w:val="1"/>
        <w:ind w:left="17"/>
        <w:rPr>
          <w:rFonts w:ascii="BIZ UDPゴシック" w:eastAsia="BIZ UDPゴシック" w:hAnsi="BIZ UDPゴシック"/>
        </w:rPr>
      </w:pPr>
      <w:r w:rsidRPr="00F00825">
        <w:rPr>
          <w:rFonts w:ascii="BIZ UDPゴシック" w:eastAsia="BIZ UDPゴシック" w:hAnsi="BIZ UDPゴシック" w:cs="Times New Roman"/>
          <w:sz w:val="26"/>
        </w:rPr>
        <w:t xml:space="preserve">I. </w:t>
      </w:r>
      <w:r w:rsidRPr="00F00825">
        <w:rPr>
          <w:rFonts w:ascii="BIZ UDPゴシック" w:eastAsia="BIZ UDPゴシック" w:hAnsi="BIZ UDPゴシック"/>
        </w:rPr>
        <w:t>はじめに</w:t>
      </w:r>
    </w:p>
    <w:p w14:paraId="1F4D03D2" w14:textId="7C4E0D9B" w:rsidR="00D94403" w:rsidRPr="00981716" w:rsidRDefault="00BC617C" w:rsidP="00981716">
      <w:pPr>
        <w:pStyle w:val="21"/>
      </w:pPr>
      <w:r w:rsidRPr="00981716">
        <w:t>人口の高齢化は、</w:t>
      </w:r>
      <w:r w:rsidRPr="00981716">
        <w:t>21</w:t>
      </w:r>
      <w:r w:rsidRPr="00981716">
        <w:t>世紀を特徴づける人口動態的変容の一つである。世界各地で平均寿命が延びるにつれ、</w:t>
      </w:r>
      <w:r w:rsidRPr="00981716">
        <w:t>60</w:t>
      </w:r>
      <w:r w:rsidRPr="00981716">
        <w:t>歳以上の人の数は</w:t>
      </w:r>
      <w:r w:rsidRPr="00981716">
        <w:t>2050</w:t>
      </w:r>
      <w:r w:rsidRPr="00981716">
        <w:t>年までに</w:t>
      </w:r>
      <w:r w:rsidRPr="00981716">
        <w:t>2</w:t>
      </w:r>
      <w:r w:rsidRPr="00981716">
        <w:t>倍になると予測されている。しかし、こうした変化にもかかわらず、高齢者は依然として国際人権法の下で不十分な保護しか受けていない。国連の人権条約</w:t>
      </w:r>
      <w:r w:rsidRPr="00981716">
        <w:t>などの既存の枠組み</w:t>
      </w:r>
      <w:r w:rsidRPr="00981716">
        <w:t>は、加齢に伴う懸念に間接的にしか対処しておらず、その結果、社会保障制度が逼迫している状況下で</w:t>
      </w:r>
      <w:r w:rsidRPr="00981716">
        <w:t>、</w:t>
      </w:r>
      <w:r w:rsidRPr="00981716">
        <w:t>規範上の</w:t>
      </w:r>
      <w:r w:rsidR="00981716">
        <w:rPr>
          <w:rFonts w:hint="eastAsia"/>
        </w:rPr>
        <w:t>欠落</w:t>
      </w:r>
      <w:r w:rsidRPr="00981716">
        <w:t>や保護の不統一が生じている。</w:t>
      </w:r>
    </w:p>
    <w:p w14:paraId="6898653B" w14:textId="77469A74" w:rsidR="00D94403" w:rsidRPr="00F00825" w:rsidRDefault="00BC617C" w:rsidP="00981716">
      <w:pPr>
        <w:pStyle w:val="21"/>
      </w:pPr>
      <w:r w:rsidRPr="00F00825">
        <w:t>これに対応して、人権理事会は決議</w:t>
      </w:r>
      <w:r w:rsidRPr="00981716">
        <w:rPr>
          <w:rFonts w:cs="Times New Roman"/>
        </w:rPr>
        <w:t>58/13</w:t>
      </w:r>
      <w:r w:rsidRPr="00F00825">
        <w:t>を採択し、高齢者の人権の承認と享受を国際法に明文化する法的拘束力のある文書</w:t>
      </w:r>
      <w:r w:rsidR="004C5F06">
        <w:rPr>
          <w:rFonts w:hint="eastAsia"/>
        </w:rPr>
        <w:t>（LBI</w:t>
      </w:r>
      <w:r w:rsidR="004C5F06">
        <w:t>）</w:t>
      </w:r>
      <w:r w:rsidRPr="00F00825">
        <w:t>を策定するため、現在の「無期限政府間作業部会</w:t>
      </w:r>
      <w:r w:rsidRPr="00981716">
        <w:t>（</w:t>
      </w:r>
      <w:r w:rsidRPr="00981716">
        <w:rPr>
          <w:rFonts w:cs="Times New Roman"/>
        </w:rPr>
        <w:t>OEIGWG</w:t>
      </w:r>
      <w:r w:rsidRPr="00981716">
        <w:t>）</w:t>
      </w:r>
      <w:r w:rsidRPr="00F00825">
        <w:t>」を設置した。</w:t>
      </w:r>
    </w:p>
    <w:p w14:paraId="5E757092" w14:textId="67A2CCD1" w:rsidR="00F00825" w:rsidRPr="00F00825" w:rsidRDefault="00BC617C" w:rsidP="00576A18">
      <w:pPr>
        <w:pStyle w:val="21"/>
        <w:rPr>
          <w:rFonts w:hint="eastAsia"/>
        </w:rPr>
      </w:pPr>
      <w:r w:rsidRPr="00F00825">
        <w:t>本稿では、そのような文書の可能な構成を検討し、その中核となる指針を特定するとともに、</w:t>
      </w:r>
      <w:r w:rsidRPr="00F00825">
        <w:rPr>
          <w:rFonts w:cs="Times New Roman"/>
        </w:rPr>
        <w:t>OEIGWG</w:t>
      </w:r>
      <w:r w:rsidRPr="00F00825">
        <w:rPr>
          <w:rFonts w:cs="Times New Roman"/>
          <w:sz w:val="25"/>
          <w:vertAlign w:val="subscript"/>
        </w:rPr>
        <w:t xml:space="preserve"> </w:t>
      </w:r>
      <w:r w:rsidR="00576A18">
        <w:rPr>
          <w:rFonts w:hint="eastAsia"/>
        </w:rPr>
        <w:t>での</w:t>
      </w:r>
      <w:r w:rsidRPr="00F00825">
        <w:t>政府間交渉のための将来を見据えた枠組みを提示する。</w:t>
      </w:r>
    </w:p>
    <w:p w14:paraId="79FBC6B3" w14:textId="7645C982" w:rsidR="00D94403" w:rsidRPr="00576A18" w:rsidRDefault="00BC617C">
      <w:pPr>
        <w:pStyle w:val="1"/>
        <w:ind w:left="17"/>
        <w:rPr>
          <w:rFonts w:ascii="BIZ UDPゴシック" w:eastAsia="BIZ UDPゴシック" w:hAnsi="BIZ UDPゴシック"/>
          <w:sz w:val="21"/>
          <w:szCs w:val="21"/>
        </w:rPr>
      </w:pPr>
      <w:r w:rsidRPr="00576A18">
        <w:rPr>
          <w:rFonts w:ascii="BIZ UDPゴシック" w:eastAsia="BIZ UDPゴシック" w:hAnsi="BIZ UDPゴシック" w:cs="Times New Roman"/>
          <w:sz w:val="21"/>
          <w:szCs w:val="21"/>
        </w:rPr>
        <w:t xml:space="preserve">II. </w:t>
      </w:r>
      <w:r w:rsidR="00576A18">
        <w:rPr>
          <w:rFonts w:ascii="BIZ UDPゴシック" w:eastAsia="BIZ UDPゴシック" w:hAnsi="BIZ UDPゴシック" w:cs="Times New Roman" w:hint="eastAsia"/>
          <w:sz w:val="21"/>
          <w:szCs w:val="21"/>
        </w:rPr>
        <w:t>この</w:t>
      </w:r>
      <w:r w:rsidRPr="00576A18">
        <w:rPr>
          <w:rFonts w:ascii="BIZ UDPゴシック" w:eastAsia="BIZ UDPゴシック" w:hAnsi="BIZ UDPゴシック"/>
          <w:sz w:val="21"/>
          <w:szCs w:val="21"/>
        </w:rPr>
        <w:t>文書の</w:t>
      </w:r>
      <w:r w:rsidR="00576A18">
        <w:rPr>
          <w:rFonts w:ascii="BIZ UDPゴシック" w:eastAsia="BIZ UDPゴシック" w:hAnsi="BIZ UDPゴシック" w:hint="eastAsia"/>
          <w:sz w:val="21"/>
          <w:szCs w:val="21"/>
        </w:rPr>
        <w:t>構成の</w:t>
      </w:r>
      <w:r w:rsidR="00576A18" w:rsidRPr="00576A18">
        <w:rPr>
          <w:rFonts w:ascii="BIZ UDPゴシック" w:eastAsia="BIZ UDPゴシック" w:hAnsi="BIZ UDPゴシック"/>
          <w:sz w:val="21"/>
          <w:szCs w:val="21"/>
        </w:rPr>
        <w:t>提案</w:t>
      </w:r>
    </w:p>
    <w:p w14:paraId="4051ED7F" w14:textId="37631D99" w:rsidR="00D94403" w:rsidRPr="00F00825" w:rsidRDefault="00BC617C" w:rsidP="00981716">
      <w:pPr>
        <w:pStyle w:val="21"/>
      </w:pPr>
      <w:r w:rsidRPr="00F00825">
        <w:t>首尾一貫した効果的な法的拘束力のある文書は、既存の人権条約と整合性のある</w:t>
      </w:r>
      <w:r w:rsidR="00576A18">
        <w:rPr>
          <w:rFonts w:hint="eastAsia"/>
        </w:rPr>
        <w:t>構成</w:t>
      </w:r>
      <w:r w:rsidRPr="00F00825">
        <w:t>を備えつつ</w:t>
      </w:r>
      <w:r w:rsidRPr="00F00825">
        <w:t>、高齢化という特定の現実に適応したもの</w:t>
      </w:r>
      <w:r w:rsidR="00576A18">
        <w:rPr>
          <w:rFonts w:hint="eastAsia"/>
        </w:rPr>
        <w:t>とす</w:t>
      </w:r>
      <w:r w:rsidRPr="00F00825">
        <w:t>べきである。</w:t>
      </w:r>
    </w:p>
    <w:p w14:paraId="2210F44F" w14:textId="77777777" w:rsidR="00D94403" w:rsidRPr="00576A18" w:rsidRDefault="00BC617C">
      <w:pPr>
        <w:spacing w:after="291" w:line="259" w:lineRule="auto"/>
        <w:ind w:left="17"/>
        <w:rPr>
          <w:rFonts w:ascii="BIZ UDPゴシック" w:eastAsia="BIZ UDPゴシック" w:hAnsi="BIZ UDPゴシック"/>
          <w:sz w:val="21"/>
          <w:szCs w:val="21"/>
        </w:rPr>
      </w:pPr>
      <w:r w:rsidRPr="00576A18">
        <w:rPr>
          <w:rFonts w:ascii="BIZ UDPゴシック" w:eastAsia="BIZ UDPゴシック" w:hAnsi="BIZ UDPゴシック" w:cs="Times New Roman"/>
          <w:b/>
          <w:sz w:val="21"/>
          <w:szCs w:val="21"/>
        </w:rPr>
        <w:t xml:space="preserve">1. </w:t>
      </w:r>
      <w:r w:rsidRPr="00576A18">
        <w:rPr>
          <w:rFonts w:ascii="BIZ UDPゴシック" w:eastAsia="BIZ UDPゴシック" w:hAnsi="BIZ UDPゴシック"/>
          <w:b/>
          <w:sz w:val="21"/>
          <w:szCs w:val="21"/>
        </w:rPr>
        <w:t>前文</w:t>
      </w:r>
    </w:p>
    <w:p w14:paraId="7F794600" w14:textId="2D6EEC68" w:rsidR="00D94403" w:rsidRPr="00F00825" w:rsidRDefault="00BC617C" w:rsidP="00E46D69">
      <w:pPr>
        <w:pStyle w:val="21"/>
        <w:spacing w:after="0"/>
      </w:pPr>
      <w:r w:rsidRPr="00F00825">
        <w:t>前文では、</w:t>
      </w:r>
    </w:p>
    <w:p w14:paraId="6A7F5CE4" w14:textId="1117B701" w:rsidR="00D94403" w:rsidRPr="00F00825" w:rsidRDefault="00BC617C" w:rsidP="00E46D69">
      <w:pPr>
        <w:pStyle w:val="21"/>
        <w:spacing w:after="0"/>
      </w:pPr>
      <w:r w:rsidRPr="00F00825">
        <w:rPr>
          <w:noProof/>
        </w:rPr>
        <w:drawing>
          <wp:inline distT="0" distB="0" distL="0" distR="0" wp14:anchorId="504EF3F0" wp14:editId="7FF117B9">
            <wp:extent cx="42671" cy="42672"/>
            <wp:effectExtent l="0" t="0" r="0" b="0"/>
            <wp:docPr id="497" name="Pictu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7"/>
                    <a:stretch>
                      <a:fillRect/>
                    </a:stretch>
                  </pic:blipFill>
                  <pic:spPr>
                    <a:xfrm>
                      <a:off x="0" y="0"/>
                      <a:ext cx="42671" cy="42672"/>
                    </a:xfrm>
                    <a:prstGeom prst="rect">
                      <a:avLst/>
                    </a:prstGeom>
                  </pic:spPr>
                </pic:pic>
              </a:graphicData>
            </a:graphic>
          </wp:inline>
        </w:drawing>
      </w:r>
      <w:r w:rsidRPr="00F00825">
        <w:t xml:space="preserve"> </w:t>
      </w:r>
      <w:r w:rsidRPr="00F00825">
        <w:t>高齢者の</w:t>
      </w:r>
      <w:r w:rsidR="0083032B">
        <w:rPr>
          <w:rFonts w:hint="eastAsia"/>
        </w:rPr>
        <w:t>、</w:t>
      </w:r>
      <w:r w:rsidRPr="00F00825">
        <w:t>固有の人間の尊厳</w:t>
      </w:r>
      <w:r w:rsidR="0083032B">
        <w:rPr>
          <w:rFonts w:hint="eastAsia"/>
        </w:rPr>
        <w:t>と</w:t>
      </w:r>
      <w:r w:rsidRPr="00F00825">
        <w:t>法の下での平等を</w:t>
      </w:r>
      <w:r w:rsidR="0083032B">
        <w:rPr>
          <w:rFonts w:hint="eastAsia"/>
        </w:rPr>
        <w:t>、</w:t>
      </w:r>
      <w:r w:rsidRPr="00F00825">
        <w:t>普遍的に再確認する。</w:t>
      </w:r>
    </w:p>
    <w:p w14:paraId="331B9070" w14:textId="55D4549D" w:rsidR="00D94403" w:rsidRPr="00F00825" w:rsidRDefault="00BC617C" w:rsidP="00E46D69">
      <w:pPr>
        <w:pStyle w:val="21"/>
        <w:spacing w:after="0"/>
      </w:pPr>
      <w:r w:rsidRPr="00F00825">
        <w:rPr>
          <w:noProof/>
        </w:rPr>
        <w:drawing>
          <wp:inline distT="0" distB="0" distL="0" distR="0" wp14:anchorId="5F2816BB" wp14:editId="1FFCEDF6">
            <wp:extent cx="42671" cy="42672"/>
            <wp:effectExtent l="0" t="0" r="0" b="0"/>
            <wp:docPr id="499" name="Picture 499"/>
            <wp:cNvGraphicFramePr/>
            <a:graphic xmlns:a="http://schemas.openxmlformats.org/drawingml/2006/main">
              <a:graphicData uri="http://schemas.openxmlformats.org/drawingml/2006/picture">
                <pic:pic xmlns:pic="http://schemas.openxmlformats.org/drawingml/2006/picture">
                  <pic:nvPicPr>
                    <pic:cNvPr id="499" name="Picture 499"/>
                    <pic:cNvPicPr/>
                  </pic:nvPicPr>
                  <pic:blipFill>
                    <a:blip r:embed="rId8"/>
                    <a:stretch>
                      <a:fillRect/>
                    </a:stretch>
                  </pic:blipFill>
                  <pic:spPr>
                    <a:xfrm>
                      <a:off x="0" y="0"/>
                      <a:ext cx="42671" cy="42672"/>
                    </a:xfrm>
                    <a:prstGeom prst="rect">
                      <a:avLst/>
                    </a:prstGeom>
                  </pic:spPr>
                </pic:pic>
              </a:graphicData>
            </a:graphic>
          </wp:inline>
        </w:drawing>
      </w:r>
      <w:r w:rsidRPr="00F00825">
        <w:t xml:space="preserve"> </w:t>
      </w:r>
      <w:r w:rsidRPr="00F00825">
        <w:t>人口の高齢化を、開発途上国を含め、高齢</w:t>
      </w:r>
      <w:r w:rsidRPr="00F00825">
        <w:t>社会への移行という政策上の課題として認識する。</w:t>
      </w:r>
    </w:p>
    <w:p w14:paraId="4380EAF5" w14:textId="7E2C8779" w:rsidR="00D94403" w:rsidRPr="00F00825" w:rsidRDefault="00BC617C" w:rsidP="00E46D69">
      <w:pPr>
        <w:pStyle w:val="21"/>
        <w:spacing w:after="0"/>
      </w:pPr>
      <w:r w:rsidRPr="00F00825">
        <w:rPr>
          <w:noProof/>
        </w:rPr>
        <w:drawing>
          <wp:inline distT="0" distB="0" distL="0" distR="0" wp14:anchorId="4541AAAB" wp14:editId="033D33B9">
            <wp:extent cx="42671" cy="42671"/>
            <wp:effectExtent l="0" t="0" r="0" b="0"/>
            <wp:docPr id="501" name="Picture 50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9"/>
                    <a:stretch>
                      <a:fillRect/>
                    </a:stretch>
                  </pic:blipFill>
                  <pic:spPr>
                    <a:xfrm>
                      <a:off x="0" y="0"/>
                      <a:ext cx="42671" cy="42671"/>
                    </a:xfrm>
                    <a:prstGeom prst="rect">
                      <a:avLst/>
                    </a:prstGeom>
                  </pic:spPr>
                </pic:pic>
              </a:graphicData>
            </a:graphic>
          </wp:inline>
        </w:drawing>
      </w:r>
      <w:r w:rsidRPr="00F00825">
        <w:t xml:space="preserve"> </w:t>
      </w:r>
      <w:r w:rsidRPr="00F00825">
        <w:t>平等な待遇を受ける権利</w:t>
      </w:r>
      <w:r w:rsidR="0083032B">
        <w:rPr>
          <w:rFonts w:hint="eastAsia"/>
        </w:rPr>
        <w:t>を強調する。また、</w:t>
      </w:r>
      <w:r w:rsidRPr="00F00825">
        <w:t>高齢化に適応した平等な機会を提供するために社会で必要</w:t>
      </w:r>
      <w:r w:rsidR="0083032B">
        <w:rPr>
          <w:rFonts w:hint="eastAsia"/>
        </w:rPr>
        <w:t>とされる</w:t>
      </w:r>
      <w:r w:rsidRPr="00F00825">
        <w:t>比例的な調整を強調する。</w:t>
      </w:r>
    </w:p>
    <w:p w14:paraId="43C2A3C7" w14:textId="77777777" w:rsidR="00D94403" w:rsidRPr="00F00825" w:rsidRDefault="00BC617C" w:rsidP="00E46D69">
      <w:pPr>
        <w:pStyle w:val="21"/>
        <w:spacing w:after="0"/>
      </w:pPr>
      <w:r w:rsidRPr="00F00825">
        <w:rPr>
          <w:noProof/>
        </w:rPr>
        <w:drawing>
          <wp:inline distT="0" distB="0" distL="0" distR="0" wp14:anchorId="5DF5EC43" wp14:editId="3E75BF0D">
            <wp:extent cx="42671" cy="42671"/>
            <wp:effectExtent l="0" t="0" r="0" b="0"/>
            <wp:docPr id="503" name="Picture 503"/>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8"/>
                    <a:stretch>
                      <a:fillRect/>
                    </a:stretch>
                  </pic:blipFill>
                  <pic:spPr>
                    <a:xfrm>
                      <a:off x="0" y="0"/>
                      <a:ext cx="42671" cy="42671"/>
                    </a:xfrm>
                    <a:prstGeom prst="rect">
                      <a:avLst/>
                    </a:prstGeom>
                  </pic:spPr>
                </pic:pic>
              </a:graphicData>
            </a:graphic>
          </wp:inline>
        </w:drawing>
      </w:r>
      <w:r w:rsidRPr="00F00825">
        <w:t xml:space="preserve"> </w:t>
      </w:r>
      <w:r w:rsidRPr="00F00825">
        <w:t>すべての関連する利害関係者の見解を考慮に入れる。</w:t>
      </w:r>
    </w:p>
    <w:p w14:paraId="36A668DD" w14:textId="77777777" w:rsidR="00576A18" w:rsidRDefault="00576A18" w:rsidP="00E46D69">
      <w:pPr>
        <w:pStyle w:val="21"/>
        <w:spacing w:after="0"/>
      </w:pPr>
      <w:r w:rsidRPr="00F00825">
        <w:rPr>
          <w:noProof/>
        </w:rPr>
        <w:drawing>
          <wp:inline distT="0" distB="0" distL="0" distR="0" wp14:anchorId="2B90326F" wp14:editId="55EBA4F7">
            <wp:extent cx="42671" cy="42671"/>
            <wp:effectExtent l="0" t="0" r="0" b="0"/>
            <wp:docPr id="684100061" name="Picture 503"/>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8"/>
                    <a:stretch>
                      <a:fillRect/>
                    </a:stretch>
                  </pic:blipFill>
                  <pic:spPr>
                    <a:xfrm>
                      <a:off x="0" y="0"/>
                      <a:ext cx="42671" cy="42671"/>
                    </a:xfrm>
                    <a:prstGeom prst="rect">
                      <a:avLst/>
                    </a:prstGeom>
                  </pic:spPr>
                </pic:pic>
              </a:graphicData>
            </a:graphic>
          </wp:inline>
        </w:drawing>
      </w:r>
      <w:r w:rsidR="00BC617C" w:rsidRPr="00F00825">
        <w:t xml:space="preserve"> </w:t>
      </w:r>
      <w:r w:rsidR="00BC617C" w:rsidRPr="00F00825">
        <w:t>また、高齢者は均質な集団ではなく、すべての人間と同様に、</w:t>
      </w:r>
      <w:r w:rsidR="00BC617C" w:rsidRPr="00F00825">
        <w:t>いかなる区別もなく、あらゆる権利と自由、生命の自由と安全、そして自らの個性を十分に発展させる権利を有していることを認めるべきである。</w:t>
      </w:r>
    </w:p>
    <w:p w14:paraId="28C52025" w14:textId="1BE90A99" w:rsidR="00576A18" w:rsidRDefault="008D54B1" w:rsidP="00E46D69">
      <w:pPr>
        <w:pStyle w:val="21"/>
        <w:spacing w:after="0"/>
      </w:pPr>
      <w:r w:rsidRPr="00F00825">
        <w:rPr>
          <w:noProof/>
        </w:rPr>
        <w:drawing>
          <wp:inline distT="0" distB="0" distL="0" distR="0" wp14:anchorId="24004E83" wp14:editId="3AD0C06C">
            <wp:extent cx="42671" cy="42671"/>
            <wp:effectExtent l="0" t="0" r="0" b="0"/>
            <wp:docPr id="342744343" name="Picture 503"/>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8"/>
                    <a:stretch>
                      <a:fillRect/>
                    </a:stretch>
                  </pic:blipFill>
                  <pic:spPr>
                    <a:xfrm>
                      <a:off x="0" y="0"/>
                      <a:ext cx="42671" cy="42671"/>
                    </a:xfrm>
                    <a:prstGeom prst="rect">
                      <a:avLst/>
                    </a:prstGeom>
                  </pic:spPr>
                </pic:pic>
              </a:graphicData>
            </a:graphic>
          </wp:inline>
        </w:drawing>
      </w:r>
      <w:r>
        <w:rPr>
          <w:rFonts w:hint="eastAsia"/>
        </w:rPr>
        <w:t xml:space="preserve">　それは次のことを考慮すべきである。「人権には、それに相応して、高齢者に対する義務を含め、家族や地域社会に対する個人の義務が伴うことを想起する」</w:t>
      </w:r>
    </w:p>
    <w:p w14:paraId="41B67DF0" w14:textId="77777777" w:rsidR="00E46D69" w:rsidRDefault="00E46D69" w:rsidP="00E46D69">
      <w:pPr>
        <w:pStyle w:val="21"/>
        <w:spacing w:after="0"/>
        <w:rPr>
          <w:rFonts w:hint="eastAsia"/>
        </w:rPr>
      </w:pPr>
    </w:p>
    <w:p w14:paraId="2D66C671" w14:textId="77777777" w:rsidR="008D54B1" w:rsidRDefault="00BC617C" w:rsidP="003E429B">
      <w:pPr>
        <w:spacing w:after="0" w:line="601" w:lineRule="auto"/>
        <w:ind w:left="17" w:right="2348"/>
        <w:rPr>
          <w:rFonts w:ascii="BIZ UDPゴシック" w:eastAsia="BIZ UDPゴシック" w:hAnsi="BIZ UDPゴシック"/>
          <w:b/>
          <w:sz w:val="21"/>
          <w:szCs w:val="21"/>
        </w:rPr>
      </w:pPr>
      <w:r w:rsidRPr="00576A18">
        <w:rPr>
          <w:rFonts w:ascii="BIZ UDPゴシック" w:eastAsia="BIZ UDPゴシック" w:hAnsi="BIZ UDPゴシック" w:cs="Times New Roman"/>
          <w:b/>
          <w:sz w:val="21"/>
          <w:szCs w:val="21"/>
        </w:rPr>
        <w:lastRenderedPageBreak/>
        <w:t xml:space="preserve">2. </w:t>
      </w:r>
      <w:r w:rsidRPr="00576A18">
        <w:rPr>
          <w:rFonts w:ascii="BIZ UDPゴシック" w:eastAsia="BIZ UDPゴシック" w:hAnsi="BIZ UDPゴシック"/>
          <w:b/>
          <w:sz w:val="21"/>
          <w:szCs w:val="21"/>
        </w:rPr>
        <w:t>総則、原則および適用範囲</w:t>
      </w:r>
    </w:p>
    <w:p w14:paraId="1C413A70" w14:textId="226412A5" w:rsidR="00D94403" w:rsidRPr="008D54B1" w:rsidRDefault="008D54B1" w:rsidP="00E46D69">
      <w:pPr>
        <w:spacing w:after="0" w:line="601" w:lineRule="auto"/>
        <w:ind w:left="17" w:right="2348"/>
        <w:rPr>
          <w:rFonts w:ascii="ＭＳ 明朝" w:eastAsia="ＭＳ 明朝" w:hAnsi="ＭＳ 明朝"/>
          <w:sz w:val="21"/>
          <w:szCs w:val="21"/>
        </w:rPr>
      </w:pPr>
      <w:r w:rsidRPr="008D54B1">
        <w:rPr>
          <w:rFonts w:ascii="ＭＳ 明朝" w:eastAsia="ＭＳ 明朝" w:hAnsi="ＭＳ 明朝" w:hint="eastAsia"/>
          <w:sz w:val="21"/>
          <w:szCs w:val="21"/>
        </w:rPr>
        <w:t>この</w:t>
      </w:r>
      <w:r w:rsidR="00BC617C" w:rsidRPr="008D54B1">
        <w:rPr>
          <w:rFonts w:ascii="ＭＳ 明朝" w:eastAsia="ＭＳ 明朝" w:hAnsi="ＭＳ 明朝"/>
          <w:sz w:val="21"/>
          <w:szCs w:val="21"/>
        </w:rPr>
        <w:t>節では、以下の事項を取り扱う：</w:t>
      </w:r>
    </w:p>
    <w:p w14:paraId="0D6B97D5" w14:textId="77777777" w:rsidR="00D94403" w:rsidRDefault="00BC617C" w:rsidP="00E46D69">
      <w:pPr>
        <w:spacing w:after="0" w:line="259" w:lineRule="auto"/>
        <w:ind w:left="360" w:firstLine="0"/>
        <w:rPr>
          <w:rFonts w:ascii="BIZ UDPゴシック" w:eastAsia="BIZ UDPゴシック" w:hAnsi="BIZ UDPゴシック"/>
          <w:b/>
          <w:sz w:val="21"/>
          <w:szCs w:val="21"/>
          <w:u w:val="single" w:color="000000"/>
        </w:rPr>
      </w:pPr>
      <w:r w:rsidRPr="00576A18">
        <w:rPr>
          <w:rFonts w:ascii="BIZ UDPゴシック" w:eastAsia="BIZ UDPゴシック" w:hAnsi="BIZ UDPゴシック" w:cs="Times New Roman"/>
          <w:b/>
          <w:sz w:val="21"/>
          <w:szCs w:val="21"/>
        </w:rPr>
        <w:t xml:space="preserve">I. </w:t>
      </w:r>
      <w:r w:rsidRPr="00576A18">
        <w:rPr>
          <w:rFonts w:ascii="BIZ UDPゴシック" w:eastAsia="BIZ UDPゴシック" w:hAnsi="BIZ UDPゴシック"/>
          <w:b/>
          <w:sz w:val="21"/>
          <w:szCs w:val="21"/>
          <w:u w:val="single" w:color="000000"/>
        </w:rPr>
        <w:t>定義</w:t>
      </w:r>
    </w:p>
    <w:p w14:paraId="0225EB2C" w14:textId="77777777" w:rsidR="00E46D69" w:rsidRPr="00576A18" w:rsidRDefault="00E46D69" w:rsidP="00E46D69">
      <w:pPr>
        <w:spacing w:after="0" w:line="259" w:lineRule="auto"/>
        <w:ind w:left="360" w:firstLine="0"/>
        <w:rPr>
          <w:rFonts w:ascii="BIZ UDPゴシック" w:eastAsia="BIZ UDPゴシック" w:hAnsi="BIZ UDPゴシック" w:hint="eastAsia"/>
          <w:sz w:val="21"/>
          <w:szCs w:val="21"/>
        </w:rPr>
      </w:pPr>
    </w:p>
    <w:p w14:paraId="73AC823E" w14:textId="4F3A38FE" w:rsidR="00D94403" w:rsidRPr="00F00825" w:rsidRDefault="00BC617C" w:rsidP="00E46D69">
      <w:pPr>
        <w:pStyle w:val="21"/>
        <w:spacing w:after="0"/>
        <w:ind w:firstLine="150"/>
      </w:pPr>
      <w:r w:rsidRPr="00F00825">
        <w:rPr>
          <w:rFonts w:cs="Times New Roman"/>
          <w:sz w:val="15"/>
        </w:rPr>
        <w:t xml:space="preserve"> </w:t>
      </w:r>
      <w:r w:rsidR="00247DDC" w:rsidRPr="00F00825">
        <w:rPr>
          <w:noProof/>
        </w:rPr>
        <w:drawing>
          <wp:inline distT="0" distB="0" distL="0" distR="0" wp14:anchorId="07A94E54" wp14:editId="052EAF21">
            <wp:extent cx="42671" cy="42672"/>
            <wp:effectExtent l="0" t="0" r="0" b="0"/>
            <wp:docPr id="1305530613" name="Picture 804"/>
            <wp:cNvGraphicFramePr/>
            <a:graphic xmlns:a="http://schemas.openxmlformats.org/drawingml/2006/main">
              <a:graphicData uri="http://schemas.openxmlformats.org/drawingml/2006/picture">
                <pic:pic xmlns:pic="http://schemas.openxmlformats.org/drawingml/2006/picture">
                  <pic:nvPicPr>
                    <pic:cNvPr id="804" name="Picture 804"/>
                    <pic:cNvPicPr/>
                  </pic:nvPicPr>
                  <pic:blipFill>
                    <a:blip r:embed="rId10"/>
                    <a:stretch>
                      <a:fillRect/>
                    </a:stretch>
                  </pic:blipFill>
                  <pic:spPr>
                    <a:xfrm>
                      <a:off x="0" y="0"/>
                      <a:ext cx="42671" cy="42672"/>
                    </a:xfrm>
                    <a:prstGeom prst="rect">
                      <a:avLst/>
                    </a:prstGeom>
                  </pic:spPr>
                </pic:pic>
              </a:graphicData>
            </a:graphic>
          </wp:inline>
        </w:drawing>
      </w:r>
      <w:r w:rsidR="00247DDC" w:rsidRPr="00247DDC">
        <w:rPr>
          <w:rFonts w:cs="Times New Roman" w:hint="eastAsia"/>
          <w:b/>
          <w:bCs/>
        </w:rPr>
        <w:t>「高齢者」</w:t>
      </w:r>
      <w:r w:rsidR="00247DDC" w:rsidRPr="00247DDC">
        <w:rPr>
          <w:rFonts w:cs="Times New Roman" w:hint="eastAsia"/>
        </w:rPr>
        <w:t>（older persons）</w:t>
      </w:r>
      <w:r w:rsidRPr="00F00825">
        <w:t>（厳格な定義を避ける可能性もある）各国に委ねる。</w:t>
      </w:r>
    </w:p>
    <w:p w14:paraId="4E00401A" w14:textId="668FDD69" w:rsidR="00247DDC" w:rsidRDefault="00BC617C" w:rsidP="00981716">
      <w:pPr>
        <w:pStyle w:val="21"/>
      </w:pPr>
      <w:r w:rsidRPr="00F00825">
        <w:rPr>
          <w:noProof/>
        </w:rPr>
        <w:drawing>
          <wp:inline distT="0" distB="0" distL="0" distR="0" wp14:anchorId="22241ECA" wp14:editId="5EBDEF57">
            <wp:extent cx="42671" cy="42672"/>
            <wp:effectExtent l="0" t="0" r="0" b="0"/>
            <wp:docPr id="804" name="Picture 804"/>
            <wp:cNvGraphicFramePr/>
            <a:graphic xmlns:a="http://schemas.openxmlformats.org/drawingml/2006/main">
              <a:graphicData uri="http://schemas.openxmlformats.org/drawingml/2006/picture">
                <pic:pic xmlns:pic="http://schemas.openxmlformats.org/drawingml/2006/picture">
                  <pic:nvPicPr>
                    <pic:cNvPr id="804" name="Picture 804"/>
                    <pic:cNvPicPr/>
                  </pic:nvPicPr>
                  <pic:blipFill>
                    <a:blip r:embed="rId10"/>
                    <a:stretch>
                      <a:fillRect/>
                    </a:stretch>
                  </pic:blipFill>
                  <pic:spPr>
                    <a:xfrm>
                      <a:off x="0" y="0"/>
                      <a:ext cx="42671" cy="42672"/>
                    </a:xfrm>
                    <a:prstGeom prst="rect">
                      <a:avLst/>
                    </a:prstGeom>
                  </pic:spPr>
                </pic:pic>
              </a:graphicData>
            </a:graphic>
          </wp:inline>
        </w:drawing>
      </w:r>
      <w:r w:rsidRPr="00F00825">
        <w:t xml:space="preserve"> </w:t>
      </w:r>
      <w:r w:rsidR="00247DDC" w:rsidRPr="00F00825">
        <w:rPr>
          <w:b/>
        </w:rPr>
        <w:t>主要な概念</w:t>
      </w:r>
      <w:r w:rsidR="00247DDC" w:rsidRPr="00F00825">
        <w:t>。</w:t>
      </w:r>
      <w:r w:rsidR="00247DDC">
        <w:rPr>
          <w:rFonts w:hint="eastAsia"/>
        </w:rPr>
        <w:t>「自由」、「自身の人格を形成する権利」、「長期ケア」など。</w:t>
      </w:r>
    </w:p>
    <w:p w14:paraId="6E6A3CBA" w14:textId="77777777" w:rsidR="00D94403" w:rsidRPr="00576A18" w:rsidRDefault="00BC617C">
      <w:pPr>
        <w:pStyle w:val="1"/>
        <w:spacing w:after="304"/>
        <w:ind w:left="360" w:firstLine="0"/>
        <w:rPr>
          <w:rFonts w:ascii="BIZ UDPゴシック" w:eastAsia="BIZ UDPゴシック" w:hAnsi="BIZ UDPゴシック"/>
          <w:sz w:val="21"/>
          <w:szCs w:val="21"/>
        </w:rPr>
      </w:pPr>
      <w:r w:rsidRPr="00576A18">
        <w:rPr>
          <w:rFonts w:ascii="BIZ UDPゴシック" w:eastAsia="BIZ UDPゴシック" w:hAnsi="BIZ UDPゴシック" w:cs="Times New Roman"/>
          <w:sz w:val="21"/>
          <w:szCs w:val="21"/>
        </w:rPr>
        <w:t xml:space="preserve">II. </w:t>
      </w:r>
      <w:r w:rsidRPr="00576A18">
        <w:rPr>
          <w:rFonts w:ascii="BIZ UDPゴシック" w:eastAsia="BIZ UDPゴシック" w:hAnsi="BIZ UDPゴシック"/>
          <w:sz w:val="21"/>
          <w:szCs w:val="21"/>
          <w:u w:val="single" w:color="000000"/>
        </w:rPr>
        <w:t>原則</w:t>
      </w:r>
    </w:p>
    <w:p w14:paraId="7CA88B53" w14:textId="723C3634" w:rsidR="00D94403" w:rsidRPr="00F00825" w:rsidRDefault="00247DDC" w:rsidP="00E46D69">
      <w:pPr>
        <w:pStyle w:val="21"/>
        <w:spacing w:after="0"/>
        <w:ind w:firstLineChars="0" w:firstLine="0"/>
      </w:pPr>
      <w:r>
        <w:rPr>
          <w:rFonts w:hint="eastAsia"/>
        </w:rPr>
        <w:t xml:space="preserve">１）　</w:t>
      </w:r>
      <w:r w:rsidR="00BC617C" w:rsidRPr="00F00825">
        <w:t>法の前の平等および年齢に基づく</w:t>
      </w:r>
      <w:r>
        <w:rPr>
          <w:rFonts w:hint="eastAsia"/>
        </w:rPr>
        <w:t>無</w:t>
      </w:r>
      <w:r w:rsidR="00BC617C" w:rsidRPr="00F00825">
        <w:t>差別。</w:t>
      </w:r>
      <w:r>
        <w:rPr>
          <w:rFonts w:hint="eastAsia"/>
        </w:rPr>
        <w:t>無</w:t>
      </w:r>
      <w:r w:rsidR="00BC617C" w:rsidRPr="00F00825">
        <w:t>差別には、</w:t>
      </w:r>
      <w:r w:rsidR="00BC617C" w:rsidRPr="00F00825">
        <w:t>高齢者が社会にお</w:t>
      </w:r>
      <w:r>
        <w:rPr>
          <w:rFonts w:hint="eastAsia"/>
        </w:rPr>
        <w:t>ける</w:t>
      </w:r>
      <w:r w:rsidR="00BC617C" w:rsidRPr="00F00825">
        <w:t>平等</w:t>
      </w:r>
      <w:r w:rsidR="00BC617C" w:rsidRPr="00F00825">
        <w:t>を確保</w:t>
      </w:r>
      <w:r>
        <w:rPr>
          <w:rFonts w:hint="eastAsia"/>
        </w:rPr>
        <w:t>するための</w:t>
      </w:r>
      <w:r w:rsidR="00BC617C" w:rsidRPr="00F00825">
        <w:t>保護措置</w:t>
      </w:r>
      <w:r w:rsidR="00BC617C" w:rsidRPr="00F00825">
        <w:t>も含まれるべきである。</w:t>
      </w:r>
    </w:p>
    <w:p w14:paraId="68F5F4BF" w14:textId="5230205B" w:rsidR="00D94403" w:rsidRPr="00F00825" w:rsidRDefault="00247DDC" w:rsidP="00E46D69">
      <w:pPr>
        <w:pStyle w:val="21"/>
        <w:spacing w:after="0"/>
        <w:ind w:firstLineChars="0" w:firstLine="0"/>
      </w:pPr>
      <w:r>
        <w:rPr>
          <w:rFonts w:hint="eastAsia"/>
        </w:rPr>
        <w:t xml:space="preserve">２）　</w:t>
      </w:r>
      <w:r w:rsidR="00BC617C" w:rsidRPr="00F00825">
        <w:t>国際的および一般的な人権の取り扱いから着想を得て、</w:t>
      </w:r>
      <w:r w:rsidR="00BC617C" w:rsidRPr="004C5F06">
        <w:rPr>
          <w:rFonts w:cs="Times New Roman"/>
          <w:sz w:val="25"/>
        </w:rPr>
        <w:t xml:space="preserve">LBI </w:t>
      </w:r>
      <w:r w:rsidR="00BC617C" w:rsidRPr="00F00825">
        <w:t>は次のような指針となる原則を明確にすべきである。</w:t>
      </w:r>
    </w:p>
    <w:p w14:paraId="3EBB3E7F" w14:textId="77777777" w:rsidR="00D94403" w:rsidRPr="00F00825" w:rsidRDefault="00BC617C" w:rsidP="00E46D69">
      <w:pPr>
        <w:pStyle w:val="21"/>
        <w:spacing w:after="0"/>
      </w:pPr>
      <w:r w:rsidRPr="00F00825">
        <w:rPr>
          <w:rFonts w:cs="Times New Roman"/>
        </w:rPr>
        <w:t>a)</w:t>
      </w:r>
      <w:r w:rsidRPr="00F00825">
        <w:t>自由、自己の人格を形成する権利、家族および地域社会における権利と義務、プライバシー。</w:t>
      </w:r>
    </w:p>
    <w:p w14:paraId="30595253" w14:textId="610F62CD" w:rsidR="00D94403" w:rsidRPr="00F00825" w:rsidRDefault="00BC617C" w:rsidP="00E46D69">
      <w:pPr>
        <w:pStyle w:val="21"/>
        <w:spacing w:after="0"/>
      </w:pPr>
      <w:r w:rsidRPr="00F00825">
        <w:rPr>
          <w:rFonts w:cs="Times New Roman"/>
        </w:rPr>
        <w:t>b)</w:t>
      </w:r>
      <w:r w:rsidRPr="00F00825">
        <w:t>機会均等に基づく</w:t>
      </w:r>
      <w:r w:rsidR="004C5F06">
        <w:rPr>
          <w:rFonts w:hint="eastAsia"/>
        </w:rPr>
        <w:t>インクルーシブ（包摂的）</w:t>
      </w:r>
      <w:r w:rsidRPr="00F00825">
        <w:t>な参加</w:t>
      </w:r>
    </w:p>
    <w:p w14:paraId="6DB7F8DD" w14:textId="3192DABE" w:rsidR="00D94403" w:rsidRPr="00F00825" w:rsidRDefault="004C5F06" w:rsidP="00E46D69">
      <w:pPr>
        <w:pStyle w:val="21"/>
        <w:spacing w:after="0"/>
      </w:pPr>
      <w:r>
        <w:t>c)</w:t>
      </w:r>
      <w:r w:rsidR="00BC617C" w:rsidRPr="00F00825">
        <w:t>平等と</w:t>
      </w:r>
      <w:r>
        <w:rPr>
          <w:rFonts w:hint="eastAsia"/>
        </w:rPr>
        <w:t>無</w:t>
      </w:r>
      <w:r w:rsidR="00BC617C" w:rsidRPr="00F00825">
        <w:t>差別：年齢に基づく差別の</w:t>
      </w:r>
      <w:r>
        <w:rPr>
          <w:rFonts w:hint="eastAsia"/>
        </w:rPr>
        <w:t>明確</w:t>
      </w:r>
      <w:r w:rsidR="00BC617C" w:rsidRPr="00F00825">
        <w:t>な禁止。</w:t>
      </w:r>
    </w:p>
    <w:p w14:paraId="530F08E2" w14:textId="30272237" w:rsidR="00D94403" w:rsidRDefault="004C5F06" w:rsidP="00E46D69">
      <w:pPr>
        <w:pStyle w:val="21"/>
        <w:spacing w:after="0"/>
      </w:pPr>
      <w:r>
        <w:rPr>
          <w:rFonts w:hint="eastAsia"/>
        </w:rPr>
        <w:t>d)</w:t>
      </w:r>
      <w:r w:rsidR="00BC617C" w:rsidRPr="00F00825">
        <w:t>相互依存：</w:t>
      </w:r>
      <w:r>
        <w:rPr>
          <w:rFonts w:hint="eastAsia"/>
        </w:rPr>
        <w:t>自身の回復力</w:t>
      </w:r>
      <w:r w:rsidR="00BC617C" w:rsidRPr="00F00825">
        <w:t>と家族による支援</w:t>
      </w:r>
      <w:r>
        <w:rPr>
          <w:rFonts w:hint="eastAsia"/>
        </w:rPr>
        <w:t>と</w:t>
      </w:r>
      <w:r w:rsidR="00BC617C" w:rsidRPr="00F00825">
        <w:t>、</w:t>
      </w:r>
      <w:r w:rsidR="00BC617C" w:rsidRPr="00F00825">
        <w:t>社会的支援システム</w:t>
      </w:r>
      <w:r>
        <w:rPr>
          <w:rFonts w:hint="eastAsia"/>
        </w:rPr>
        <w:t>と</w:t>
      </w:r>
      <w:r w:rsidR="00BC617C" w:rsidRPr="00F00825">
        <w:t>のバランスを図る</w:t>
      </w:r>
      <w:r w:rsidR="00BC617C" w:rsidRPr="00F00825">
        <w:t>。</w:t>
      </w:r>
    </w:p>
    <w:p w14:paraId="7ECAF7A2" w14:textId="77777777" w:rsidR="00E46D69" w:rsidRPr="00F00825" w:rsidRDefault="00E46D69" w:rsidP="00E46D69">
      <w:pPr>
        <w:pStyle w:val="21"/>
        <w:spacing w:after="0"/>
        <w:rPr>
          <w:rFonts w:hint="eastAsia"/>
        </w:rPr>
      </w:pPr>
    </w:p>
    <w:p w14:paraId="75359418" w14:textId="77777777" w:rsidR="00F00825" w:rsidRPr="00576A18" w:rsidRDefault="00BC617C">
      <w:pPr>
        <w:spacing w:after="248" w:line="335" w:lineRule="auto"/>
        <w:ind w:left="1047" w:right="267" w:hanging="687"/>
        <w:rPr>
          <w:rFonts w:ascii="ＭＳ 明朝" w:eastAsia="ＭＳ 明朝" w:hAnsi="ＭＳ 明朝"/>
          <w:b/>
          <w:sz w:val="21"/>
          <w:szCs w:val="21"/>
          <w:u w:val="single" w:color="000000"/>
        </w:rPr>
      </w:pPr>
      <w:r w:rsidRPr="00576A18">
        <w:rPr>
          <w:rFonts w:ascii="ＭＳ 明朝" w:eastAsia="ＭＳ 明朝" w:hAnsi="ＭＳ 明朝" w:cs="Times New Roman"/>
          <w:b/>
          <w:sz w:val="21"/>
          <w:szCs w:val="21"/>
        </w:rPr>
        <w:t xml:space="preserve">III. </w:t>
      </w:r>
      <w:r w:rsidRPr="00576A18">
        <w:rPr>
          <w:rFonts w:ascii="ＭＳ 明朝" w:eastAsia="ＭＳ 明朝" w:hAnsi="ＭＳ 明朝"/>
          <w:b/>
          <w:sz w:val="21"/>
          <w:szCs w:val="21"/>
          <w:u w:val="single" w:color="000000"/>
        </w:rPr>
        <w:t>横断的課題</w:t>
      </w:r>
    </w:p>
    <w:p w14:paraId="649BC3D4" w14:textId="16F2FBB2" w:rsidR="00F00825" w:rsidRDefault="00BC617C" w:rsidP="00E46D69">
      <w:pPr>
        <w:pStyle w:val="21"/>
        <w:spacing w:after="0"/>
        <w:ind w:firstLineChars="150" w:firstLine="315"/>
      </w:pPr>
      <w:r w:rsidRPr="00F00825">
        <w:rPr>
          <w:noProof/>
        </w:rPr>
        <w:drawing>
          <wp:inline distT="0" distB="0" distL="0" distR="0" wp14:anchorId="3793D325" wp14:editId="3D17F38E">
            <wp:extent cx="46182" cy="50800"/>
            <wp:effectExtent l="0" t="0" r="0" b="0"/>
            <wp:docPr id="820" name="Picture 820"/>
            <wp:cNvGraphicFramePr/>
            <a:graphic xmlns:a="http://schemas.openxmlformats.org/drawingml/2006/main">
              <a:graphicData uri="http://schemas.openxmlformats.org/drawingml/2006/picture">
                <pic:pic xmlns:pic="http://schemas.openxmlformats.org/drawingml/2006/picture">
                  <pic:nvPicPr>
                    <pic:cNvPr id="820" name="Picture 820"/>
                    <pic:cNvPicPr/>
                  </pic:nvPicPr>
                  <pic:blipFill>
                    <a:blip r:embed="rId11"/>
                    <a:stretch>
                      <a:fillRect/>
                    </a:stretch>
                  </pic:blipFill>
                  <pic:spPr>
                    <a:xfrm>
                      <a:off x="0" y="0"/>
                      <a:ext cx="46182" cy="50800"/>
                    </a:xfrm>
                    <a:prstGeom prst="rect">
                      <a:avLst/>
                    </a:prstGeom>
                  </pic:spPr>
                </pic:pic>
              </a:graphicData>
            </a:graphic>
          </wp:inline>
        </w:drawing>
      </w:r>
      <w:r w:rsidRPr="00F00825">
        <w:t xml:space="preserve"> </w:t>
      </w:r>
      <w:r w:rsidRPr="00F00825">
        <w:t>国</w:t>
      </w:r>
      <w:r w:rsidR="004C5F06">
        <w:rPr>
          <w:rFonts w:hint="eastAsia"/>
        </w:rPr>
        <w:t>の多様性および</w:t>
      </w:r>
      <w:r w:rsidRPr="00F00825">
        <w:t>文化的多様性の尊重</w:t>
      </w:r>
    </w:p>
    <w:p w14:paraId="180B16D7" w14:textId="3E60A58B" w:rsidR="00F00825" w:rsidRDefault="00BC617C" w:rsidP="00E46D69">
      <w:pPr>
        <w:pStyle w:val="21"/>
        <w:spacing w:after="0"/>
      </w:pPr>
      <w:r w:rsidRPr="00F00825">
        <w:t xml:space="preserve"> </w:t>
      </w:r>
      <w:r w:rsidRPr="00F00825">
        <w:rPr>
          <w:noProof/>
        </w:rPr>
        <w:drawing>
          <wp:inline distT="0" distB="0" distL="0" distR="0" wp14:anchorId="5AE76281" wp14:editId="79BAD97C">
            <wp:extent cx="46182" cy="50800"/>
            <wp:effectExtent l="0" t="0" r="0" b="0"/>
            <wp:docPr id="822" name="Picture 822"/>
            <wp:cNvGraphicFramePr/>
            <a:graphic xmlns:a="http://schemas.openxmlformats.org/drawingml/2006/main">
              <a:graphicData uri="http://schemas.openxmlformats.org/drawingml/2006/picture">
                <pic:pic xmlns:pic="http://schemas.openxmlformats.org/drawingml/2006/picture">
                  <pic:nvPicPr>
                    <pic:cNvPr id="822" name="Picture 822"/>
                    <pic:cNvPicPr/>
                  </pic:nvPicPr>
                  <pic:blipFill>
                    <a:blip r:embed="rId11"/>
                    <a:stretch>
                      <a:fillRect/>
                    </a:stretch>
                  </pic:blipFill>
                  <pic:spPr>
                    <a:xfrm>
                      <a:off x="0" y="0"/>
                      <a:ext cx="46182" cy="50800"/>
                    </a:xfrm>
                    <a:prstGeom prst="rect">
                      <a:avLst/>
                    </a:prstGeom>
                  </pic:spPr>
                </pic:pic>
              </a:graphicData>
            </a:graphic>
          </wp:inline>
        </w:drawing>
      </w:r>
      <w:r w:rsidRPr="00F00825">
        <w:t xml:space="preserve"> </w:t>
      </w:r>
      <w:r w:rsidR="00A35C67" w:rsidRPr="00F00825">
        <w:t>世界中の国際法および私法に基づく、</w:t>
      </w:r>
      <w:r w:rsidRPr="00F00825">
        <w:t>地域社会および家族</w:t>
      </w:r>
      <w:r w:rsidR="00A35C67">
        <w:rPr>
          <w:rFonts w:hint="eastAsia"/>
        </w:rPr>
        <w:t>による</w:t>
      </w:r>
      <w:r w:rsidRPr="00F00825">
        <w:t>支援体制</w:t>
      </w:r>
      <w:r w:rsidR="00A35C67">
        <w:rPr>
          <w:rFonts w:hint="eastAsia"/>
        </w:rPr>
        <w:t>の権利</w:t>
      </w:r>
      <w:r w:rsidRPr="00F00825">
        <w:t>および地域社会</w:t>
      </w:r>
      <w:r w:rsidR="00A35C67">
        <w:rPr>
          <w:rFonts w:hint="eastAsia"/>
        </w:rPr>
        <w:t>と家族の</w:t>
      </w:r>
      <w:r w:rsidRPr="00F00825">
        <w:t>義務</w:t>
      </w:r>
      <w:r w:rsidRPr="00F00825">
        <w:t xml:space="preserve"> </w:t>
      </w:r>
    </w:p>
    <w:p w14:paraId="02D4A62A" w14:textId="46B49028" w:rsidR="00D94403" w:rsidRPr="00F00825" w:rsidRDefault="00BC617C" w:rsidP="00E46D69">
      <w:pPr>
        <w:pStyle w:val="21"/>
        <w:spacing w:after="0"/>
        <w:ind w:firstLineChars="150" w:firstLine="315"/>
      </w:pPr>
      <w:r w:rsidRPr="00F00825">
        <w:rPr>
          <w:noProof/>
        </w:rPr>
        <w:drawing>
          <wp:inline distT="0" distB="0" distL="0" distR="0" wp14:anchorId="10365619" wp14:editId="0F91ADDD">
            <wp:extent cx="46182" cy="50800"/>
            <wp:effectExtent l="0" t="0" r="0" b="0"/>
            <wp:docPr id="824" name="Picture 824"/>
            <wp:cNvGraphicFramePr/>
            <a:graphic xmlns:a="http://schemas.openxmlformats.org/drawingml/2006/main">
              <a:graphicData uri="http://schemas.openxmlformats.org/drawingml/2006/picture">
                <pic:pic xmlns:pic="http://schemas.openxmlformats.org/drawingml/2006/picture">
                  <pic:nvPicPr>
                    <pic:cNvPr id="824" name="Picture 824"/>
                    <pic:cNvPicPr/>
                  </pic:nvPicPr>
                  <pic:blipFill>
                    <a:blip r:embed="rId11"/>
                    <a:stretch>
                      <a:fillRect/>
                    </a:stretch>
                  </pic:blipFill>
                  <pic:spPr>
                    <a:xfrm>
                      <a:off x="0" y="0"/>
                      <a:ext cx="46182" cy="50800"/>
                    </a:xfrm>
                    <a:prstGeom prst="rect">
                      <a:avLst/>
                    </a:prstGeom>
                  </pic:spPr>
                </pic:pic>
              </a:graphicData>
            </a:graphic>
          </wp:inline>
        </w:drawing>
      </w:r>
      <w:r w:rsidRPr="00F00825">
        <w:t xml:space="preserve"> </w:t>
      </w:r>
      <w:r w:rsidRPr="00F00825">
        <w:t>世代間の連帯</w:t>
      </w:r>
    </w:p>
    <w:p w14:paraId="32F7477D" w14:textId="5417DBB2" w:rsidR="00D94403" w:rsidRPr="00F00825" w:rsidRDefault="00BC617C" w:rsidP="00981716">
      <w:pPr>
        <w:pStyle w:val="21"/>
      </w:pPr>
      <w:r w:rsidRPr="00F00825">
        <w:t>これらの定義、原則、および横断的課題は、すべての実質的な</w:t>
      </w:r>
      <w:r w:rsidR="00A35C67">
        <w:rPr>
          <w:rFonts w:hint="eastAsia"/>
        </w:rPr>
        <w:t>条項</w:t>
      </w:r>
      <w:r w:rsidRPr="00F00825">
        <w:t>の解釈と実施の指針となる</w:t>
      </w:r>
      <w:r w:rsidRPr="00F00825">
        <w:t>。</w:t>
      </w:r>
    </w:p>
    <w:p w14:paraId="537E6306" w14:textId="1920ED47" w:rsidR="00D94403" w:rsidRPr="00576A18" w:rsidRDefault="00BC617C">
      <w:pPr>
        <w:spacing w:after="291" w:line="259" w:lineRule="auto"/>
        <w:ind w:left="17"/>
        <w:rPr>
          <w:rFonts w:ascii="BIZ UDPゴシック" w:eastAsia="BIZ UDPゴシック" w:hAnsi="BIZ UDPゴシック"/>
          <w:sz w:val="21"/>
          <w:szCs w:val="21"/>
        </w:rPr>
      </w:pPr>
      <w:r w:rsidRPr="00576A18">
        <w:rPr>
          <w:rFonts w:ascii="BIZ UDPゴシック" w:eastAsia="BIZ UDPゴシック" w:hAnsi="BIZ UDPゴシック" w:cs="Times New Roman"/>
          <w:b/>
          <w:sz w:val="21"/>
          <w:szCs w:val="21"/>
        </w:rPr>
        <w:t xml:space="preserve">3. </w:t>
      </w:r>
      <w:r w:rsidR="00A35C67">
        <w:rPr>
          <w:rFonts w:ascii="BIZ UDPゴシック" w:eastAsia="BIZ UDPゴシック" w:hAnsi="BIZ UDPゴシック" w:hint="eastAsia"/>
          <w:b/>
          <w:sz w:val="21"/>
          <w:szCs w:val="21"/>
        </w:rPr>
        <w:t>実質</w:t>
      </w:r>
      <w:r w:rsidRPr="00576A18">
        <w:rPr>
          <w:rFonts w:ascii="BIZ UDPゴシック" w:eastAsia="BIZ UDPゴシック" w:hAnsi="BIZ UDPゴシック"/>
          <w:b/>
          <w:sz w:val="21"/>
          <w:szCs w:val="21"/>
        </w:rPr>
        <w:t>的な権利</w:t>
      </w:r>
    </w:p>
    <w:p w14:paraId="32A9BB24" w14:textId="77777777" w:rsidR="00D94403" w:rsidRPr="00F00825" w:rsidRDefault="00BC617C" w:rsidP="00E46D69">
      <w:pPr>
        <w:pStyle w:val="21"/>
        <w:spacing w:after="0"/>
      </w:pPr>
      <w:r w:rsidRPr="00F00825">
        <w:rPr>
          <w:rFonts w:cs="Times New Roman"/>
          <w:u w:color="000000"/>
        </w:rPr>
        <w:t>LBI</w:t>
      </w:r>
      <w:r w:rsidRPr="00F00825">
        <w:rPr>
          <w:u w:color="000000"/>
        </w:rPr>
        <w:t>の中核となる部分では、以下のような権利が列挙される。</w:t>
      </w:r>
    </w:p>
    <w:p w14:paraId="347D2560" w14:textId="77777777" w:rsidR="00D94403" w:rsidRPr="00F00825" w:rsidRDefault="00BC617C" w:rsidP="00E46D69">
      <w:pPr>
        <w:pStyle w:val="21"/>
        <w:spacing w:after="0"/>
      </w:pPr>
      <w:r w:rsidRPr="00F00825">
        <w:rPr>
          <w:noProof/>
        </w:rPr>
        <w:drawing>
          <wp:inline distT="0" distB="0" distL="0" distR="0" wp14:anchorId="62C7B446" wp14:editId="225BDC17">
            <wp:extent cx="42671" cy="42671"/>
            <wp:effectExtent l="0" t="0" r="0" b="0"/>
            <wp:docPr id="806" name="Picture 806"/>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a:blip r:embed="rId7"/>
                    <a:stretch>
                      <a:fillRect/>
                    </a:stretch>
                  </pic:blipFill>
                  <pic:spPr>
                    <a:xfrm>
                      <a:off x="0" y="0"/>
                      <a:ext cx="42671" cy="42671"/>
                    </a:xfrm>
                    <a:prstGeom prst="rect">
                      <a:avLst/>
                    </a:prstGeom>
                  </pic:spPr>
                </pic:pic>
              </a:graphicData>
            </a:graphic>
          </wp:inline>
        </w:drawing>
      </w:r>
      <w:r w:rsidRPr="00F00825">
        <w:t xml:space="preserve"> </w:t>
      </w:r>
      <w:r w:rsidRPr="00F00825">
        <w:t>機会均等のアプローチ。</w:t>
      </w:r>
    </w:p>
    <w:p w14:paraId="46407963" w14:textId="6E515957" w:rsidR="00A35C67" w:rsidRDefault="00BC617C" w:rsidP="00E46D69">
      <w:pPr>
        <w:pStyle w:val="21"/>
        <w:spacing w:after="0"/>
      </w:pPr>
      <w:r w:rsidRPr="00F00825">
        <w:rPr>
          <w:noProof/>
        </w:rPr>
        <w:drawing>
          <wp:inline distT="0" distB="0" distL="0" distR="0" wp14:anchorId="39171F18" wp14:editId="4710B329">
            <wp:extent cx="42671" cy="42671"/>
            <wp:effectExtent l="0" t="0" r="0" b="0"/>
            <wp:docPr id="808" name="Picture 808"/>
            <wp:cNvGraphicFramePr/>
            <a:graphic xmlns:a="http://schemas.openxmlformats.org/drawingml/2006/main">
              <a:graphicData uri="http://schemas.openxmlformats.org/drawingml/2006/picture">
                <pic:pic xmlns:pic="http://schemas.openxmlformats.org/drawingml/2006/picture">
                  <pic:nvPicPr>
                    <pic:cNvPr id="808" name="Picture 808"/>
                    <pic:cNvPicPr/>
                  </pic:nvPicPr>
                  <pic:blipFill>
                    <a:blip r:embed="rId8"/>
                    <a:stretch>
                      <a:fillRect/>
                    </a:stretch>
                  </pic:blipFill>
                  <pic:spPr>
                    <a:xfrm>
                      <a:off x="0" y="0"/>
                      <a:ext cx="42671" cy="42671"/>
                    </a:xfrm>
                    <a:prstGeom prst="rect">
                      <a:avLst/>
                    </a:prstGeom>
                  </pic:spPr>
                </pic:pic>
              </a:graphicData>
            </a:graphic>
          </wp:inline>
        </w:drawing>
      </w:r>
      <w:r w:rsidRPr="00F00825">
        <w:t xml:space="preserve"> </w:t>
      </w:r>
      <w:r w:rsidR="00A35C67">
        <w:rPr>
          <w:rFonts w:hint="eastAsia"/>
        </w:rPr>
        <w:t>各種</w:t>
      </w:r>
      <w:r w:rsidRPr="00F00825">
        <w:t>人権条約を、</w:t>
      </w:r>
      <w:r w:rsidR="00A35C67">
        <w:rPr>
          <w:rFonts w:hint="eastAsia"/>
        </w:rPr>
        <w:t>高齢</w:t>
      </w:r>
      <w:r w:rsidRPr="00F00825">
        <w:t>者の権利および</w:t>
      </w:r>
      <w:r w:rsidR="00A35C67">
        <w:rPr>
          <w:rFonts w:hint="eastAsia"/>
        </w:rPr>
        <w:t>高齢者</w:t>
      </w:r>
      <w:r w:rsidRPr="00F00825">
        <w:t>に対する義務として積極的に具体化する</w:t>
      </w:r>
      <w:r w:rsidRPr="00F00825">
        <w:t>。</w:t>
      </w:r>
    </w:p>
    <w:p w14:paraId="45B37A23" w14:textId="77777777" w:rsidR="00A35C67" w:rsidRDefault="00BC617C" w:rsidP="00E46D69">
      <w:pPr>
        <w:pStyle w:val="21"/>
        <w:spacing w:after="0"/>
      </w:pPr>
      <w:r w:rsidRPr="00F00825">
        <w:rPr>
          <w:noProof/>
        </w:rPr>
        <w:drawing>
          <wp:inline distT="0" distB="0" distL="0" distR="0" wp14:anchorId="66B604C2" wp14:editId="6FE170A6">
            <wp:extent cx="42671" cy="42671"/>
            <wp:effectExtent l="0" t="0" r="0" b="0"/>
            <wp:docPr id="810" name="Picture 810"/>
            <wp:cNvGraphicFramePr/>
            <a:graphic xmlns:a="http://schemas.openxmlformats.org/drawingml/2006/main">
              <a:graphicData uri="http://schemas.openxmlformats.org/drawingml/2006/picture">
                <pic:pic xmlns:pic="http://schemas.openxmlformats.org/drawingml/2006/picture">
                  <pic:nvPicPr>
                    <pic:cNvPr id="810" name="Picture 810"/>
                    <pic:cNvPicPr/>
                  </pic:nvPicPr>
                  <pic:blipFill>
                    <a:blip r:embed="rId9"/>
                    <a:stretch>
                      <a:fillRect/>
                    </a:stretch>
                  </pic:blipFill>
                  <pic:spPr>
                    <a:xfrm>
                      <a:off x="0" y="0"/>
                      <a:ext cx="42671" cy="42671"/>
                    </a:xfrm>
                    <a:prstGeom prst="rect">
                      <a:avLst/>
                    </a:prstGeom>
                  </pic:spPr>
                </pic:pic>
              </a:graphicData>
            </a:graphic>
          </wp:inline>
        </w:drawing>
      </w:r>
      <w:r w:rsidRPr="00F00825">
        <w:t xml:space="preserve"> </w:t>
      </w:r>
      <w:r w:rsidRPr="00F00825">
        <w:t>独立かつ公平な裁判所による公正かつ公開の審理を受ける完全な平等（</w:t>
      </w:r>
      <w:r w:rsidRPr="00F00825">
        <w:t>世界人権宣言</w:t>
      </w:r>
      <w:r w:rsidRPr="00F00825">
        <w:t>やその他の</w:t>
      </w:r>
      <w:r w:rsidR="00A35C67">
        <w:rPr>
          <w:rFonts w:hint="eastAsia"/>
        </w:rPr>
        <w:t>条約</w:t>
      </w:r>
      <w:r w:rsidRPr="00F00825">
        <w:t>と同様</w:t>
      </w:r>
      <w:r w:rsidR="00A35C67">
        <w:rPr>
          <w:rFonts w:hint="eastAsia"/>
        </w:rPr>
        <w:t>に</w:t>
      </w:r>
      <w:r w:rsidRPr="00F00825">
        <w:t>）</w:t>
      </w:r>
    </w:p>
    <w:p w14:paraId="34FDF1DA" w14:textId="116168AF" w:rsidR="00D94403" w:rsidRPr="00F00825" w:rsidRDefault="00BC617C" w:rsidP="00E46D69">
      <w:pPr>
        <w:pStyle w:val="21"/>
        <w:spacing w:after="0"/>
      </w:pPr>
      <w:r w:rsidRPr="00F00825">
        <w:rPr>
          <w:noProof/>
        </w:rPr>
        <w:drawing>
          <wp:inline distT="0" distB="0" distL="0" distR="0" wp14:anchorId="36AB78E8" wp14:editId="6B4A25A2">
            <wp:extent cx="42671" cy="42671"/>
            <wp:effectExtent l="0" t="0" r="0" b="0"/>
            <wp:docPr id="812" name="Picture 812"/>
            <wp:cNvGraphicFramePr/>
            <a:graphic xmlns:a="http://schemas.openxmlformats.org/drawingml/2006/main">
              <a:graphicData uri="http://schemas.openxmlformats.org/drawingml/2006/picture">
                <pic:pic xmlns:pic="http://schemas.openxmlformats.org/drawingml/2006/picture">
                  <pic:nvPicPr>
                    <pic:cNvPr id="812" name="Picture 812"/>
                    <pic:cNvPicPr/>
                  </pic:nvPicPr>
                  <pic:blipFill>
                    <a:blip r:embed="rId8"/>
                    <a:stretch>
                      <a:fillRect/>
                    </a:stretch>
                  </pic:blipFill>
                  <pic:spPr>
                    <a:xfrm>
                      <a:off x="0" y="0"/>
                      <a:ext cx="42671" cy="42671"/>
                    </a:xfrm>
                    <a:prstGeom prst="rect">
                      <a:avLst/>
                    </a:prstGeom>
                  </pic:spPr>
                </pic:pic>
              </a:graphicData>
            </a:graphic>
          </wp:inline>
        </w:drawing>
      </w:r>
      <w:r w:rsidRPr="00F00825">
        <w:t xml:space="preserve"> </w:t>
      </w:r>
      <w:r w:rsidRPr="00F00825">
        <w:t>虐待、暴力、およびネグレクトからの自由</w:t>
      </w:r>
    </w:p>
    <w:p w14:paraId="680DB519" w14:textId="77777777" w:rsidR="00A35C67" w:rsidRDefault="00BC617C" w:rsidP="00E46D69">
      <w:pPr>
        <w:pStyle w:val="21"/>
        <w:spacing w:after="0"/>
      </w:pPr>
      <w:r w:rsidRPr="00F00825">
        <w:rPr>
          <w:noProof/>
        </w:rPr>
        <w:drawing>
          <wp:inline distT="0" distB="0" distL="0" distR="0" wp14:anchorId="1692B163" wp14:editId="14ABEE6C">
            <wp:extent cx="42671" cy="42671"/>
            <wp:effectExtent l="0" t="0" r="0" b="0"/>
            <wp:docPr id="814" name="Picture 814"/>
            <wp:cNvGraphicFramePr/>
            <a:graphic xmlns:a="http://schemas.openxmlformats.org/drawingml/2006/main">
              <a:graphicData uri="http://schemas.openxmlformats.org/drawingml/2006/picture">
                <pic:pic xmlns:pic="http://schemas.openxmlformats.org/drawingml/2006/picture">
                  <pic:nvPicPr>
                    <pic:cNvPr id="814" name="Picture 814"/>
                    <pic:cNvPicPr/>
                  </pic:nvPicPr>
                  <pic:blipFill>
                    <a:blip r:embed="rId12"/>
                    <a:stretch>
                      <a:fillRect/>
                    </a:stretch>
                  </pic:blipFill>
                  <pic:spPr>
                    <a:xfrm>
                      <a:off x="0" y="0"/>
                      <a:ext cx="42671" cy="42671"/>
                    </a:xfrm>
                    <a:prstGeom prst="rect">
                      <a:avLst/>
                    </a:prstGeom>
                  </pic:spPr>
                </pic:pic>
              </a:graphicData>
            </a:graphic>
          </wp:inline>
        </w:drawing>
      </w:r>
      <w:r w:rsidRPr="00F00825">
        <w:t xml:space="preserve"> </w:t>
      </w:r>
      <w:r w:rsidRPr="00F00825">
        <w:t>健康</w:t>
      </w:r>
      <w:r w:rsidRPr="00F00825">
        <w:t xml:space="preserve"> </w:t>
      </w:r>
    </w:p>
    <w:p w14:paraId="45C66667" w14:textId="7BB79E60" w:rsidR="00A35C67" w:rsidRDefault="00BC617C" w:rsidP="00E46D69">
      <w:pPr>
        <w:pStyle w:val="21"/>
        <w:spacing w:after="0"/>
        <w:rPr>
          <w:rFonts w:cs="Times New Roman"/>
          <w:sz w:val="25"/>
          <w:vertAlign w:val="subscript"/>
        </w:rPr>
      </w:pPr>
      <w:r w:rsidRPr="00F00825">
        <w:rPr>
          <w:noProof/>
        </w:rPr>
        <w:drawing>
          <wp:inline distT="0" distB="0" distL="0" distR="0" wp14:anchorId="22E65557" wp14:editId="7964B59B">
            <wp:extent cx="42671" cy="42671"/>
            <wp:effectExtent l="0" t="0" r="0" b="0"/>
            <wp:docPr id="816" name="Picture 816"/>
            <wp:cNvGraphicFramePr/>
            <a:graphic xmlns:a="http://schemas.openxmlformats.org/drawingml/2006/main">
              <a:graphicData uri="http://schemas.openxmlformats.org/drawingml/2006/picture">
                <pic:pic xmlns:pic="http://schemas.openxmlformats.org/drawingml/2006/picture">
                  <pic:nvPicPr>
                    <pic:cNvPr id="816" name="Picture 816"/>
                    <pic:cNvPicPr/>
                  </pic:nvPicPr>
                  <pic:blipFill>
                    <a:blip r:embed="rId13"/>
                    <a:stretch>
                      <a:fillRect/>
                    </a:stretch>
                  </pic:blipFill>
                  <pic:spPr>
                    <a:xfrm>
                      <a:off x="0" y="0"/>
                      <a:ext cx="42671" cy="42671"/>
                    </a:xfrm>
                    <a:prstGeom prst="rect">
                      <a:avLst/>
                    </a:prstGeom>
                  </pic:spPr>
                </pic:pic>
              </a:graphicData>
            </a:graphic>
          </wp:inline>
        </w:drawing>
      </w:r>
      <w:r w:rsidRPr="00F00825">
        <w:t xml:space="preserve"> </w:t>
      </w:r>
      <w:r w:rsidR="00831891">
        <w:rPr>
          <w:rFonts w:hint="eastAsia"/>
        </w:rPr>
        <w:t>資産や「人間らしい暮らし」への</w:t>
      </w:r>
      <w:r w:rsidRPr="00F00825">
        <w:t>アクセスに対する平等な権利</w:t>
      </w:r>
      <w:r w:rsidRPr="00F00825">
        <w:rPr>
          <w:rFonts w:cs="Times New Roman"/>
          <w:sz w:val="25"/>
          <w:vertAlign w:val="subscript"/>
        </w:rPr>
        <w:t xml:space="preserve"> </w:t>
      </w:r>
    </w:p>
    <w:p w14:paraId="03AECBFF" w14:textId="08A3B12E" w:rsidR="00A35C67" w:rsidRDefault="00BC617C" w:rsidP="00E46D69">
      <w:pPr>
        <w:pStyle w:val="21"/>
        <w:spacing w:after="0"/>
      </w:pPr>
      <w:r w:rsidRPr="00F00825">
        <w:rPr>
          <w:noProof/>
        </w:rPr>
        <w:lastRenderedPageBreak/>
        <w:drawing>
          <wp:inline distT="0" distB="0" distL="0" distR="0" wp14:anchorId="238E19AE" wp14:editId="1D7BFAB6">
            <wp:extent cx="42671" cy="42672"/>
            <wp:effectExtent l="0" t="0" r="0" b="0"/>
            <wp:docPr id="1175" name="Picture 1175"/>
            <wp:cNvGraphicFramePr/>
            <a:graphic xmlns:a="http://schemas.openxmlformats.org/drawingml/2006/main">
              <a:graphicData uri="http://schemas.openxmlformats.org/drawingml/2006/picture">
                <pic:pic xmlns:pic="http://schemas.openxmlformats.org/drawingml/2006/picture">
                  <pic:nvPicPr>
                    <pic:cNvPr id="1175" name="Picture 1175"/>
                    <pic:cNvPicPr/>
                  </pic:nvPicPr>
                  <pic:blipFill>
                    <a:blip r:embed="rId10"/>
                    <a:stretch>
                      <a:fillRect/>
                    </a:stretch>
                  </pic:blipFill>
                  <pic:spPr>
                    <a:xfrm>
                      <a:off x="0" y="0"/>
                      <a:ext cx="42671" cy="42672"/>
                    </a:xfrm>
                    <a:prstGeom prst="rect">
                      <a:avLst/>
                    </a:prstGeom>
                  </pic:spPr>
                </pic:pic>
              </a:graphicData>
            </a:graphic>
          </wp:inline>
        </w:drawing>
      </w:r>
      <w:r w:rsidRPr="00F00825">
        <w:t xml:space="preserve"> </w:t>
      </w:r>
      <w:r w:rsidRPr="00F00825">
        <w:t>長期ケア（緩和ケア、在宅ケア、施設ケアを含む）</w:t>
      </w:r>
      <w:r w:rsidRPr="00F00825">
        <w:t xml:space="preserve"> </w:t>
      </w:r>
    </w:p>
    <w:p w14:paraId="0D340214" w14:textId="675359F4" w:rsidR="00D94403" w:rsidRPr="00F00825" w:rsidRDefault="00BC617C" w:rsidP="00E46D69">
      <w:pPr>
        <w:pStyle w:val="21"/>
        <w:spacing w:after="0"/>
      </w:pPr>
      <w:r w:rsidRPr="00F00825">
        <w:rPr>
          <w:noProof/>
        </w:rPr>
        <w:drawing>
          <wp:inline distT="0" distB="0" distL="0" distR="0" wp14:anchorId="384DCB12" wp14:editId="1B7438CC">
            <wp:extent cx="42671" cy="42672"/>
            <wp:effectExtent l="0" t="0" r="0" b="0"/>
            <wp:docPr id="1177" name="Picture 1177"/>
            <wp:cNvGraphicFramePr/>
            <a:graphic xmlns:a="http://schemas.openxmlformats.org/drawingml/2006/main">
              <a:graphicData uri="http://schemas.openxmlformats.org/drawingml/2006/picture">
                <pic:pic xmlns:pic="http://schemas.openxmlformats.org/drawingml/2006/picture">
                  <pic:nvPicPr>
                    <pic:cNvPr id="1177" name="Picture 1177"/>
                    <pic:cNvPicPr/>
                  </pic:nvPicPr>
                  <pic:blipFill>
                    <a:blip r:embed="rId14"/>
                    <a:stretch>
                      <a:fillRect/>
                    </a:stretch>
                  </pic:blipFill>
                  <pic:spPr>
                    <a:xfrm>
                      <a:off x="0" y="0"/>
                      <a:ext cx="42671" cy="42672"/>
                    </a:xfrm>
                    <a:prstGeom prst="rect">
                      <a:avLst/>
                    </a:prstGeom>
                  </pic:spPr>
                </pic:pic>
              </a:graphicData>
            </a:graphic>
          </wp:inline>
        </w:drawing>
      </w:r>
      <w:r w:rsidRPr="00F00825">
        <w:t xml:space="preserve"> </w:t>
      </w:r>
      <w:r w:rsidRPr="00F00825">
        <w:t>デジタル・インクルージョン</w:t>
      </w:r>
    </w:p>
    <w:p w14:paraId="1F40707D" w14:textId="77777777" w:rsidR="00D94403" w:rsidRPr="00F00825" w:rsidRDefault="00BC617C" w:rsidP="00E46D69">
      <w:pPr>
        <w:pStyle w:val="21"/>
        <w:spacing w:after="0"/>
      </w:pPr>
      <w:r w:rsidRPr="00F00825">
        <w:rPr>
          <w:noProof/>
        </w:rPr>
        <w:drawing>
          <wp:inline distT="0" distB="0" distL="0" distR="0" wp14:anchorId="54B3B9FB" wp14:editId="0DF2C427">
            <wp:extent cx="42671" cy="42672"/>
            <wp:effectExtent l="0" t="0" r="0" b="0"/>
            <wp:docPr id="1179" name="Picture 1179"/>
            <wp:cNvGraphicFramePr/>
            <a:graphic xmlns:a="http://schemas.openxmlformats.org/drawingml/2006/main">
              <a:graphicData uri="http://schemas.openxmlformats.org/drawingml/2006/picture">
                <pic:pic xmlns:pic="http://schemas.openxmlformats.org/drawingml/2006/picture">
                  <pic:nvPicPr>
                    <pic:cNvPr id="1179" name="Picture 1179"/>
                    <pic:cNvPicPr/>
                  </pic:nvPicPr>
                  <pic:blipFill>
                    <a:blip r:embed="rId12"/>
                    <a:stretch>
                      <a:fillRect/>
                    </a:stretch>
                  </pic:blipFill>
                  <pic:spPr>
                    <a:xfrm>
                      <a:off x="0" y="0"/>
                      <a:ext cx="42671" cy="42672"/>
                    </a:xfrm>
                    <a:prstGeom prst="rect">
                      <a:avLst/>
                    </a:prstGeom>
                  </pic:spPr>
                </pic:pic>
              </a:graphicData>
            </a:graphic>
          </wp:inline>
        </w:drawing>
      </w:r>
      <w:r w:rsidRPr="00F00825">
        <w:t xml:space="preserve"> </w:t>
      </w:r>
      <w:r w:rsidRPr="00F00825">
        <w:t>教育を受ける権利への平等な機会</w:t>
      </w:r>
    </w:p>
    <w:p w14:paraId="0628403C" w14:textId="77777777" w:rsidR="00D94403" w:rsidRPr="00F00825" w:rsidRDefault="00BC617C" w:rsidP="00981716">
      <w:pPr>
        <w:pStyle w:val="21"/>
      </w:pPr>
      <w:r w:rsidRPr="00F00825">
        <w:t>これらの規定は、各国の法律に従い、また既存の資源の範囲内で、各国の状況や可能性に応じて、アクセシビリティ、サービスの利用可能性および質を含め、国家の義務を適切に明確化することができる。</w:t>
      </w:r>
    </w:p>
    <w:p w14:paraId="5134E296" w14:textId="4FBD9CF1" w:rsidR="00D94403" w:rsidRPr="00576A18" w:rsidRDefault="00BC617C">
      <w:pPr>
        <w:numPr>
          <w:ilvl w:val="0"/>
          <w:numId w:val="3"/>
        </w:numPr>
        <w:spacing w:after="291" w:line="259" w:lineRule="auto"/>
        <w:ind w:hanging="300"/>
        <w:rPr>
          <w:rFonts w:ascii="BIZ UDPゴシック" w:eastAsia="BIZ UDPゴシック" w:hAnsi="BIZ UDPゴシック"/>
          <w:sz w:val="21"/>
          <w:szCs w:val="21"/>
        </w:rPr>
      </w:pPr>
      <w:r w:rsidRPr="00576A18">
        <w:rPr>
          <w:rFonts w:ascii="BIZ UDPゴシック" w:eastAsia="BIZ UDPゴシック" w:hAnsi="BIZ UDPゴシック"/>
          <w:b/>
          <w:sz w:val="21"/>
          <w:szCs w:val="21"/>
        </w:rPr>
        <w:t>実施と</w:t>
      </w:r>
      <w:r w:rsidR="00831891">
        <w:rPr>
          <w:rFonts w:ascii="BIZ UDPゴシック" w:eastAsia="BIZ UDPゴシック" w:hAnsi="BIZ UDPゴシック" w:hint="eastAsia"/>
          <w:b/>
          <w:sz w:val="21"/>
          <w:szCs w:val="21"/>
        </w:rPr>
        <w:t>監視</w:t>
      </w:r>
    </w:p>
    <w:p w14:paraId="74E57572" w14:textId="71FDA21A" w:rsidR="00D94403" w:rsidRPr="00F00825" w:rsidRDefault="00BC617C" w:rsidP="00E46D69">
      <w:pPr>
        <w:pStyle w:val="21"/>
        <w:spacing w:after="0"/>
      </w:pPr>
      <w:r w:rsidRPr="00F00825">
        <w:t>実施の枠組みは不可欠である。</w:t>
      </w:r>
      <w:r w:rsidRPr="00831891">
        <w:rPr>
          <w:rFonts w:cs="Times New Roman"/>
          <w:sz w:val="25"/>
        </w:rPr>
        <w:t>LBI</w:t>
      </w:r>
      <w:r w:rsidRPr="00F00825">
        <w:t>は以下を</w:t>
      </w:r>
      <w:r w:rsidR="00831891">
        <w:rPr>
          <w:rFonts w:hint="eastAsia"/>
        </w:rPr>
        <w:t>規定</w:t>
      </w:r>
      <w:r w:rsidRPr="00F00825">
        <w:t>することができる：</w:t>
      </w:r>
    </w:p>
    <w:p w14:paraId="3BE30D47" w14:textId="0CDFE27B" w:rsidR="00831891" w:rsidRDefault="00BC617C" w:rsidP="00E46D69">
      <w:pPr>
        <w:pStyle w:val="21"/>
        <w:spacing w:after="0"/>
      </w:pPr>
      <w:r w:rsidRPr="00F00825">
        <w:rPr>
          <w:noProof/>
        </w:rPr>
        <w:drawing>
          <wp:inline distT="0" distB="0" distL="0" distR="0" wp14:anchorId="355BCA36" wp14:editId="1D693C61">
            <wp:extent cx="44450" cy="44450"/>
            <wp:effectExtent l="0" t="0" r="0" b="0"/>
            <wp:docPr id="1181" name="Picture 1181"/>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10"/>
                    <a:stretch>
                      <a:fillRect/>
                    </a:stretch>
                  </pic:blipFill>
                  <pic:spPr>
                    <a:xfrm>
                      <a:off x="0" y="0"/>
                      <a:ext cx="44450" cy="44450"/>
                    </a:xfrm>
                    <a:prstGeom prst="rect">
                      <a:avLst/>
                    </a:prstGeom>
                  </pic:spPr>
                </pic:pic>
              </a:graphicData>
            </a:graphic>
          </wp:inline>
        </w:drawing>
      </w:r>
      <w:r w:rsidRPr="00F00825">
        <w:t xml:space="preserve"> </w:t>
      </w:r>
      <w:r w:rsidRPr="00F00825">
        <w:t>条約</w:t>
      </w:r>
      <w:r w:rsidR="00831891">
        <w:rPr>
          <w:rFonts w:hint="eastAsia"/>
        </w:rPr>
        <w:t>体</w:t>
      </w:r>
      <w:r w:rsidRPr="00F00825">
        <w:t>（高齢者の権利に関する委員会）</w:t>
      </w:r>
    </w:p>
    <w:p w14:paraId="21D79844" w14:textId="10813164" w:rsidR="00D94403" w:rsidRPr="00F00825" w:rsidRDefault="00BC617C" w:rsidP="00E46D69">
      <w:pPr>
        <w:pStyle w:val="21"/>
        <w:spacing w:after="0"/>
      </w:pPr>
      <w:r w:rsidRPr="00F00825">
        <w:rPr>
          <w:noProof/>
        </w:rPr>
        <w:drawing>
          <wp:inline distT="0" distB="0" distL="0" distR="0" wp14:anchorId="693E2902" wp14:editId="10B80E6B">
            <wp:extent cx="44450" cy="44450"/>
            <wp:effectExtent l="0" t="0" r="0" b="0"/>
            <wp:docPr id="1183" name="Picture 1183"/>
            <wp:cNvGraphicFramePr/>
            <a:graphic xmlns:a="http://schemas.openxmlformats.org/drawingml/2006/main">
              <a:graphicData uri="http://schemas.openxmlformats.org/drawingml/2006/picture">
                <pic:pic xmlns:pic="http://schemas.openxmlformats.org/drawingml/2006/picture">
                  <pic:nvPicPr>
                    <pic:cNvPr id="1183" name="Picture 1183"/>
                    <pic:cNvPicPr/>
                  </pic:nvPicPr>
                  <pic:blipFill>
                    <a:blip r:embed="rId10"/>
                    <a:stretch>
                      <a:fillRect/>
                    </a:stretch>
                  </pic:blipFill>
                  <pic:spPr>
                    <a:xfrm>
                      <a:off x="0" y="0"/>
                      <a:ext cx="44450" cy="44450"/>
                    </a:xfrm>
                    <a:prstGeom prst="rect">
                      <a:avLst/>
                    </a:prstGeom>
                  </pic:spPr>
                </pic:pic>
              </a:graphicData>
            </a:graphic>
          </wp:inline>
        </w:drawing>
      </w:r>
      <w:r w:rsidRPr="00F00825">
        <w:t xml:space="preserve"> </w:t>
      </w:r>
      <w:r w:rsidRPr="00F00825">
        <w:t>国家による定期的な報告義務</w:t>
      </w:r>
    </w:p>
    <w:p w14:paraId="66F93A4C" w14:textId="177F7949" w:rsidR="00D94403" w:rsidRPr="00F00825" w:rsidRDefault="00BC617C" w:rsidP="00981716">
      <w:pPr>
        <w:pStyle w:val="21"/>
      </w:pPr>
      <w:r w:rsidRPr="00F00825">
        <w:t>将来の条約</w:t>
      </w:r>
      <w:r w:rsidR="00831891">
        <w:rPr>
          <w:rFonts w:hint="eastAsia"/>
        </w:rPr>
        <w:t>体</w:t>
      </w:r>
      <w:r w:rsidRPr="00F00825">
        <w:t>の活動への高齢者自身の参加については、国際法が締約国間の</w:t>
      </w:r>
      <w:r w:rsidRPr="00F00825">
        <w:t>ものであるため、その形態は今後明確化されることとなる。</w:t>
      </w:r>
    </w:p>
    <w:p w14:paraId="023E6E66" w14:textId="77777777" w:rsidR="00D94403" w:rsidRPr="00576A18" w:rsidRDefault="00BC617C">
      <w:pPr>
        <w:numPr>
          <w:ilvl w:val="0"/>
          <w:numId w:val="3"/>
        </w:numPr>
        <w:spacing w:after="291" w:line="259" w:lineRule="auto"/>
        <w:ind w:hanging="300"/>
        <w:rPr>
          <w:rFonts w:ascii="BIZ UDPゴシック" w:eastAsia="BIZ UDPゴシック" w:hAnsi="BIZ UDPゴシック"/>
          <w:sz w:val="21"/>
          <w:szCs w:val="21"/>
        </w:rPr>
      </w:pPr>
      <w:r w:rsidRPr="00576A18">
        <w:rPr>
          <w:rFonts w:ascii="BIZ UDPゴシック" w:eastAsia="BIZ UDPゴシック" w:hAnsi="BIZ UDPゴシック"/>
          <w:b/>
          <w:sz w:val="21"/>
          <w:szCs w:val="21"/>
        </w:rPr>
        <w:t>最終条項</w:t>
      </w:r>
    </w:p>
    <w:p w14:paraId="301DEB0A" w14:textId="49C0862B" w:rsidR="00D94403" w:rsidRPr="00F00825" w:rsidRDefault="00BC617C" w:rsidP="00E46D69">
      <w:pPr>
        <w:pStyle w:val="21"/>
        <w:spacing w:after="0"/>
      </w:pPr>
      <w:r w:rsidRPr="00F00825">
        <w:t>標準的な条約規定</w:t>
      </w:r>
      <w:r w:rsidRPr="00F00825">
        <w:t>は、以下の事項</w:t>
      </w:r>
      <w:r w:rsidR="005F13FE">
        <w:rPr>
          <w:rFonts w:hint="eastAsia"/>
        </w:rPr>
        <w:t>が</w:t>
      </w:r>
      <w:r w:rsidRPr="00F00825">
        <w:t>必要</w:t>
      </w:r>
      <w:r w:rsidR="005F13FE">
        <w:rPr>
          <w:rFonts w:hint="eastAsia"/>
        </w:rPr>
        <w:t>で</w:t>
      </w:r>
      <w:r w:rsidRPr="00F00825">
        <w:t>ある：</w:t>
      </w:r>
    </w:p>
    <w:p w14:paraId="5203E4EE" w14:textId="77777777" w:rsidR="005F13FE" w:rsidRDefault="00BC617C" w:rsidP="00E46D69">
      <w:pPr>
        <w:pStyle w:val="21"/>
        <w:spacing w:after="0"/>
      </w:pPr>
      <w:r w:rsidRPr="00F00825">
        <w:rPr>
          <w:noProof/>
        </w:rPr>
        <w:drawing>
          <wp:inline distT="0" distB="0" distL="0" distR="0" wp14:anchorId="000DC670" wp14:editId="2B826691">
            <wp:extent cx="44450" cy="44450"/>
            <wp:effectExtent l="0" t="0" r="0" b="0"/>
            <wp:docPr id="1185" name="Picture 1185"/>
            <wp:cNvGraphicFramePr/>
            <a:graphic xmlns:a="http://schemas.openxmlformats.org/drawingml/2006/main">
              <a:graphicData uri="http://schemas.openxmlformats.org/drawingml/2006/picture">
                <pic:pic xmlns:pic="http://schemas.openxmlformats.org/drawingml/2006/picture">
                  <pic:nvPicPr>
                    <pic:cNvPr id="1185" name="Picture 1185"/>
                    <pic:cNvPicPr/>
                  </pic:nvPicPr>
                  <pic:blipFill>
                    <a:blip r:embed="rId10"/>
                    <a:stretch>
                      <a:fillRect/>
                    </a:stretch>
                  </pic:blipFill>
                  <pic:spPr>
                    <a:xfrm>
                      <a:off x="0" y="0"/>
                      <a:ext cx="44450" cy="44450"/>
                    </a:xfrm>
                    <a:prstGeom prst="rect">
                      <a:avLst/>
                    </a:prstGeom>
                  </pic:spPr>
                </pic:pic>
              </a:graphicData>
            </a:graphic>
          </wp:inline>
        </w:drawing>
      </w:r>
      <w:r w:rsidRPr="00F00825">
        <w:t xml:space="preserve"> </w:t>
      </w:r>
      <w:r w:rsidRPr="00F00825">
        <w:t>批准および発効</w:t>
      </w:r>
      <w:r w:rsidRPr="00F00825">
        <w:t xml:space="preserve"> </w:t>
      </w:r>
    </w:p>
    <w:p w14:paraId="0E64E2A6" w14:textId="77777777" w:rsidR="005F13FE" w:rsidRDefault="00BC617C" w:rsidP="00E46D69">
      <w:pPr>
        <w:pStyle w:val="21"/>
        <w:spacing w:after="0"/>
      </w:pPr>
      <w:r w:rsidRPr="00F00825">
        <w:rPr>
          <w:noProof/>
        </w:rPr>
        <w:drawing>
          <wp:inline distT="0" distB="0" distL="0" distR="0" wp14:anchorId="44A5A524" wp14:editId="21BD1CBD">
            <wp:extent cx="44450" cy="44450"/>
            <wp:effectExtent l="0" t="0" r="0" b="0"/>
            <wp:docPr id="1187" name="Picture 1187"/>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10"/>
                    <a:stretch>
                      <a:fillRect/>
                    </a:stretch>
                  </pic:blipFill>
                  <pic:spPr>
                    <a:xfrm>
                      <a:off x="0" y="0"/>
                      <a:ext cx="44450" cy="44450"/>
                    </a:xfrm>
                    <a:prstGeom prst="rect">
                      <a:avLst/>
                    </a:prstGeom>
                  </pic:spPr>
                </pic:pic>
              </a:graphicData>
            </a:graphic>
          </wp:inline>
        </w:drawing>
      </w:r>
      <w:r w:rsidRPr="00F00825">
        <w:t xml:space="preserve"> </w:t>
      </w:r>
      <w:r w:rsidRPr="00F00825">
        <w:t>留保</w:t>
      </w:r>
      <w:r w:rsidRPr="00F00825">
        <w:t xml:space="preserve"> </w:t>
      </w:r>
    </w:p>
    <w:p w14:paraId="06CEAA04" w14:textId="7A724F9B" w:rsidR="00D94403" w:rsidRPr="00F00825" w:rsidRDefault="00BC617C" w:rsidP="00E46D69">
      <w:pPr>
        <w:pStyle w:val="21"/>
        <w:spacing w:after="0"/>
      </w:pPr>
      <w:r w:rsidRPr="00F00825">
        <w:rPr>
          <w:noProof/>
        </w:rPr>
        <w:drawing>
          <wp:inline distT="0" distB="0" distL="0" distR="0" wp14:anchorId="6F043D26" wp14:editId="10AAC761">
            <wp:extent cx="44450" cy="44450"/>
            <wp:effectExtent l="0" t="0" r="0" b="0"/>
            <wp:docPr id="1189" name="Picture 1189"/>
            <wp:cNvGraphicFramePr/>
            <a:graphic xmlns:a="http://schemas.openxmlformats.org/drawingml/2006/main">
              <a:graphicData uri="http://schemas.openxmlformats.org/drawingml/2006/picture">
                <pic:pic xmlns:pic="http://schemas.openxmlformats.org/drawingml/2006/picture">
                  <pic:nvPicPr>
                    <pic:cNvPr id="1189" name="Picture 1189"/>
                    <pic:cNvPicPr/>
                  </pic:nvPicPr>
                  <pic:blipFill>
                    <a:blip r:embed="rId10"/>
                    <a:stretch>
                      <a:fillRect/>
                    </a:stretch>
                  </pic:blipFill>
                  <pic:spPr>
                    <a:xfrm>
                      <a:off x="0" y="0"/>
                      <a:ext cx="44450" cy="44450"/>
                    </a:xfrm>
                    <a:prstGeom prst="rect">
                      <a:avLst/>
                    </a:prstGeom>
                  </pic:spPr>
                </pic:pic>
              </a:graphicData>
            </a:graphic>
          </wp:inline>
        </w:drawing>
      </w:r>
      <w:r w:rsidRPr="00F00825">
        <w:t xml:space="preserve"> </w:t>
      </w:r>
      <w:r w:rsidRPr="00F00825">
        <w:t>改正</w:t>
      </w:r>
    </w:p>
    <w:p w14:paraId="415D1B98" w14:textId="72D0E5EB" w:rsidR="00D94403" w:rsidRPr="00F00825" w:rsidRDefault="00BC617C" w:rsidP="00981716">
      <w:pPr>
        <w:pStyle w:val="21"/>
      </w:pPr>
      <w:r w:rsidRPr="00F00825">
        <w:t>条約において直接規定されていない事項については、</w:t>
      </w:r>
      <w:r w:rsidRPr="00F00825">
        <w:t>条約法に関するウィーン条約</w:t>
      </w:r>
      <w:r w:rsidRPr="00F00825">
        <w:t>の枠組みが適用される（例：</w:t>
      </w:r>
      <w:r w:rsidRPr="005F13FE">
        <w:rPr>
          <w:rFonts w:cs="Times New Roman"/>
          <w:sz w:val="25"/>
        </w:rPr>
        <w:t>1</w:t>
      </w:r>
      <w:r w:rsidRPr="00F00825">
        <w:t>年前の通知による脱退）。</w:t>
      </w:r>
    </w:p>
    <w:p w14:paraId="2BF85C47" w14:textId="77777777" w:rsidR="00D94403" w:rsidRPr="00576A18" w:rsidRDefault="00BC617C">
      <w:pPr>
        <w:pStyle w:val="2"/>
        <w:ind w:left="17"/>
        <w:rPr>
          <w:rFonts w:ascii="BIZ UDPゴシック" w:eastAsia="BIZ UDPゴシック" w:hAnsi="BIZ UDPゴシック"/>
          <w:sz w:val="21"/>
          <w:szCs w:val="21"/>
        </w:rPr>
      </w:pPr>
      <w:r w:rsidRPr="00576A18">
        <w:rPr>
          <w:rFonts w:ascii="BIZ UDPゴシック" w:eastAsia="BIZ UDPゴシック" w:hAnsi="BIZ UDPゴシック" w:cs="Times New Roman"/>
          <w:sz w:val="21"/>
          <w:szCs w:val="21"/>
        </w:rPr>
        <w:t xml:space="preserve">IV. </w:t>
      </w:r>
      <w:r w:rsidRPr="00576A18">
        <w:rPr>
          <w:rFonts w:ascii="BIZ UDPゴシック" w:eastAsia="BIZ UDPゴシック" w:hAnsi="BIZ UDPゴシック"/>
          <w:sz w:val="21"/>
          <w:szCs w:val="21"/>
        </w:rPr>
        <w:t>基礎となる規範的原則</w:t>
      </w:r>
    </w:p>
    <w:p w14:paraId="71F8E343" w14:textId="4E12CFAF" w:rsidR="00D94403" w:rsidRPr="00F00825" w:rsidRDefault="005F13FE" w:rsidP="00981716">
      <w:pPr>
        <w:pStyle w:val="21"/>
      </w:pPr>
      <w:r>
        <w:rPr>
          <w:rFonts w:hint="eastAsia"/>
        </w:rPr>
        <w:t>構成</w:t>
      </w:r>
      <w:r w:rsidR="00BC617C" w:rsidRPr="00F00825">
        <w:t>に加え</w:t>
      </w:r>
      <w:r w:rsidR="00BC617C" w:rsidRPr="005F13FE">
        <w:t>、</w:t>
      </w:r>
      <w:r w:rsidR="00BC617C" w:rsidRPr="005F13FE">
        <w:rPr>
          <w:rFonts w:cs="Times New Roman"/>
          <w:sz w:val="25"/>
        </w:rPr>
        <w:t xml:space="preserve">LBI </w:t>
      </w:r>
      <w:r w:rsidR="00BC617C" w:rsidRPr="00F00825">
        <w:t>の有効性は、その規範的</w:t>
      </w:r>
      <w:r>
        <w:rPr>
          <w:rFonts w:hint="eastAsia"/>
        </w:rPr>
        <w:t>基礎</w:t>
      </w:r>
      <w:r w:rsidR="00BC617C" w:rsidRPr="00F00825">
        <w:t>にかかっている。</w:t>
      </w:r>
    </w:p>
    <w:p w14:paraId="74336883" w14:textId="77777777" w:rsidR="00D94403" w:rsidRPr="005F13FE" w:rsidRDefault="00BC617C">
      <w:pPr>
        <w:numPr>
          <w:ilvl w:val="0"/>
          <w:numId w:val="4"/>
        </w:numPr>
        <w:spacing w:after="291" w:line="259" w:lineRule="auto"/>
        <w:ind w:hanging="300"/>
        <w:rPr>
          <w:rFonts w:ascii="BIZ UDPゴシック" w:eastAsia="BIZ UDPゴシック" w:hAnsi="BIZ UDPゴシック"/>
          <w:sz w:val="21"/>
          <w:szCs w:val="21"/>
        </w:rPr>
      </w:pPr>
      <w:r w:rsidRPr="005F13FE">
        <w:rPr>
          <w:rFonts w:ascii="BIZ UDPゴシック" w:eastAsia="BIZ UDPゴシック" w:hAnsi="BIZ UDPゴシック"/>
          <w:b/>
          <w:sz w:val="21"/>
          <w:szCs w:val="21"/>
        </w:rPr>
        <w:t>高齢化に対する人権に基づくアプローチ</w:t>
      </w:r>
    </w:p>
    <w:p w14:paraId="733D6E6F" w14:textId="77777777" w:rsidR="00D94403" w:rsidRPr="00F00825" w:rsidRDefault="00BC617C" w:rsidP="00981716">
      <w:pPr>
        <w:pStyle w:val="21"/>
      </w:pPr>
      <w:r w:rsidRPr="00F00825">
        <w:t>この文書は、慈善や福祉から、自由、自己の人格形成の権利、家族およびコミュニティにおける権利と義務、プライバシー、そして国際人権システムから強調されるその他の具体的な権利といった、権利と資格へと、</w:t>
      </w:r>
      <w:r w:rsidRPr="00F00825">
        <w:t>その物語を転換させることができる。</w:t>
      </w:r>
    </w:p>
    <w:p w14:paraId="16C29A7A" w14:textId="29251C10" w:rsidR="00D94403" w:rsidRPr="005F13FE" w:rsidRDefault="005F13FE" w:rsidP="005F13FE">
      <w:pPr>
        <w:pStyle w:val="21"/>
        <w:ind w:left="0" w:firstLineChars="0" w:firstLine="0"/>
        <w:rPr>
          <w:rFonts w:ascii="BIZ UDPゴシック" w:eastAsia="BIZ UDPゴシック" w:hAnsi="BIZ UDPゴシック"/>
          <w:b/>
          <w:bCs/>
        </w:rPr>
      </w:pPr>
      <w:r>
        <w:rPr>
          <w:rFonts w:ascii="BIZ UDPゴシック" w:eastAsia="BIZ UDPゴシック" w:hAnsi="BIZ UDPゴシック" w:hint="eastAsia"/>
          <w:b/>
          <w:bCs/>
        </w:rPr>
        <w:t xml:space="preserve">2．　</w:t>
      </w:r>
      <w:r w:rsidR="00BC617C" w:rsidRPr="005F13FE">
        <w:rPr>
          <w:rFonts w:ascii="BIZ UDPゴシック" w:eastAsia="BIZ UDPゴシック" w:hAnsi="BIZ UDPゴシック"/>
          <w:b/>
          <w:bCs/>
        </w:rPr>
        <w:t>自由および自己の人格を</w:t>
      </w:r>
      <w:r>
        <w:rPr>
          <w:rFonts w:ascii="BIZ UDPゴシック" w:eastAsia="BIZ UDPゴシック" w:hAnsi="BIZ UDPゴシック" w:hint="eastAsia"/>
          <w:b/>
          <w:bCs/>
        </w:rPr>
        <w:t>形成す</w:t>
      </w:r>
      <w:r w:rsidR="00BC617C" w:rsidRPr="005F13FE">
        <w:rPr>
          <w:rFonts w:ascii="BIZ UDPゴシック" w:eastAsia="BIZ UDPゴシック" w:hAnsi="BIZ UDPゴシック"/>
          <w:b/>
          <w:bCs/>
        </w:rPr>
        <w:t>る権利</w:t>
      </w:r>
    </w:p>
    <w:p w14:paraId="42AD016D" w14:textId="77777777" w:rsidR="00D94403" w:rsidRPr="00F00825" w:rsidRDefault="00BC617C" w:rsidP="00E46D69">
      <w:pPr>
        <w:pStyle w:val="21"/>
        <w:spacing w:after="0"/>
      </w:pPr>
      <w:r w:rsidRPr="00F00825">
        <w:rPr>
          <w:rFonts w:cs="Times New Roman"/>
        </w:rPr>
        <w:t>LBI</w:t>
      </w:r>
      <w:r w:rsidRPr="00F00825">
        <w:t>は、以下を重視したバランスの取れたアプローチを採用することができる：</w:t>
      </w:r>
    </w:p>
    <w:p w14:paraId="4B1DB43C" w14:textId="77777777" w:rsidR="005F13FE" w:rsidRDefault="00BC617C" w:rsidP="00E46D69">
      <w:pPr>
        <w:pStyle w:val="21"/>
        <w:spacing w:after="0"/>
      </w:pPr>
      <w:r w:rsidRPr="00F00825">
        <w:rPr>
          <w:noProof/>
        </w:rPr>
        <w:drawing>
          <wp:inline distT="0" distB="0" distL="0" distR="0" wp14:anchorId="02AF8F5C" wp14:editId="241B7BF7">
            <wp:extent cx="44450" cy="44450"/>
            <wp:effectExtent l="0" t="0" r="0" b="0"/>
            <wp:docPr id="1191" name="Picture 1191"/>
            <wp:cNvGraphicFramePr/>
            <a:graphic xmlns:a="http://schemas.openxmlformats.org/drawingml/2006/main">
              <a:graphicData uri="http://schemas.openxmlformats.org/drawingml/2006/picture">
                <pic:pic xmlns:pic="http://schemas.openxmlformats.org/drawingml/2006/picture">
                  <pic:nvPicPr>
                    <pic:cNvPr id="1191" name="Picture 1191"/>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支援付き意思決定</w:t>
      </w:r>
      <w:r w:rsidRPr="00F00825">
        <w:t xml:space="preserve"> </w:t>
      </w:r>
    </w:p>
    <w:p w14:paraId="021C9AE7" w14:textId="0FB26D74" w:rsidR="00D94403" w:rsidRPr="00F00825" w:rsidRDefault="00BC617C" w:rsidP="00981716">
      <w:pPr>
        <w:pStyle w:val="21"/>
      </w:pPr>
      <w:r w:rsidRPr="00F00825">
        <w:rPr>
          <w:noProof/>
        </w:rPr>
        <w:drawing>
          <wp:inline distT="0" distB="0" distL="0" distR="0" wp14:anchorId="4D6F6768" wp14:editId="45DEE5DC">
            <wp:extent cx="44450" cy="44450"/>
            <wp:effectExtent l="0" t="0" r="0" b="0"/>
            <wp:docPr id="1193" name="Picture 1193"/>
            <wp:cNvGraphicFramePr/>
            <a:graphic xmlns:a="http://schemas.openxmlformats.org/drawingml/2006/main">
              <a:graphicData uri="http://schemas.openxmlformats.org/drawingml/2006/picture">
                <pic:pic xmlns:pic="http://schemas.openxmlformats.org/drawingml/2006/picture">
                  <pic:nvPicPr>
                    <pic:cNvPr id="1193" name="Picture 1193"/>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意思と選好の尊重</w:t>
      </w:r>
    </w:p>
    <w:p w14:paraId="1E6F3D67" w14:textId="46967CFB" w:rsidR="00D94403" w:rsidRPr="00576A18" w:rsidRDefault="005F13FE" w:rsidP="005F13FE">
      <w:pPr>
        <w:spacing w:after="291" w:line="259" w:lineRule="auto"/>
        <w:rPr>
          <w:rFonts w:ascii="BIZ UDPゴシック" w:eastAsia="BIZ UDPゴシック" w:hAnsi="BIZ UDPゴシック"/>
          <w:sz w:val="21"/>
          <w:szCs w:val="21"/>
        </w:rPr>
      </w:pPr>
      <w:r>
        <w:rPr>
          <w:rFonts w:ascii="BIZ UDPゴシック" w:eastAsia="BIZ UDPゴシック" w:hAnsi="BIZ UDPゴシック" w:cs="Times New Roman" w:hint="eastAsia"/>
          <w:b/>
          <w:bCs/>
          <w:sz w:val="24"/>
          <w:highlight w:val="lightGray"/>
          <w:u w:color="000000"/>
        </w:rPr>
        <w:t xml:space="preserve">3.　</w:t>
      </w:r>
      <w:r w:rsidR="00BC617C" w:rsidRPr="00576A18">
        <w:rPr>
          <w:rFonts w:ascii="BIZ UDPゴシック" w:eastAsia="BIZ UDPゴシック" w:hAnsi="BIZ UDPゴシック"/>
          <w:b/>
          <w:sz w:val="21"/>
          <w:szCs w:val="21"/>
        </w:rPr>
        <w:t>人権問題としてのケア</w:t>
      </w:r>
    </w:p>
    <w:p w14:paraId="34B4E463" w14:textId="77777777" w:rsidR="004509CB" w:rsidRDefault="00BC617C" w:rsidP="00E46D69">
      <w:pPr>
        <w:pStyle w:val="21"/>
        <w:spacing w:after="0"/>
        <w:ind w:firstLine="211"/>
        <w:rPr>
          <w:b/>
          <w:bCs/>
        </w:rPr>
      </w:pPr>
      <w:r w:rsidRPr="004509CB">
        <w:rPr>
          <w:b/>
          <w:bCs/>
        </w:rPr>
        <w:lastRenderedPageBreak/>
        <w:t>家族や社会</w:t>
      </w:r>
      <w:r w:rsidR="004509CB">
        <w:rPr>
          <w:rFonts w:hint="eastAsia"/>
          <w:b/>
          <w:bCs/>
        </w:rPr>
        <w:t>の間の</w:t>
      </w:r>
      <w:r w:rsidRPr="004509CB">
        <w:rPr>
          <w:b/>
          <w:bCs/>
        </w:rPr>
        <w:t>義務として、また権利として</w:t>
      </w:r>
      <w:r w:rsidR="004509CB">
        <w:rPr>
          <w:rFonts w:hint="eastAsia"/>
          <w:b/>
          <w:bCs/>
        </w:rPr>
        <w:t>、そして</w:t>
      </w:r>
      <w:r w:rsidRPr="004509CB">
        <w:rPr>
          <w:b/>
          <w:bCs/>
        </w:rPr>
        <w:t>「仕事」や「</w:t>
      </w:r>
      <w:r w:rsidR="004509CB">
        <w:rPr>
          <w:rFonts w:hint="eastAsia"/>
          <w:b/>
          <w:bCs/>
        </w:rPr>
        <w:t>バリア</w:t>
      </w:r>
      <w:r w:rsidRPr="004509CB">
        <w:rPr>
          <w:b/>
          <w:bCs/>
        </w:rPr>
        <w:t>」ではなく、社会が繁栄するための美しい</w:t>
      </w:r>
      <w:r w:rsidR="004509CB">
        <w:rPr>
          <w:rFonts w:hint="eastAsia"/>
          <w:b/>
          <w:bCs/>
        </w:rPr>
        <w:t>取り組みである。</w:t>
      </w:r>
    </w:p>
    <w:p w14:paraId="7E454C2D" w14:textId="77777777" w:rsidR="00725467" w:rsidRDefault="00725467" w:rsidP="00E46D69">
      <w:pPr>
        <w:pStyle w:val="21"/>
        <w:spacing w:after="0"/>
        <w:ind w:firstLine="211"/>
        <w:rPr>
          <w:rFonts w:hint="eastAsia"/>
          <w:b/>
          <w:bCs/>
        </w:rPr>
      </w:pPr>
    </w:p>
    <w:p w14:paraId="2C9355B7" w14:textId="2201A8C9" w:rsidR="00D94403" w:rsidRPr="00725467" w:rsidRDefault="00BC617C" w:rsidP="00E46D69">
      <w:pPr>
        <w:pStyle w:val="21"/>
        <w:spacing w:after="0"/>
      </w:pPr>
      <w:r w:rsidRPr="00725467">
        <w:t>ケアシステムは次のように再定義することができる：</w:t>
      </w:r>
    </w:p>
    <w:p w14:paraId="19337729" w14:textId="52593884" w:rsidR="004509CB" w:rsidRDefault="00BC617C" w:rsidP="00E46D69">
      <w:pPr>
        <w:pStyle w:val="21"/>
        <w:spacing w:after="0"/>
        <w:ind w:firstLineChars="0" w:firstLine="0"/>
      </w:pPr>
      <w:r w:rsidRPr="00F00825">
        <w:rPr>
          <w:noProof/>
        </w:rPr>
        <w:drawing>
          <wp:inline distT="0" distB="0" distL="0" distR="0" wp14:anchorId="1325040A" wp14:editId="0E18A251">
            <wp:extent cx="44450" cy="44450"/>
            <wp:effectExtent l="0" t="0" r="0" b="0"/>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家族を含む（ただし、</w:t>
      </w:r>
      <w:r w:rsidR="004509CB">
        <w:rPr>
          <w:rFonts w:hint="eastAsia"/>
        </w:rPr>
        <w:t>家族</w:t>
      </w:r>
      <w:r w:rsidRPr="00F00825">
        <w:t>に限定されない）</w:t>
      </w:r>
      <w:r w:rsidR="004509CB">
        <w:rPr>
          <w:rFonts w:hint="eastAsia"/>
        </w:rPr>
        <w:t>多くの</w:t>
      </w:r>
      <w:r w:rsidRPr="00F00825">
        <w:t>関係者</w:t>
      </w:r>
      <w:r w:rsidR="004509CB">
        <w:rPr>
          <w:rFonts w:hint="eastAsia"/>
        </w:rPr>
        <w:t>の</w:t>
      </w:r>
      <w:r w:rsidRPr="00F00825">
        <w:t>責任として</w:t>
      </w:r>
      <w:r w:rsidRPr="00F00825">
        <w:t xml:space="preserve"> </w:t>
      </w:r>
    </w:p>
    <w:p w14:paraId="4E32D617" w14:textId="720E6413" w:rsidR="004509CB" w:rsidRDefault="00BC617C" w:rsidP="00E46D69">
      <w:pPr>
        <w:pStyle w:val="21"/>
        <w:spacing w:after="0"/>
        <w:ind w:firstLineChars="0" w:firstLine="0"/>
      </w:pPr>
      <w:r w:rsidRPr="00F00825">
        <w:rPr>
          <w:noProof/>
        </w:rPr>
        <w:drawing>
          <wp:inline distT="0" distB="0" distL="0" distR="0" wp14:anchorId="6217B71E" wp14:editId="42D8F4DB">
            <wp:extent cx="44450" cy="44450"/>
            <wp:effectExtent l="0" t="0" r="0" b="0"/>
            <wp:docPr id="1297" name="Picture 1297"/>
            <wp:cNvGraphicFramePr/>
            <a:graphic xmlns:a="http://schemas.openxmlformats.org/drawingml/2006/main">
              <a:graphicData uri="http://schemas.openxmlformats.org/drawingml/2006/picture">
                <pic:pic xmlns:pic="http://schemas.openxmlformats.org/drawingml/2006/picture">
                  <pic:nvPicPr>
                    <pic:cNvPr id="1297" name="Picture 1297"/>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規制、資金提供、監督</w:t>
      </w:r>
      <w:r w:rsidR="004509CB">
        <w:rPr>
          <w:rFonts w:hint="eastAsia"/>
        </w:rPr>
        <w:t>の</w:t>
      </w:r>
      <w:r w:rsidRPr="00F00825">
        <w:t>必要</w:t>
      </w:r>
      <w:r w:rsidR="004509CB">
        <w:rPr>
          <w:rFonts w:hint="eastAsia"/>
        </w:rPr>
        <w:t>な</w:t>
      </w:r>
      <w:r w:rsidRPr="00F00825">
        <w:t>分野として</w:t>
      </w:r>
      <w:r w:rsidRPr="00F00825">
        <w:t xml:space="preserve"> </w:t>
      </w:r>
    </w:p>
    <w:p w14:paraId="2B4C07ED" w14:textId="2D22319A" w:rsidR="00D94403" w:rsidRPr="00F00825" w:rsidRDefault="00BC617C" w:rsidP="00E46D69">
      <w:pPr>
        <w:pStyle w:val="21"/>
        <w:spacing w:after="0"/>
        <w:ind w:firstLineChars="0" w:firstLine="0"/>
      </w:pPr>
      <w:r w:rsidRPr="00F00825">
        <w:rPr>
          <w:noProof/>
        </w:rPr>
        <w:drawing>
          <wp:inline distT="0" distB="0" distL="0" distR="0" wp14:anchorId="1836522C" wp14:editId="76FB28F0">
            <wp:extent cx="44450" cy="44450"/>
            <wp:effectExtent l="0" t="0" r="0" b="0"/>
            <wp:docPr id="1299" name="Picture 1299"/>
            <wp:cNvGraphicFramePr/>
            <a:graphic xmlns:a="http://schemas.openxmlformats.org/drawingml/2006/main">
              <a:graphicData uri="http://schemas.openxmlformats.org/drawingml/2006/picture">
                <pic:pic xmlns:pic="http://schemas.openxmlformats.org/drawingml/2006/picture">
                  <pic:nvPicPr>
                    <pic:cNvPr id="1299" name="Picture 1299"/>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虐待やネグレクトの防止</w:t>
      </w:r>
    </w:p>
    <w:p w14:paraId="1ED8DCA7" w14:textId="127D8D2D" w:rsidR="00D94403" w:rsidRPr="00F00825" w:rsidRDefault="004509CB" w:rsidP="00E46D69">
      <w:pPr>
        <w:pStyle w:val="21"/>
        <w:spacing w:after="0"/>
      </w:pPr>
      <w:r>
        <w:rPr>
          <w:rFonts w:hint="eastAsia"/>
        </w:rPr>
        <w:t>これには</w:t>
      </w:r>
      <w:r w:rsidR="00BC617C" w:rsidRPr="00F00825">
        <w:t>以下が含まれる：</w:t>
      </w:r>
    </w:p>
    <w:p w14:paraId="71B1A309" w14:textId="6326A94C" w:rsidR="004509CB" w:rsidRDefault="00BC617C" w:rsidP="00E46D69">
      <w:pPr>
        <w:pStyle w:val="21"/>
        <w:spacing w:after="0"/>
      </w:pPr>
      <w:r w:rsidRPr="00F00825">
        <w:rPr>
          <w:noProof/>
        </w:rPr>
        <w:drawing>
          <wp:inline distT="0" distB="0" distL="0" distR="0" wp14:anchorId="1C5E7FEB" wp14:editId="705E103E">
            <wp:extent cx="44450" cy="44450"/>
            <wp:effectExtent l="0" t="0" r="0" b="0"/>
            <wp:docPr id="1301" name="Picture 1301"/>
            <wp:cNvGraphicFramePr/>
            <a:graphic xmlns:a="http://schemas.openxmlformats.org/drawingml/2006/main">
              <a:graphicData uri="http://schemas.openxmlformats.org/drawingml/2006/picture">
                <pic:pic xmlns:pic="http://schemas.openxmlformats.org/drawingml/2006/picture">
                  <pic:nvPicPr>
                    <pic:cNvPr id="1301" name="Picture 1301"/>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高齢者施設の行動規範を含む、</w:t>
      </w:r>
      <w:r w:rsidR="004509CB">
        <w:rPr>
          <w:rFonts w:hint="eastAsia"/>
        </w:rPr>
        <w:t>ケア</w:t>
      </w:r>
      <w:r w:rsidRPr="00F00825">
        <w:t>施設の品質基準</w:t>
      </w:r>
      <w:r w:rsidRPr="00F00825">
        <w:t xml:space="preserve"> </w:t>
      </w:r>
    </w:p>
    <w:p w14:paraId="0095A613" w14:textId="1ADB9763" w:rsidR="00D94403" w:rsidRPr="00F00825" w:rsidRDefault="00BC617C" w:rsidP="00981716">
      <w:pPr>
        <w:pStyle w:val="21"/>
      </w:pPr>
      <w:r w:rsidRPr="00F00825">
        <w:rPr>
          <w:noProof/>
        </w:rPr>
        <w:drawing>
          <wp:inline distT="0" distB="0" distL="0" distR="0" wp14:anchorId="63A20B5D" wp14:editId="5A9ADDE7">
            <wp:extent cx="44450" cy="44450"/>
            <wp:effectExtent l="0" t="0" r="0" b="0"/>
            <wp:docPr id="1303" name="Picture 1303"/>
            <wp:cNvGraphicFramePr/>
            <a:graphic xmlns:a="http://schemas.openxmlformats.org/drawingml/2006/main">
              <a:graphicData uri="http://schemas.openxmlformats.org/drawingml/2006/picture">
                <pic:pic xmlns:pic="http://schemas.openxmlformats.org/drawingml/2006/picture">
                  <pic:nvPicPr>
                    <pic:cNvPr id="1303" name="Picture 1303"/>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004509CB">
        <w:rPr>
          <w:rFonts w:hint="eastAsia"/>
        </w:rPr>
        <w:t>インフォーマルなケア提供</w:t>
      </w:r>
      <w:r w:rsidRPr="00F00825">
        <w:t>者への支援</w:t>
      </w:r>
    </w:p>
    <w:p w14:paraId="0810CB3F" w14:textId="46F9F65B" w:rsidR="00D94403" w:rsidRPr="00576A18" w:rsidRDefault="00725467" w:rsidP="00725467">
      <w:pPr>
        <w:spacing w:after="291" w:line="259" w:lineRule="auto"/>
        <w:rPr>
          <w:rFonts w:ascii="BIZ UDPゴシック" w:eastAsia="BIZ UDPゴシック" w:hAnsi="BIZ UDPゴシック"/>
          <w:sz w:val="21"/>
          <w:szCs w:val="21"/>
        </w:rPr>
      </w:pPr>
      <w:r>
        <w:rPr>
          <w:rFonts w:ascii="BIZ UDPゴシック" w:eastAsia="BIZ UDPゴシック" w:hAnsi="BIZ UDPゴシック" w:cs="Times New Roman" w:hint="eastAsia"/>
          <w:b/>
          <w:bCs/>
          <w:sz w:val="24"/>
          <w:highlight w:val="lightGray"/>
          <w:u w:color="000000"/>
        </w:rPr>
        <w:t>4.</w:t>
      </w:r>
      <w:r w:rsidR="00BC617C" w:rsidRPr="00576A18">
        <w:rPr>
          <w:rFonts w:ascii="BIZ UDPゴシック" w:eastAsia="BIZ UDPゴシック" w:hAnsi="BIZ UDPゴシック"/>
          <w:b/>
          <w:sz w:val="21"/>
          <w:szCs w:val="21"/>
        </w:rPr>
        <w:t>ライフコース</w:t>
      </w:r>
      <w:r w:rsidR="004509CB">
        <w:rPr>
          <w:rFonts w:ascii="BIZ UDPゴシック" w:eastAsia="BIZ UDPゴシック" w:hAnsi="BIZ UDPゴシック" w:hint="eastAsia"/>
          <w:b/>
          <w:sz w:val="21"/>
          <w:szCs w:val="21"/>
        </w:rPr>
        <w:t>（生涯）</w:t>
      </w:r>
      <w:r w:rsidR="00BC617C" w:rsidRPr="00576A18">
        <w:rPr>
          <w:rFonts w:ascii="BIZ UDPゴシック" w:eastAsia="BIZ UDPゴシック" w:hAnsi="BIZ UDPゴシック"/>
          <w:b/>
          <w:sz w:val="21"/>
          <w:szCs w:val="21"/>
        </w:rPr>
        <w:t>の視点</w:t>
      </w:r>
    </w:p>
    <w:p w14:paraId="0751E70A" w14:textId="08CB1E28" w:rsidR="00D94403" w:rsidRPr="00F00825" w:rsidRDefault="00BC617C" w:rsidP="00E46D69">
      <w:pPr>
        <w:pStyle w:val="21"/>
        <w:spacing w:after="0"/>
      </w:pPr>
      <w:r w:rsidRPr="00F00825">
        <w:t>高齢期の権利は、長年にわたって蓄積された不平等によって形作られる。</w:t>
      </w:r>
      <w:r w:rsidRPr="00E46D69">
        <w:rPr>
          <w:rFonts w:cs="Times New Roman"/>
          <w:sz w:val="25"/>
        </w:rPr>
        <w:t>LBI</w:t>
      </w:r>
      <w:r w:rsidRPr="00F00825">
        <w:t>は以下</w:t>
      </w:r>
      <w:r w:rsidR="00E46D69">
        <w:rPr>
          <w:rFonts w:hint="eastAsia"/>
        </w:rPr>
        <w:t>が必要</w:t>
      </w:r>
      <w:r w:rsidRPr="00F00825">
        <w:t>である：</w:t>
      </w:r>
    </w:p>
    <w:p w14:paraId="6C191D9F" w14:textId="775A0595" w:rsidR="00D94403" w:rsidRPr="00F00825" w:rsidRDefault="00BC617C" w:rsidP="00E46D69">
      <w:pPr>
        <w:pStyle w:val="21"/>
        <w:spacing w:after="0"/>
      </w:pPr>
      <w:r w:rsidRPr="00F00825">
        <w:rPr>
          <w:noProof/>
        </w:rPr>
        <w:drawing>
          <wp:inline distT="0" distB="0" distL="0" distR="0" wp14:anchorId="023FCF13" wp14:editId="64F7AB72">
            <wp:extent cx="44450" cy="44450"/>
            <wp:effectExtent l="0" t="0" r="0" b="0"/>
            <wp:docPr id="1305" name="Picture 1305"/>
            <wp:cNvGraphicFramePr/>
            <a:graphic xmlns:a="http://schemas.openxmlformats.org/drawingml/2006/main">
              <a:graphicData uri="http://schemas.openxmlformats.org/drawingml/2006/picture">
                <pic:pic xmlns:pic="http://schemas.openxmlformats.org/drawingml/2006/picture">
                  <pic:nvPicPr>
                    <pic:cNvPr id="1305" name="Picture 1305"/>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この連続性を認識する</w:t>
      </w:r>
    </w:p>
    <w:p w14:paraId="1A923AB0" w14:textId="1BE87E14" w:rsidR="00D94403" w:rsidRPr="00F00825" w:rsidRDefault="00BC617C" w:rsidP="00981716">
      <w:pPr>
        <w:pStyle w:val="21"/>
      </w:pPr>
      <w:r w:rsidRPr="00F00825">
        <w:rPr>
          <w:noProof/>
        </w:rPr>
        <w:drawing>
          <wp:inline distT="0" distB="0" distL="0" distR="0" wp14:anchorId="0C792051" wp14:editId="1DD97D1F">
            <wp:extent cx="44450" cy="44450"/>
            <wp:effectExtent l="0" t="0" r="0" b="0"/>
            <wp:docPr id="1307" name="Picture 1307"/>
            <wp:cNvGraphicFramePr/>
            <a:graphic xmlns:a="http://schemas.openxmlformats.org/drawingml/2006/main">
              <a:graphicData uri="http://schemas.openxmlformats.org/drawingml/2006/picture">
                <pic:pic xmlns:pic="http://schemas.openxmlformats.org/drawingml/2006/picture">
                  <pic:nvPicPr>
                    <pic:cNvPr id="1307" name="Picture 1307"/>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ライフコース全体にわたる予防的政策を推進する</w:t>
      </w:r>
    </w:p>
    <w:p w14:paraId="76E22C9A" w14:textId="2431A204" w:rsidR="00D94403" w:rsidRPr="00576A18" w:rsidRDefault="00725467" w:rsidP="00725467">
      <w:pPr>
        <w:spacing w:after="291" w:line="259" w:lineRule="auto"/>
        <w:rPr>
          <w:rFonts w:ascii="BIZ UDPゴシック" w:eastAsia="BIZ UDPゴシック" w:hAnsi="BIZ UDPゴシック"/>
          <w:sz w:val="21"/>
          <w:szCs w:val="21"/>
        </w:rPr>
      </w:pPr>
      <w:r>
        <w:rPr>
          <w:rFonts w:ascii="BIZ UDPゴシック" w:eastAsia="BIZ UDPゴシック" w:hAnsi="BIZ UDPゴシック" w:cs="Times New Roman" w:hint="eastAsia"/>
          <w:b/>
          <w:bCs/>
          <w:sz w:val="24"/>
          <w:highlight w:val="lightGray"/>
          <w:u w:color="000000"/>
        </w:rPr>
        <w:t>5.</w:t>
      </w:r>
      <w:r w:rsidR="00BC617C" w:rsidRPr="00576A18">
        <w:rPr>
          <w:rFonts w:ascii="BIZ UDPゴシック" w:eastAsia="BIZ UDPゴシック" w:hAnsi="BIZ UDPゴシック"/>
          <w:b/>
          <w:sz w:val="21"/>
          <w:szCs w:val="21"/>
        </w:rPr>
        <w:t>差別</w:t>
      </w:r>
    </w:p>
    <w:p w14:paraId="5DD618C3" w14:textId="20DD3A99" w:rsidR="00D94403" w:rsidRPr="00F00825" w:rsidRDefault="00BC617C" w:rsidP="00E46D69">
      <w:pPr>
        <w:pStyle w:val="21"/>
        <w:spacing w:after="0"/>
      </w:pPr>
      <w:r w:rsidRPr="00F00825">
        <w:t>高齢者は均質な集団ではない。本</w:t>
      </w:r>
      <w:r w:rsidR="00E46D69">
        <w:rPr>
          <w:rFonts w:hint="eastAsia"/>
        </w:rPr>
        <w:t>文書</w:t>
      </w:r>
      <w:r w:rsidRPr="00F00825">
        <w:t>は以下</w:t>
      </w:r>
      <w:r w:rsidRPr="00F00825">
        <w:t>に取り組むことができる：</w:t>
      </w:r>
    </w:p>
    <w:p w14:paraId="4465B1A3" w14:textId="77777777" w:rsidR="00F00825" w:rsidRPr="00F00825" w:rsidRDefault="00BC617C" w:rsidP="00E46D69">
      <w:pPr>
        <w:pStyle w:val="21"/>
        <w:spacing w:after="0"/>
      </w:pPr>
      <w:r w:rsidRPr="00F00825">
        <w:rPr>
          <w:noProof/>
        </w:rPr>
        <w:drawing>
          <wp:inline distT="0" distB="0" distL="0" distR="0" wp14:anchorId="3BA1E2DB" wp14:editId="4C88C82B">
            <wp:extent cx="44450" cy="44450"/>
            <wp:effectExtent l="0" t="0" r="0" b="0"/>
            <wp:docPr id="1309" name="Picture 1309"/>
            <wp:cNvGraphicFramePr/>
            <a:graphic xmlns:a="http://schemas.openxmlformats.org/drawingml/2006/main">
              <a:graphicData uri="http://schemas.openxmlformats.org/drawingml/2006/picture">
                <pic:pic xmlns:pic="http://schemas.openxmlformats.org/drawingml/2006/picture">
                  <pic:nvPicPr>
                    <pic:cNvPr id="1309" name="Picture 1309"/>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女性に対する差別</w:t>
      </w:r>
    </w:p>
    <w:p w14:paraId="54A905C7" w14:textId="621DB6E1" w:rsidR="00F00825" w:rsidRPr="00F00825" w:rsidRDefault="00BC617C" w:rsidP="00E46D69">
      <w:pPr>
        <w:pStyle w:val="21"/>
        <w:spacing w:after="0"/>
        <w:rPr>
          <w:noProof/>
        </w:rPr>
      </w:pPr>
      <w:r w:rsidRPr="00F00825">
        <w:rPr>
          <w:noProof/>
        </w:rPr>
        <w:drawing>
          <wp:inline distT="0" distB="0" distL="0" distR="0" wp14:anchorId="367406F1" wp14:editId="1C3B25EB">
            <wp:extent cx="44450" cy="44450"/>
            <wp:effectExtent l="0" t="0" r="0" b="0"/>
            <wp:docPr id="1311" name="Picture 1311"/>
            <wp:cNvGraphicFramePr/>
            <a:graphic xmlns:a="http://schemas.openxmlformats.org/drawingml/2006/main">
              <a:graphicData uri="http://schemas.openxmlformats.org/drawingml/2006/picture">
                <pic:pic xmlns:pic="http://schemas.openxmlformats.org/drawingml/2006/picture">
                  <pic:nvPicPr>
                    <pic:cNvPr id="1311" name="Picture 1311"/>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障害者</w:t>
      </w:r>
      <w:r w:rsidRPr="00F00825">
        <w:t xml:space="preserve"> </w:t>
      </w:r>
    </w:p>
    <w:p w14:paraId="4C214BC8" w14:textId="77777777" w:rsidR="00F00825" w:rsidRPr="00F00825" w:rsidRDefault="00BC617C" w:rsidP="00E46D69">
      <w:pPr>
        <w:pStyle w:val="21"/>
        <w:spacing w:after="0"/>
      </w:pPr>
      <w:r w:rsidRPr="00F00825">
        <w:rPr>
          <w:noProof/>
        </w:rPr>
        <w:drawing>
          <wp:inline distT="0" distB="0" distL="0" distR="0" wp14:anchorId="242A5E19" wp14:editId="0868A1A1">
            <wp:extent cx="44450" cy="44450"/>
            <wp:effectExtent l="0" t="0" r="0" b="0"/>
            <wp:docPr id="1313" name="Picture 1313"/>
            <wp:cNvGraphicFramePr/>
            <a:graphic xmlns:a="http://schemas.openxmlformats.org/drawingml/2006/main">
              <a:graphicData uri="http://schemas.openxmlformats.org/drawingml/2006/picture">
                <pic:pic xmlns:pic="http://schemas.openxmlformats.org/drawingml/2006/picture">
                  <pic:nvPicPr>
                    <pic:cNvPr id="1313" name="Picture 1313"/>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都市部と農村部の格差</w:t>
      </w:r>
      <w:r w:rsidRPr="00F00825">
        <w:t xml:space="preserve"> </w:t>
      </w:r>
    </w:p>
    <w:p w14:paraId="243A885D" w14:textId="77777777" w:rsidR="00F00825" w:rsidRPr="00F00825" w:rsidRDefault="00BC617C" w:rsidP="00E46D69">
      <w:pPr>
        <w:pStyle w:val="21"/>
        <w:spacing w:after="0"/>
      </w:pPr>
      <w:r w:rsidRPr="00F00825">
        <w:rPr>
          <w:noProof/>
        </w:rPr>
        <w:drawing>
          <wp:inline distT="0" distB="0" distL="0" distR="0" wp14:anchorId="310D47F9" wp14:editId="658EF4EB">
            <wp:extent cx="44450" cy="44450"/>
            <wp:effectExtent l="0" t="0" r="0" b="0"/>
            <wp:docPr id="1315" name="Picture 1315"/>
            <wp:cNvGraphicFramePr/>
            <a:graphic xmlns:a="http://schemas.openxmlformats.org/drawingml/2006/main">
              <a:graphicData uri="http://schemas.openxmlformats.org/drawingml/2006/picture">
                <pic:pic xmlns:pic="http://schemas.openxmlformats.org/drawingml/2006/picture">
                  <pic:nvPicPr>
                    <pic:cNvPr id="1315" name="Picture 1315"/>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施設入所中の高齢者</w:t>
      </w:r>
      <w:r w:rsidRPr="00F00825">
        <w:t xml:space="preserve"> </w:t>
      </w:r>
    </w:p>
    <w:p w14:paraId="7980E4C0" w14:textId="63EA71B8" w:rsidR="00D94403" w:rsidRDefault="00BC617C" w:rsidP="00E46D69">
      <w:pPr>
        <w:pStyle w:val="21"/>
        <w:spacing w:after="0"/>
      </w:pPr>
      <w:r w:rsidRPr="00F00825">
        <w:rPr>
          <w:noProof/>
        </w:rPr>
        <w:drawing>
          <wp:inline distT="0" distB="0" distL="0" distR="0" wp14:anchorId="3856D6EE" wp14:editId="76803017">
            <wp:extent cx="44450" cy="44450"/>
            <wp:effectExtent l="0" t="0" r="0" b="0"/>
            <wp:docPr id="1317" name="Picture 1317"/>
            <wp:cNvGraphicFramePr/>
            <a:graphic xmlns:a="http://schemas.openxmlformats.org/drawingml/2006/main">
              <a:graphicData uri="http://schemas.openxmlformats.org/drawingml/2006/picture">
                <pic:pic xmlns:pic="http://schemas.openxmlformats.org/drawingml/2006/picture">
                  <pic:nvPicPr>
                    <pic:cNvPr id="1317" name="Picture 1317"/>
                    <pic:cNvPicPr/>
                  </pic:nvPicPr>
                  <pic:blipFill>
                    <a:blip r:embed="rId12"/>
                    <a:stretch>
                      <a:fillRect/>
                    </a:stretch>
                  </pic:blipFill>
                  <pic:spPr>
                    <a:xfrm>
                      <a:off x="0" y="0"/>
                      <a:ext cx="44450" cy="44450"/>
                    </a:xfrm>
                    <a:prstGeom prst="rect">
                      <a:avLst/>
                    </a:prstGeom>
                  </pic:spPr>
                </pic:pic>
              </a:graphicData>
            </a:graphic>
          </wp:inline>
        </w:drawing>
      </w:r>
      <w:r w:rsidRPr="00F00825">
        <w:t xml:space="preserve"> </w:t>
      </w:r>
      <w:r w:rsidRPr="00F00825">
        <w:t>要</w:t>
      </w:r>
      <w:r w:rsidR="00E46D69">
        <w:rPr>
          <w:rFonts w:hint="eastAsia"/>
        </w:rPr>
        <w:t>支援</w:t>
      </w:r>
      <w:r w:rsidRPr="00F00825">
        <w:t>者（支援を必要とする人</w:t>
      </w:r>
      <w:r w:rsidRPr="00F00825">
        <w:t>）</w:t>
      </w:r>
    </w:p>
    <w:p w14:paraId="52B1057A" w14:textId="77777777" w:rsidR="00E46D69" w:rsidRDefault="00E46D69" w:rsidP="00981716">
      <w:pPr>
        <w:pStyle w:val="21"/>
      </w:pPr>
    </w:p>
    <w:p w14:paraId="6BAF2DFD" w14:textId="4891A08D" w:rsidR="00E46D69" w:rsidRPr="00F00825" w:rsidRDefault="00E46D69" w:rsidP="00E46D69">
      <w:pPr>
        <w:pStyle w:val="21"/>
        <w:jc w:val="right"/>
        <w:rPr>
          <w:rFonts w:hint="eastAsia"/>
        </w:rPr>
      </w:pPr>
      <w:r>
        <w:rPr>
          <w:rFonts w:hint="eastAsia"/>
        </w:rPr>
        <w:t>（翻訳：佐藤久夫、　　　　）</w:t>
      </w:r>
    </w:p>
    <w:sectPr w:rsidR="00E46D69" w:rsidRPr="00F00825" w:rsidSect="005F13FE">
      <w:footerReference w:type="default" r:id="rId15"/>
      <w:pgSz w:w="12240" w:h="15840"/>
      <w:pgMar w:top="1369" w:right="1839" w:bottom="616" w:left="2099" w:header="720" w:footer="57"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6378" w14:textId="77777777" w:rsidR="00F00825" w:rsidRDefault="00F00825" w:rsidP="00F00825">
      <w:pPr>
        <w:spacing w:after="0" w:line="240" w:lineRule="auto"/>
      </w:pPr>
      <w:r>
        <w:separator/>
      </w:r>
    </w:p>
  </w:endnote>
  <w:endnote w:type="continuationSeparator" w:id="0">
    <w:p w14:paraId="6A9D5E68" w14:textId="77777777" w:rsidR="00F00825" w:rsidRDefault="00F00825" w:rsidP="00F0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Noto Sans JP">
    <w:panose1 w:val="020B0200000000000000"/>
    <w:charset w:val="80"/>
    <w:family w:val="modern"/>
    <w:pitch w:val="variable"/>
    <w:sig w:usb0="20000287" w:usb1="2ADF3C10" w:usb2="00000016" w:usb3="00000000" w:csb0="00060107"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47192"/>
      <w:docPartObj>
        <w:docPartGallery w:val="Page Numbers (Bottom of Page)"/>
        <w:docPartUnique/>
      </w:docPartObj>
    </w:sdtPr>
    <w:sdtContent>
      <w:p w14:paraId="67FDA89D" w14:textId="5264E818" w:rsidR="005F13FE" w:rsidRDefault="005F13FE">
        <w:pPr>
          <w:pStyle w:val="a5"/>
        </w:pPr>
        <w:r>
          <w:fldChar w:fldCharType="begin"/>
        </w:r>
        <w:r>
          <w:instrText>PAGE   \* MERGEFORMAT</w:instrText>
        </w:r>
        <w:r>
          <w:fldChar w:fldCharType="separate"/>
        </w:r>
        <w:r>
          <w:rPr>
            <w:lang w:val="ja-JP"/>
          </w:rPr>
          <w:t>2</w:t>
        </w:r>
        <w:r>
          <w:fldChar w:fldCharType="end"/>
        </w:r>
      </w:p>
    </w:sdtContent>
  </w:sdt>
  <w:p w14:paraId="1B4C8DE1" w14:textId="77777777" w:rsidR="005F13FE" w:rsidRDefault="005F13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F0F9" w14:textId="77777777" w:rsidR="00F00825" w:rsidRDefault="00F00825" w:rsidP="00F00825">
      <w:pPr>
        <w:spacing w:after="0" w:line="240" w:lineRule="auto"/>
      </w:pPr>
      <w:r>
        <w:separator/>
      </w:r>
    </w:p>
  </w:footnote>
  <w:footnote w:type="continuationSeparator" w:id="0">
    <w:p w14:paraId="457165C9" w14:textId="77777777" w:rsidR="00F00825" w:rsidRDefault="00F00825" w:rsidP="00F008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5868"/>
    <w:multiLevelType w:val="hybridMultilevel"/>
    <w:tmpl w:val="17C43632"/>
    <w:lvl w:ilvl="0" w:tplc="9FA4F5A0">
      <w:start w:val="1"/>
      <w:numFmt w:val="decimal"/>
      <w:lvlText w:val="%1."/>
      <w:lvlJc w:val="left"/>
      <w:pPr>
        <w:ind w:left="284"/>
      </w:pPr>
      <w:rPr>
        <w:rFonts w:ascii="BIZ UDPゴシック" w:eastAsia="BIZ UDPゴシック" w:hAnsi="BIZ UDPゴシック" w:cs="Times New Roman"/>
        <w:b/>
        <w:bCs/>
        <w:i w:val="0"/>
        <w:strike w:val="0"/>
        <w:dstrike w:val="0"/>
        <w:color w:val="000000"/>
        <w:sz w:val="24"/>
        <w:szCs w:val="24"/>
        <w:u w:val="none" w:color="000000"/>
        <w:bdr w:val="none" w:sz="0" w:space="0" w:color="auto"/>
        <w:shd w:val="clear" w:color="auto" w:fill="auto"/>
        <w:vertAlign w:val="baseline"/>
      </w:rPr>
    </w:lvl>
    <w:lvl w:ilvl="1" w:tplc="2FECD882">
      <w:start w:val="1"/>
      <w:numFmt w:val="lowerLetter"/>
      <w:lvlText w:val="%2"/>
      <w:lvlJc w:val="left"/>
      <w:pPr>
        <w:ind w:left="1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10FB20">
      <w:start w:val="1"/>
      <w:numFmt w:val="lowerRoman"/>
      <w:lvlText w:val="%3"/>
      <w:lvlJc w:val="left"/>
      <w:pPr>
        <w:ind w:left="1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FAE0FC2">
      <w:start w:val="1"/>
      <w:numFmt w:val="decimal"/>
      <w:lvlText w:val="%4"/>
      <w:lvlJc w:val="left"/>
      <w:pPr>
        <w:ind w:left="2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44488DC">
      <w:start w:val="1"/>
      <w:numFmt w:val="lowerLetter"/>
      <w:lvlText w:val="%5"/>
      <w:lvlJc w:val="left"/>
      <w:pPr>
        <w:ind w:left="3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E2ADE0">
      <w:start w:val="1"/>
      <w:numFmt w:val="lowerRoman"/>
      <w:lvlText w:val="%6"/>
      <w:lvlJc w:val="left"/>
      <w:pPr>
        <w:ind w:left="3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CB23FBE">
      <w:start w:val="1"/>
      <w:numFmt w:val="decimal"/>
      <w:lvlText w:val="%7"/>
      <w:lvlJc w:val="left"/>
      <w:pPr>
        <w:ind w:left="4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6B6CD32">
      <w:start w:val="1"/>
      <w:numFmt w:val="lowerLetter"/>
      <w:lvlText w:val="%8"/>
      <w:lvlJc w:val="left"/>
      <w:pPr>
        <w:ind w:left="5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70C9902">
      <w:start w:val="1"/>
      <w:numFmt w:val="lowerRoman"/>
      <w:lvlText w:val="%9"/>
      <w:lvlJc w:val="left"/>
      <w:pPr>
        <w:ind w:left="6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BA6270"/>
    <w:multiLevelType w:val="hybridMultilevel"/>
    <w:tmpl w:val="6B4CD88C"/>
    <w:lvl w:ilvl="0" w:tplc="F86E36A8">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2065512">
      <w:start w:val="3"/>
      <w:numFmt w:val="lowerLetter"/>
      <w:lvlRestart w:val="0"/>
      <w:lvlText w:val="%2)"/>
      <w:lvlJc w:val="left"/>
      <w:pPr>
        <w:ind w:left="10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6608946">
      <w:start w:val="1"/>
      <w:numFmt w:val="lowerRoman"/>
      <w:lvlText w:val="%3"/>
      <w:lvlJc w:val="left"/>
      <w:pPr>
        <w:ind w:left="17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D54753C">
      <w:start w:val="1"/>
      <w:numFmt w:val="decimal"/>
      <w:lvlText w:val="%4"/>
      <w:lvlJc w:val="left"/>
      <w:pPr>
        <w:ind w:left="24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E98BDA0">
      <w:start w:val="1"/>
      <w:numFmt w:val="lowerLetter"/>
      <w:lvlText w:val="%5"/>
      <w:lvlJc w:val="left"/>
      <w:pPr>
        <w:ind w:left="31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3528D96">
      <w:start w:val="1"/>
      <w:numFmt w:val="lowerRoman"/>
      <w:lvlText w:val="%6"/>
      <w:lvlJc w:val="left"/>
      <w:pPr>
        <w:ind w:left="39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F1661F2">
      <w:start w:val="1"/>
      <w:numFmt w:val="decimal"/>
      <w:lvlText w:val="%7"/>
      <w:lvlJc w:val="left"/>
      <w:pPr>
        <w:ind w:left="4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CA8AC6">
      <w:start w:val="1"/>
      <w:numFmt w:val="lowerLetter"/>
      <w:lvlText w:val="%8"/>
      <w:lvlJc w:val="left"/>
      <w:pPr>
        <w:ind w:left="53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314A468">
      <w:start w:val="1"/>
      <w:numFmt w:val="lowerRoman"/>
      <w:lvlText w:val="%9"/>
      <w:lvlJc w:val="left"/>
      <w:pPr>
        <w:ind w:left="60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25031BF"/>
    <w:multiLevelType w:val="hybridMultilevel"/>
    <w:tmpl w:val="6EB8E320"/>
    <w:lvl w:ilvl="0" w:tplc="EEBC5E90">
      <w:start w:val="4"/>
      <w:numFmt w:val="decimal"/>
      <w:lvlText w:val="%1."/>
      <w:lvlJc w:val="left"/>
      <w:pPr>
        <w:ind w:left="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1D8024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0ED6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56652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84C08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7AC3CF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32A1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708C0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4C4CF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5A530AE"/>
    <w:multiLevelType w:val="hybridMultilevel"/>
    <w:tmpl w:val="6096C084"/>
    <w:lvl w:ilvl="0" w:tplc="2E783A74">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AE2BD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62C21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0C21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488F3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86AB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C8DD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3E4A8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90A65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88644791">
    <w:abstractNumId w:val="3"/>
  </w:num>
  <w:num w:numId="2" w16cid:durableId="524489363">
    <w:abstractNumId w:val="1"/>
  </w:num>
  <w:num w:numId="3" w16cid:durableId="929239020">
    <w:abstractNumId w:val="2"/>
  </w:num>
  <w:num w:numId="4" w16cid:durableId="164372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403"/>
    <w:rsid w:val="00247DDC"/>
    <w:rsid w:val="003E429B"/>
    <w:rsid w:val="004509CB"/>
    <w:rsid w:val="004C5F06"/>
    <w:rsid w:val="00576A18"/>
    <w:rsid w:val="005F13FE"/>
    <w:rsid w:val="006153EA"/>
    <w:rsid w:val="00725467"/>
    <w:rsid w:val="0083032B"/>
    <w:rsid w:val="00831891"/>
    <w:rsid w:val="008D54B1"/>
    <w:rsid w:val="00981716"/>
    <w:rsid w:val="00A35C67"/>
    <w:rsid w:val="00D94403"/>
    <w:rsid w:val="00E46D69"/>
    <w:rsid w:val="00F00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FA57F2"/>
  <w15:docId w15:val="{8F35434B-FA5E-44C1-8FD3-C51DEDC7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18" w:line="265" w:lineRule="auto"/>
      <w:ind w:left="32" w:hanging="10"/>
    </w:pPr>
    <w:rPr>
      <w:rFonts w:ascii="Noto Sans JP" w:eastAsia="Noto Sans JP" w:hAnsi="Noto Sans JP" w:cs="Noto Sans JP"/>
      <w:color w:val="000000"/>
      <w:sz w:val="16"/>
    </w:rPr>
  </w:style>
  <w:style w:type="paragraph" w:styleId="1">
    <w:name w:val="heading 1"/>
    <w:next w:val="a"/>
    <w:link w:val="10"/>
    <w:uiPriority w:val="9"/>
    <w:qFormat/>
    <w:pPr>
      <w:keepNext/>
      <w:keepLines/>
      <w:spacing w:after="274" w:line="259" w:lineRule="auto"/>
      <w:ind w:left="32" w:hanging="10"/>
      <w:outlineLvl w:val="0"/>
    </w:pPr>
    <w:rPr>
      <w:rFonts w:ascii="Noto Sans JP" w:eastAsia="Noto Sans JP" w:hAnsi="Noto Sans JP" w:cs="Noto Sans JP"/>
      <w:b/>
      <w:color w:val="000000"/>
      <w:sz w:val="20"/>
    </w:rPr>
  </w:style>
  <w:style w:type="paragraph" w:styleId="2">
    <w:name w:val="heading 2"/>
    <w:next w:val="a"/>
    <w:link w:val="20"/>
    <w:uiPriority w:val="9"/>
    <w:unhideWhenUsed/>
    <w:qFormat/>
    <w:pPr>
      <w:keepNext/>
      <w:keepLines/>
      <w:spacing w:after="274" w:line="259" w:lineRule="auto"/>
      <w:ind w:left="32" w:hanging="10"/>
      <w:outlineLvl w:val="1"/>
    </w:pPr>
    <w:rPr>
      <w:rFonts w:ascii="Noto Sans JP" w:eastAsia="Noto Sans JP" w:hAnsi="Noto Sans JP" w:cs="Noto Sans JP"/>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Noto Sans JP" w:eastAsia="Noto Sans JP" w:hAnsi="Noto Sans JP" w:cs="Noto Sans JP"/>
      <w:b/>
      <w:color w:val="000000"/>
      <w:sz w:val="20"/>
    </w:rPr>
  </w:style>
  <w:style w:type="character" w:customStyle="1" w:styleId="20">
    <w:name w:val="見出し 2 (文字)"/>
    <w:link w:val="2"/>
    <w:rPr>
      <w:rFonts w:ascii="Noto Sans JP" w:eastAsia="Noto Sans JP" w:hAnsi="Noto Sans JP" w:cs="Noto Sans JP"/>
      <w:b/>
      <w:color w:val="000000"/>
      <w:sz w:val="20"/>
    </w:rPr>
  </w:style>
  <w:style w:type="paragraph" w:styleId="a3">
    <w:name w:val="header"/>
    <w:basedOn w:val="a"/>
    <w:link w:val="a4"/>
    <w:uiPriority w:val="99"/>
    <w:unhideWhenUsed/>
    <w:rsid w:val="00F00825"/>
    <w:pPr>
      <w:tabs>
        <w:tab w:val="center" w:pos="4252"/>
        <w:tab w:val="right" w:pos="8504"/>
      </w:tabs>
      <w:snapToGrid w:val="0"/>
    </w:pPr>
  </w:style>
  <w:style w:type="character" w:customStyle="1" w:styleId="a4">
    <w:name w:val="ヘッダー (文字)"/>
    <w:basedOn w:val="a0"/>
    <w:link w:val="a3"/>
    <w:uiPriority w:val="99"/>
    <w:rsid w:val="00F00825"/>
    <w:rPr>
      <w:rFonts w:ascii="Noto Sans JP" w:eastAsia="Noto Sans JP" w:hAnsi="Noto Sans JP" w:cs="Noto Sans JP"/>
      <w:color w:val="000000"/>
      <w:sz w:val="16"/>
    </w:rPr>
  </w:style>
  <w:style w:type="paragraph" w:styleId="a5">
    <w:name w:val="footer"/>
    <w:basedOn w:val="a"/>
    <w:link w:val="a6"/>
    <w:uiPriority w:val="99"/>
    <w:unhideWhenUsed/>
    <w:rsid w:val="00F00825"/>
    <w:pPr>
      <w:tabs>
        <w:tab w:val="center" w:pos="4252"/>
        <w:tab w:val="right" w:pos="8504"/>
      </w:tabs>
      <w:snapToGrid w:val="0"/>
    </w:pPr>
  </w:style>
  <w:style w:type="character" w:customStyle="1" w:styleId="a6">
    <w:name w:val="フッター (文字)"/>
    <w:basedOn w:val="a0"/>
    <w:link w:val="a5"/>
    <w:uiPriority w:val="99"/>
    <w:rsid w:val="00F00825"/>
    <w:rPr>
      <w:rFonts w:ascii="Noto Sans JP" w:eastAsia="Noto Sans JP" w:hAnsi="Noto Sans JP" w:cs="Noto Sans JP"/>
      <w:color w:val="000000"/>
      <w:sz w:val="16"/>
    </w:rPr>
  </w:style>
  <w:style w:type="paragraph" w:styleId="a7">
    <w:name w:val="No Spacing"/>
    <w:uiPriority w:val="1"/>
    <w:qFormat/>
    <w:rsid w:val="00F00825"/>
    <w:pPr>
      <w:ind w:left="32" w:hanging="10"/>
    </w:pPr>
    <w:rPr>
      <w:rFonts w:ascii="Noto Sans JP" w:eastAsia="Noto Sans JP" w:hAnsi="Noto Sans JP" w:cs="Noto Sans JP"/>
      <w:color w:val="000000"/>
      <w:sz w:val="16"/>
    </w:rPr>
  </w:style>
  <w:style w:type="paragraph" w:customStyle="1" w:styleId="11">
    <w:name w:val="スタイル1"/>
    <w:basedOn w:val="a"/>
    <w:link w:val="12"/>
    <w:qFormat/>
    <w:rsid w:val="00981716"/>
    <w:pPr>
      <w:ind w:firstLineChars="100" w:firstLine="160"/>
    </w:pPr>
    <w:rPr>
      <w:rFonts w:ascii="ＭＳ 明朝" w:eastAsia="ＭＳ 明朝" w:hAnsi="ＭＳ 明朝"/>
    </w:rPr>
  </w:style>
  <w:style w:type="character" w:customStyle="1" w:styleId="12">
    <w:name w:val="スタイル1 (文字)"/>
    <w:basedOn w:val="a0"/>
    <w:link w:val="11"/>
    <w:rsid w:val="00981716"/>
    <w:rPr>
      <w:rFonts w:ascii="ＭＳ 明朝" w:eastAsia="ＭＳ 明朝" w:hAnsi="ＭＳ 明朝" w:cs="Noto Sans JP"/>
      <w:color w:val="000000"/>
      <w:sz w:val="16"/>
    </w:rPr>
  </w:style>
  <w:style w:type="paragraph" w:customStyle="1" w:styleId="21">
    <w:name w:val="スタイル2"/>
    <w:basedOn w:val="11"/>
    <w:link w:val="22"/>
    <w:qFormat/>
    <w:rsid w:val="00981716"/>
    <w:pPr>
      <w:ind w:firstLine="210"/>
    </w:pPr>
    <w:rPr>
      <w:sz w:val="21"/>
      <w:szCs w:val="21"/>
    </w:rPr>
  </w:style>
  <w:style w:type="character" w:customStyle="1" w:styleId="22">
    <w:name w:val="スタイル2 (文字)"/>
    <w:basedOn w:val="12"/>
    <w:link w:val="21"/>
    <w:rsid w:val="00981716"/>
    <w:rPr>
      <w:rFonts w:ascii="ＭＳ 明朝" w:eastAsia="ＭＳ 明朝" w:hAnsi="ＭＳ 明朝" w:cs="Noto Sans JP"/>
      <w:color w:val="000000"/>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426</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OLDER PERSONS - FOOD FOR THOUGHT - final as received 7July26.pdf</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OLDER PERSONS - FOOD FOR THOUGHT - final as received 7July26.pdf</dc:title>
  <dc:subject/>
  <dc:creator>Khaled Hassine</dc:creator>
  <cp:keywords>, docId:805DBD4835ECC864DAB9924A70CF3DE6</cp:keywords>
  <cp:lastModifiedBy>久夫 佐藤</cp:lastModifiedBy>
  <cp:revision>2</cp:revision>
  <dcterms:created xsi:type="dcterms:W3CDTF">2026-07-08T11:50:00Z</dcterms:created>
  <dcterms:modified xsi:type="dcterms:W3CDTF">2026-07-08T11:50:00Z</dcterms:modified>
</cp:coreProperties>
</file>